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87CED" w14:textId="2DC5F739" w:rsidR="002D569D" w:rsidRPr="002D569D" w:rsidRDefault="002D569D" w:rsidP="002D569D">
      <w:pPr>
        <w:tabs>
          <w:tab w:val="center" w:pos="4536"/>
          <w:tab w:val="right" w:pos="7938"/>
          <w:tab w:val="right" w:pos="9639"/>
        </w:tabs>
        <w:ind w:right="2"/>
        <w:rPr>
          <w:b/>
          <w:bCs/>
          <w:sz w:val="28"/>
        </w:rPr>
      </w:pPr>
      <w:bookmarkStart w:id="0" w:name="_Hlk145670493"/>
      <w:r w:rsidRPr="002D569D">
        <w:rPr>
          <w:b/>
          <w:bCs/>
          <w:sz w:val="28"/>
        </w:rPr>
        <w:t>3GPP TSG RAN WG1 #122bis</w:t>
      </w:r>
      <w:r w:rsidRPr="002D569D">
        <w:rPr>
          <w:b/>
          <w:bCs/>
          <w:sz w:val="28"/>
        </w:rPr>
        <w:tab/>
      </w:r>
      <w:r w:rsidRPr="002D569D">
        <w:rPr>
          <w:b/>
          <w:bCs/>
          <w:sz w:val="28"/>
        </w:rPr>
        <w:tab/>
      </w:r>
      <w:r w:rsidRPr="002D569D">
        <w:rPr>
          <w:b/>
          <w:bCs/>
          <w:sz w:val="28"/>
        </w:rPr>
        <w:tab/>
      </w:r>
      <w:r w:rsidR="00D82757" w:rsidRPr="00D82757">
        <w:rPr>
          <w:b/>
          <w:bCs/>
          <w:sz w:val="28"/>
        </w:rPr>
        <w:t>R1-2507643</w:t>
      </w:r>
    </w:p>
    <w:p w14:paraId="7A48ED65" w14:textId="77777777" w:rsidR="002D569D" w:rsidRDefault="002D569D" w:rsidP="002D569D">
      <w:pPr>
        <w:tabs>
          <w:tab w:val="center" w:pos="4536"/>
          <w:tab w:val="right" w:pos="7938"/>
          <w:tab w:val="right" w:pos="9639"/>
        </w:tabs>
        <w:ind w:right="2"/>
        <w:rPr>
          <w:b/>
          <w:bCs/>
          <w:sz w:val="28"/>
        </w:rPr>
      </w:pPr>
      <w:r w:rsidRPr="002D569D">
        <w:rPr>
          <w:b/>
          <w:bCs/>
          <w:sz w:val="28"/>
        </w:rPr>
        <w:t>Prague, Czech, Oct 13th – 17th, 2025</w:t>
      </w:r>
    </w:p>
    <w:bookmarkEnd w:id="0"/>
    <w:p w14:paraId="7BDAC7BA" w14:textId="2219BBE9" w:rsidR="00401977" w:rsidRPr="003A46A1" w:rsidRDefault="00401977" w:rsidP="00E94B18">
      <w:pPr>
        <w:pBdr>
          <w:top w:val="single" w:sz="4" w:space="1" w:color="auto"/>
        </w:pBdr>
        <w:spacing w:after="0"/>
        <w:jc w:val="both"/>
        <w:rPr>
          <w:b/>
          <w:kern w:val="2"/>
          <w:sz w:val="24"/>
          <w:szCs w:val="24"/>
          <w:lang w:eastAsia="zh-CN"/>
        </w:rPr>
      </w:pPr>
    </w:p>
    <w:p w14:paraId="132D2216" w14:textId="1DAA968D"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6150EF">
        <w:rPr>
          <w:b/>
          <w:kern w:val="2"/>
          <w:sz w:val="24"/>
          <w:szCs w:val="24"/>
          <w:lang w:eastAsia="zh-CN"/>
        </w:rPr>
        <w:t>10</w:t>
      </w:r>
      <w:r w:rsidR="003202D4" w:rsidRPr="00815087">
        <w:rPr>
          <w:b/>
          <w:kern w:val="2"/>
          <w:sz w:val="24"/>
          <w:szCs w:val="24"/>
          <w:lang w:eastAsia="zh-CN"/>
        </w:rPr>
        <w:t>.</w:t>
      </w:r>
      <w:r w:rsidR="006150EF">
        <w:rPr>
          <w:b/>
          <w:kern w:val="2"/>
          <w:sz w:val="24"/>
          <w:szCs w:val="24"/>
          <w:lang w:eastAsia="zh-CN"/>
        </w:rPr>
        <w:t>6</w:t>
      </w:r>
      <w:r w:rsidR="003202D4" w:rsidRPr="00815087">
        <w:rPr>
          <w:b/>
          <w:kern w:val="2"/>
          <w:sz w:val="24"/>
          <w:szCs w:val="24"/>
          <w:lang w:eastAsia="zh-CN"/>
        </w:rPr>
        <w:t>.</w:t>
      </w:r>
      <w:r w:rsidR="006150EF">
        <w:rPr>
          <w:b/>
          <w:kern w:val="2"/>
          <w:sz w:val="24"/>
          <w:szCs w:val="24"/>
          <w:lang w:eastAsia="zh-CN"/>
        </w:rPr>
        <w:t>1</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274A52E9"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5F555D">
        <w:rPr>
          <w:b/>
          <w:kern w:val="2"/>
          <w:sz w:val="24"/>
          <w:szCs w:val="24"/>
          <w:lang w:eastAsia="zh-CN"/>
        </w:rPr>
        <w:t>Preamble transmission and detection</w:t>
      </w:r>
      <w:r w:rsidR="006150EF">
        <w:rPr>
          <w:b/>
          <w:kern w:val="2"/>
          <w:sz w:val="24"/>
          <w:szCs w:val="24"/>
          <w:lang w:eastAsia="zh-CN"/>
        </w:rPr>
        <w:t xml:space="preserve"> </w:t>
      </w:r>
      <w:r w:rsidR="005F555D">
        <w:rPr>
          <w:b/>
          <w:kern w:val="2"/>
          <w:sz w:val="24"/>
          <w:szCs w:val="24"/>
          <w:lang w:eastAsia="zh-CN"/>
        </w:rPr>
        <w:t>in</w:t>
      </w:r>
      <w:r w:rsidR="006150EF">
        <w:rPr>
          <w:b/>
          <w:kern w:val="2"/>
          <w:sz w:val="24"/>
          <w:szCs w:val="24"/>
          <w:lang w:eastAsia="zh-CN"/>
        </w:rPr>
        <w:t xml:space="preserve"> NR</w:t>
      </w:r>
      <w:r w:rsidR="004E7C28" w:rsidRPr="00815087">
        <w:rPr>
          <w:b/>
          <w:kern w:val="2"/>
          <w:sz w:val="24"/>
          <w:szCs w:val="24"/>
          <w:lang w:eastAsia="zh-CN"/>
        </w:rPr>
        <w:t xml:space="preserve"> NTN </w:t>
      </w:r>
      <w:r w:rsidR="006150EF">
        <w:rPr>
          <w:b/>
          <w:kern w:val="2"/>
          <w:sz w:val="24"/>
          <w:szCs w:val="24"/>
          <w:lang w:eastAsia="zh-CN"/>
        </w:rPr>
        <w:t>GNSS resilient operatio</w:t>
      </w:r>
      <w:r w:rsidR="005F555D">
        <w:rPr>
          <w:b/>
          <w:kern w:val="2"/>
          <w:sz w:val="24"/>
          <w:szCs w:val="24"/>
          <w:lang w:eastAsia="zh-CN"/>
        </w:rPr>
        <w:t>n</w:t>
      </w:r>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D57CBA" w:rsidRDefault="00401977" w:rsidP="0032463B">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D57CBA">
        <w:rPr>
          <w:rFonts w:ascii="Times New Roman" w:hAnsi="Times New Roman"/>
          <w:b/>
          <w:bCs/>
          <w:sz w:val="24"/>
          <w:szCs w:val="24"/>
          <w:lang w:eastAsia="zh-CN"/>
        </w:rPr>
        <w:t>Introduction</w:t>
      </w:r>
    </w:p>
    <w:p w14:paraId="3EAC31ED" w14:textId="77777777" w:rsidR="00FF629E" w:rsidRDefault="00FF629E" w:rsidP="00020D5E">
      <w:pPr>
        <w:jc w:val="both"/>
        <w:rPr>
          <w:sz w:val="24"/>
          <w:szCs w:val="24"/>
          <w:lang w:eastAsia="zh-CN"/>
        </w:rPr>
      </w:pPr>
      <w:r w:rsidRPr="00FF629E">
        <w:rPr>
          <w:sz w:val="24"/>
          <w:szCs w:val="24"/>
          <w:lang w:eastAsia="zh-CN"/>
        </w:rPr>
        <w:t>The UE uses GNSS and ephemeris data to calculate the RTT and Doppler shift, pre-compensating for both to ensure accurate uplink timing and frequency alignment.</w:t>
      </w:r>
      <w:proofErr w:type="spellStart"/>
      <w:r>
        <w:rPr>
          <w:sz w:val="24"/>
          <w:szCs w:val="24"/>
          <w:lang w:eastAsia="zh-CN"/>
        </w:rPr>
        <w:t xml:space="preserve"> </w:t>
      </w:r>
      <w:proofErr w:type="spellEnd"/>
    </w:p>
    <w:p w14:paraId="01ACA70B" w14:textId="6F0423AB" w:rsidR="00020D5E" w:rsidRPr="00D627F8" w:rsidRDefault="00287DFB" w:rsidP="00020D5E">
      <w:pPr>
        <w:jc w:val="both"/>
        <w:rPr>
          <w:rFonts w:eastAsia="Malgun Gothic" w:cs="Times"/>
          <w:bCs/>
          <w:lang w:eastAsia="zh-CN"/>
        </w:rPr>
      </w:pPr>
      <w:r w:rsidRPr="00D57CBA">
        <w:rPr>
          <w:sz w:val="24"/>
          <w:szCs w:val="24"/>
          <w:lang w:eastAsia="zh-CN"/>
        </w:rPr>
        <w:t>In RAN #1</w:t>
      </w:r>
      <w:r w:rsidR="00D57CBA" w:rsidRPr="00D57CBA">
        <w:rPr>
          <w:sz w:val="24"/>
          <w:szCs w:val="24"/>
          <w:lang w:eastAsia="zh-CN"/>
        </w:rPr>
        <w:t>08</w:t>
      </w:r>
      <w:r w:rsidRPr="00D57CBA">
        <w:rPr>
          <w:sz w:val="24"/>
          <w:szCs w:val="24"/>
          <w:lang w:eastAsia="zh-CN"/>
        </w:rPr>
        <w:t xml:space="preserve">, </w:t>
      </w:r>
      <w:r w:rsidR="00D57CBA" w:rsidRPr="00D57CBA">
        <w:rPr>
          <w:sz w:val="24"/>
          <w:szCs w:val="24"/>
          <w:lang w:eastAsia="zh-CN"/>
        </w:rPr>
        <w:t>a new study item was approved to study GNSS resilient NR-NTN operation</w:t>
      </w:r>
      <w:r w:rsidR="002301D8">
        <w:rPr>
          <w:sz w:val="24"/>
          <w:szCs w:val="24"/>
          <w:lang w:eastAsia="zh-CN"/>
        </w:rPr>
        <w:t xml:space="preserve"> </w:t>
      </w:r>
      <w:r w:rsidR="002301D8">
        <w:rPr>
          <w:sz w:val="24"/>
          <w:szCs w:val="24"/>
          <w:lang w:eastAsia="zh-CN"/>
        </w:rPr>
        <w:fldChar w:fldCharType="begin"/>
      </w:r>
      <w:r w:rsidR="002301D8">
        <w:rPr>
          <w:sz w:val="24"/>
          <w:szCs w:val="24"/>
          <w:lang w:eastAsia="zh-CN"/>
        </w:rPr>
        <w:instrText xml:space="preserve"> REF _Ref205907537 \r \h </w:instrText>
      </w:r>
      <w:r w:rsidR="002301D8">
        <w:rPr>
          <w:sz w:val="24"/>
          <w:szCs w:val="24"/>
          <w:lang w:eastAsia="zh-CN"/>
        </w:rPr>
      </w:r>
      <w:r w:rsidR="002301D8">
        <w:rPr>
          <w:sz w:val="24"/>
          <w:szCs w:val="24"/>
          <w:lang w:eastAsia="zh-CN"/>
        </w:rPr>
        <w:fldChar w:fldCharType="separate"/>
      </w:r>
      <w:r w:rsidR="002301D8">
        <w:rPr>
          <w:sz w:val="24"/>
          <w:szCs w:val="24"/>
          <w:lang w:eastAsia="zh-CN"/>
        </w:rPr>
        <w:t>[1]</w:t>
      </w:r>
      <w:r w:rsidR="002301D8">
        <w:rPr>
          <w:sz w:val="24"/>
          <w:szCs w:val="24"/>
          <w:lang w:eastAsia="zh-CN"/>
        </w:rPr>
        <w:fldChar w:fldCharType="end"/>
      </w:r>
      <w:r w:rsidR="002301D8">
        <w:rPr>
          <w:sz w:val="24"/>
          <w:szCs w:val="24"/>
          <w:lang w:eastAsia="zh-CN"/>
        </w:rPr>
        <w:t xml:space="preserve">, </w:t>
      </w:r>
      <w:r w:rsidR="00D57CBA" w:rsidRPr="00D57CBA">
        <w:rPr>
          <w:sz w:val="24"/>
          <w:szCs w:val="24"/>
          <w:lang w:eastAsia="zh-CN"/>
        </w:rPr>
        <w:t xml:space="preserve">initially focus on the case when GNSS information is temporarily unavailable. </w:t>
      </w:r>
      <w:r w:rsidR="002D5BE8" w:rsidRPr="002D5BE8">
        <w:rPr>
          <w:sz w:val="24"/>
          <w:szCs w:val="24"/>
          <w:lang w:eastAsia="zh-CN"/>
        </w:rPr>
        <w:t>For idle mode, the main issue for GNSS resilient operation is the timing and doppler shift pre-compensation error due to inaccurate distance estimation. In connected mode, open loop and close loop time and doppler shift adjustments can be studied.</w:t>
      </w:r>
    </w:p>
    <w:p w14:paraId="5123B7A7" w14:textId="4D66E4E6" w:rsidR="00D57CBA" w:rsidRDefault="00020D5E" w:rsidP="00B76E28">
      <w:pPr>
        <w:jc w:val="both"/>
        <w:rPr>
          <w:sz w:val="24"/>
          <w:szCs w:val="24"/>
          <w:lang w:eastAsia="zh-CN"/>
        </w:rPr>
      </w:pPr>
      <w:r>
        <w:rPr>
          <w:sz w:val="24"/>
          <w:szCs w:val="24"/>
          <w:lang w:eastAsia="zh-CN"/>
        </w:rPr>
        <w:t xml:space="preserve">In this contribution, we discuss the </w:t>
      </w:r>
      <w:r w:rsidR="005F555D">
        <w:rPr>
          <w:sz w:val="24"/>
          <w:szCs w:val="24"/>
          <w:lang w:eastAsia="zh-CN"/>
        </w:rPr>
        <w:t>information</w:t>
      </w:r>
      <w:r>
        <w:rPr>
          <w:sz w:val="24"/>
          <w:szCs w:val="24"/>
          <w:lang w:eastAsia="zh-CN"/>
        </w:rPr>
        <w:t xml:space="preserve"> needed to assist GNSS resilient </w:t>
      </w:r>
      <w:proofErr w:type="gramStart"/>
      <w:r>
        <w:rPr>
          <w:sz w:val="24"/>
          <w:szCs w:val="24"/>
          <w:lang w:eastAsia="zh-CN"/>
        </w:rPr>
        <w:t>operation, and</w:t>
      </w:r>
      <w:proofErr w:type="gramEnd"/>
      <w:r>
        <w:rPr>
          <w:sz w:val="24"/>
          <w:szCs w:val="24"/>
          <w:lang w:eastAsia="zh-CN"/>
        </w:rPr>
        <w:t xml:space="preserve"> impacts on preamble transmissions in </w:t>
      </w:r>
      <w:r w:rsidR="00D57CBA" w:rsidRPr="00D57CBA">
        <w:rPr>
          <w:sz w:val="24"/>
          <w:szCs w:val="24"/>
          <w:lang w:eastAsia="zh-CN"/>
        </w:rPr>
        <w:t>initial access.</w:t>
      </w:r>
    </w:p>
    <w:p w14:paraId="59287449" w14:textId="77777777" w:rsidR="00900229" w:rsidRPr="00D57CBA" w:rsidRDefault="00900229" w:rsidP="00B76E28">
      <w:pPr>
        <w:jc w:val="both"/>
        <w:rPr>
          <w:sz w:val="24"/>
          <w:szCs w:val="24"/>
          <w:lang w:eastAsia="zh-CN"/>
        </w:rPr>
      </w:pPr>
    </w:p>
    <w:p w14:paraId="62D38E23" w14:textId="5979632E" w:rsidR="00577117" w:rsidRPr="000531F8" w:rsidRDefault="002D5BE8" w:rsidP="00577117">
      <w:pPr>
        <w:pStyle w:val="ListParagraph"/>
        <w:numPr>
          <w:ilvl w:val="0"/>
          <w:numId w:val="43"/>
        </w:numPr>
        <w:spacing w:before="100" w:beforeAutospacing="1" w:after="100" w:afterAutospacing="1"/>
        <w:ind w:leftChars="0"/>
        <w:jc w:val="both"/>
        <w:rPr>
          <w:rFonts w:ascii="Times New Roman" w:hAnsi="Times New Roman"/>
          <w:b/>
          <w:bCs/>
          <w:sz w:val="24"/>
          <w:szCs w:val="24"/>
        </w:rPr>
      </w:pPr>
      <w:r>
        <w:rPr>
          <w:rFonts w:ascii="Times New Roman" w:hAnsi="Times New Roman"/>
          <w:b/>
          <w:bCs/>
          <w:sz w:val="24"/>
          <w:szCs w:val="24"/>
        </w:rPr>
        <w:t xml:space="preserve">NTN location and </w:t>
      </w:r>
      <w:r w:rsidR="00577117" w:rsidRPr="000531F8">
        <w:rPr>
          <w:rFonts w:ascii="Times New Roman" w:hAnsi="Times New Roman"/>
          <w:b/>
          <w:bCs/>
          <w:sz w:val="24"/>
          <w:szCs w:val="24"/>
        </w:rPr>
        <w:t xml:space="preserve">distance </w:t>
      </w:r>
      <w:r>
        <w:rPr>
          <w:rFonts w:ascii="Times New Roman" w:hAnsi="Times New Roman"/>
          <w:b/>
          <w:bCs/>
          <w:sz w:val="24"/>
          <w:szCs w:val="24"/>
        </w:rPr>
        <w:t>estimation</w:t>
      </w:r>
    </w:p>
    <w:p w14:paraId="2CB6DFCC" w14:textId="1773561C" w:rsidR="00290BCB" w:rsidRPr="002D5BE8" w:rsidRDefault="00290BCB" w:rsidP="00290BCB">
      <w:pPr>
        <w:jc w:val="both"/>
        <w:rPr>
          <w:sz w:val="24"/>
          <w:szCs w:val="24"/>
          <w:lang w:eastAsia="zh-CN"/>
        </w:rPr>
      </w:pPr>
      <w:r w:rsidRPr="002D5BE8">
        <w:rPr>
          <w:sz w:val="24"/>
          <w:szCs w:val="24"/>
          <w:lang w:eastAsia="zh-CN"/>
        </w:rPr>
        <w:t>In RAN1 #122</w:t>
      </w:r>
      <w:r w:rsidR="005F555D">
        <w:rPr>
          <w:sz w:val="24"/>
          <w:szCs w:val="24"/>
          <w:lang w:eastAsia="zh-CN"/>
        </w:rPr>
        <w:t xml:space="preserve"> </w:t>
      </w:r>
      <w:r w:rsidR="005F555D">
        <w:rPr>
          <w:sz w:val="24"/>
          <w:szCs w:val="24"/>
          <w:lang w:eastAsia="zh-CN"/>
        </w:rPr>
        <w:fldChar w:fldCharType="begin"/>
      </w:r>
      <w:r w:rsidR="005F555D">
        <w:rPr>
          <w:sz w:val="24"/>
          <w:szCs w:val="24"/>
          <w:lang w:eastAsia="zh-CN"/>
        </w:rPr>
        <w:instrText xml:space="preserve"> REF _Ref210158522 \r \h </w:instrText>
      </w:r>
      <w:r w:rsidR="005F555D">
        <w:rPr>
          <w:sz w:val="24"/>
          <w:szCs w:val="24"/>
          <w:lang w:eastAsia="zh-CN"/>
        </w:rPr>
      </w:r>
      <w:r w:rsidR="005F555D">
        <w:rPr>
          <w:sz w:val="24"/>
          <w:szCs w:val="24"/>
          <w:lang w:eastAsia="zh-CN"/>
        </w:rPr>
        <w:fldChar w:fldCharType="separate"/>
      </w:r>
      <w:r w:rsidR="005F555D">
        <w:rPr>
          <w:sz w:val="24"/>
          <w:szCs w:val="24"/>
          <w:lang w:eastAsia="zh-CN"/>
        </w:rPr>
        <w:t>[2]</w:t>
      </w:r>
      <w:r w:rsidR="005F555D">
        <w:rPr>
          <w:sz w:val="24"/>
          <w:szCs w:val="24"/>
          <w:lang w:eastAsia="zh-CN"/>
        </w:rPr>
        <w:fldChar w:fldCharType="end"/>
      </w:r>
      <w:r w:rsidRPr="002D5BE8">
        <w:rPr>
          <w:sz w:val="24"/>
          <w:szCs w:val="24"/>
          <w:lang w:eastAsia="zh-CN"/>
        </w:rPr>
        <w:t>, the following agreement</w:t>
      </w:r>
      <w:r w:rsidR="005F555D">
        <w:rPr>
          <w:sz w:val="24"/>
          <w:szCs w:val="24"/>
          <w:lang w:eastAsia="zh-CN"/>
        </w:rPr>
        <w:t>s</w:t>
      </w:r>
      <w:r w:rsidRPr="002D5BE8">
        <w:rPr>
          <w:sz w:val="24"/>
          <w:szCs w:val="24"/>
          <w:lang w:eastAsia="zh-CN"/>
        </w:rPr>
        <w:t xml:space="preserve"> </w:t>
      </w:r>
      <w:r w:rsidR="005F555D">
        <w:rPr>
          <w:sz w:val="24"/>
          <w:szCs w:val="24"/>
          <w:lang w:eastAsia="zh-CN"/>
        </w:rPr>
        <w:t>were</w:t>
      </w:r>
      <w:r w:rsidRPr="002D5BE8">
        <w:rPr>
          <w:sz w:val="24"/>
          <w:szCs w:val="24"/>
          <w:lang w:eastAsia="zh-CN"/>
        </w:rPr>
        <w:t xml:space="preserve"> made to clarify the use case scenarios in the </w:t>
      </w:r>
      <w:r w:rsidR="002D5BE8">
        <w:rPr>
          <w:sz w:val="24"/>
          <w:szCs w:val="24"/>
          <w:lang w:eastAsia="zh-CN"/>
        </w:rPr>
        <w:t xml:space="preserve">work </w:t>
      </w:r>
      <w:r w:rsidRPr="002D5BE8">
        <w:rPr>
          <w:sz w:val="24"/>
          <w:szCs w:val="24"/>
          <w:lang w:eastAsia="zh-CN"/>
        </w:rPr>
        <w:t xml:space="preserve">scope </w:t>
      </w:r>
      <w:r w:rsidR="002D5BE8">
        <w:rPr>
          <w:sz w:val="24"/>
          <w:szCs w:val="24"/>
          <w:lang w:eastAsia="zh-CN"/>
        </w:rPr>
        <w:t>and evaluation assumptions</w:t>
      </w:r>
      <w:r w:rsidRPr="002D5BE8">
        <w:rPr>
          <w:sz w:val="24"/>
          <w:szCs w:val="24"/>
          <w:lang w:eastAsia="zh-CN"/>
        </w:rPr>
        <w:t>.</w:t>
      </w:r>
    </w:p>
    <w:p w14:paraId="7EB471A4" w14:textId="77777777" w:rsidR="00290BCB" w:rsidRPr="002D5BE8" w:rsidRDefault="00290BCB" w:rsidP="00290BCB">
      <w:pPr>
        <w:pStyle w:val="Doc-text2"/>
        <w:rPr>
          <w:b/>
          <w:sz w:val="24"/>
          <w:szCs w:val="24"/>
        </w:rPr>
      </w:pPr>
      <w:r w:rsidRPr="002D5BE8">
        <w:rPr>
          <w:b/>
          <w:sz w:val="24"/>
          <w:szCs w:val="24"/>
          <w:highlight w:val="green"/>
        </w:rPr>
        <w:t>Agreement</w:t>
      </w:r>
    </w:p>
    <w:p w14:paraId="6B78AD4B" w14:textId="77777777" w:rsidR="00290BCB" w:rsidRPr="002D5BE8" w:rsidRDefault="00290BCB" w:rsidP="00290BCB">
      <w:pPr>
        <w:rPr>
          <w:bCs/>
          <w:sz w:val="24"/>
          <w:szCs w:val="24"/>
          <w:lang w:eastAsia="zh-CN"/>
        </w:rPr>
      </w:pPr>
      <w:r w:rsidRPr="002D5BE8">
        <w:rPr>
          <w:bCs/>
          <w:sz w:val="24"/>
          <w:szCs w:val="24"/>
          <w:lang w:eastAsia="zh-CN"/>
        </w:rPr>
        <w:t>For the study on GNSS resilient operation, scenarios should be considered where:</w:t>
      </w:r>
    </w:p>
    <w:p w14:paraId="0F9CF4E2" w14:textId="77777777" w:rsidR="00290BCB" w:rsidRPr="002D5BE8" w:rsidRDefault="00290BCB" w:rsidP="00290BCB">
      <w:pPr>
        <w:numPr>
          <w:ilvl w:val="0"/>
          <w:numId w:val="47"/>
        </w:numPr>
        <w:spacing w:after="0"/>
        <w:rPr>
          <w:rFonts w:eastAsia="Malgun Gothic" w:cs="Times"/>
          <w:bCs/>
          <w:sz w:val="24"/>
          <w:szCs w:val="24"/>
          <w:lang w:eastAsia="zh-CN"/>
        </w:rPr>
      </w:pPr>
      <w:r w:rsidRPr="002D5BE8">
        <w:rPr>
          <w:rFonts w:eastAsia="Malgun Gothic" w:cs="Times"/>
          <w:bCs/>
          <w:sz w:val="24"/>
          <w:szCs w:val="24"/>
          <w:lang w:eastAsia="zh-CN"/>
        </w:rPr>
        <w:t>Scenario 1: The UE cannot rely on its GNSS for timing and frequency compensation on the service link.</w:t>
      </w:r>
    </w:p>
    <w:p w14:paraId="136B4577" w14:textId="77777777" w:rsidR="00290BCB" w:rsidRPr="002D5BE8" w:rsidRDefault="00290BCB" w:rsidP="00290BCB">
      <w:pPr>
        <w:numPr>
          <w:ilvl w:val="0"/>
          <w:numId w:val="47"/>
        </w:numPr>
        <w:spacing w:after="0"/>
        <w:rPr>
          <w:rFonts w:eastAsia="Malgun Gothic" w:cs="Times"/>
          <w:bCs/>
          <w:sz w:val="24"/>
          <w:szCs w:val="24"/>
          <w:lang w:eastAsia="zh-CN"/>
        </w:rPr>
      </w:pPr>
      <w:r w:rsidRPr="002D5BE8">
        <w:rPr>
          <w:rFonts w:eastAsia="Malgun Gothic" w:cs="Times"/>
          <w:bCs/>
          <w:sz w:val="24"/>
          <w:szCs w:val="24"/>
          <w:lang w:eastAsia="zh-CN"/>
        </w:rPr>
        <w:t xml:space="preserve">Scenario 2: There is a previously acquired GNSS based position </w:t>
      </w:r>
    </w:p>
    <w:p w14:paraId="1554A506" w14:textId="77777777" w:rsidR="00290BCB" w:rsidRPr="002D5BE8" w:rsidRDefault="00290BCB" w:rsidP="00290BCB">
      <w:pPr>
        <w:numPr>
          <w:ilvl w:val="1"/>
          <w:numId w:val="47"/>
        </w:numPr>
        <w:spacing w:after="0"/>
        <w:rPr>
          <w:rFonts w:eastAsia="Malgun Gothic" w:cs="Times"/>
          <w:bCs/>
          <w:sz w:val="24"/>
          <w:szCs w:val="24"/>
          <w:lang w:eastAsia="zh-CN"/>
        </w:rPr>
      </w:pPr>
      <w:r w:rsidRPr="002D5BE8">
        <w:rPr>
          <w:rFonts w:eastAsia="Malgun Gothic" w:cs="Times"/>
          <w:bCs/>
          <w:sz w:val="24"/>
          <w:szCs w:val="24"/>
          <w:lang w:eastAsia="zh-CN"/>
        </w:rPr>
        <w:t>UE has not received GNSS information for time duration T from the last acquired GNSS position and hence, the GNSS accuracy is degraded</w:t>
      </w:r>
    </w:p>
    <w:p w14:paraId="6B4B92E5" w14:textId="77777777" w:rsidR="00290BCB" w:rsidRPr="002D5BE8" w:rsidRDefault="00290BCB" w:rsidP="00290BCB">
      <w:pPr>
        <w:numPr>
          <w:ilvl w:val="2"/>
          <w:numId w:val="47"/>
        </w:numPr>
        <w:spacing w:after="0"/>
        <w:rPr>
          <w:rFonts w:eastAsia="Malgun Gothic" w:cs="Times"/>
          <w:bCs/>
          <w:sz w:val="24"/>
          <w:szCs w:val="24"/>
          <w:lang w:eastAsia="zh-CN"/>
        </w:rPr>
      </w:pPr>
      <w:r w:rsidRPr="002D5BE8">
        <w:rPr>
          <w:rFonts w:eastAsia="Malgun Gothic" w:cs="Times"/>
          <w:bCs/>
          <w:sz w:val="24"/>
          <w:szCs w:val="24"/>
          <w:lang w:eastAsia="zh-CN"/>
        </w:rPr>
        <w:t xml:space="preserve">FFS: value of T </w:t>
      </w:r>
    </w:p>
    <w:p w14:paraId="4D4F527A" w14:textId="77777777" w:rsidR="00290BCB" w:rsidRPr="002D5BE8" w:rsidRDefault="00290BCB" w:rsidP="00290BCB">
      <w:pPr>
        <w:numPr>
          <w:ilvl w:val="2"/>
          <w:numId w:val="47"/>
        </w:numPr>
        <w:spacing w:after="0"/>
        <w:rPr>
          <w:rFonts w:eastAsia="Malgun Gothic" w:cs="Times"/>
          <w:bCs/>
          <w:sz w:val="24"/>
          <w:szCs w:val="24"/>
          <w:lang w:eastAsia="zh-CN"/>
        </w:rPr>
      </w:pPr>
      <w:r w:rsidRPr="002D5BE8">
        <w:rPr>
          <w:rFonts w:eastAsia="Malgun Gothic" w:cs="Times"/>
          <w:bCs/>
          <w:sz w:val="24"/>
          <w:szCs w:val="24"/>
          <w:lang w:eastAsia="zh-CN"/>
        </w:rPr>
        <w:t xml:space="preserve">FFS: GNSS based UE location validity duration </w:t>
      </w:r>
    </w:p>
    <w:p w14:paraId="771BF2C0" w14:textId="77777777" w:rsidR="00290BCB" w:rsidRPr="002D5BE8" w:rsidRDefault="00290BCB" w:rsidP="00290BCB">
      <w:pPr>
        <w:numPr>
          <w:ilvl w:val="2"/>
          <w:numId w:val="47"/>
        </w:numPr>
        <w:spacing w:after="0"/>
        <w:rPr>
          <w:rFonts w:eastAsia="Malgun Gothic" w:cs="Times"/>
          <w:bCs/>
          <w:sz w:val="24"/>
          <w:szCs w:val="24"/>
          <w:lang w:eastAsia="zh-CN"/>
        </w:rPr>
      </w:pPr>
      <w:r w:rsidRPr="002D5BE8">
        <w:rPr>
          <w:rFonts w:eastAsia="Malgun Gothic" w:cs="Times"/>
          <w:bCs/>
          <w:sz w:val="24"/>
          <w:szCs w:val="24"/>
          <w:lang w:eastAsia="zh-CN"/>
        </w:rPr>
        <w:t xml:space="preserve">FFS: GNSS accuracy </w:t>
      </w:r>
    </w:p>
    <w:p w14:paraId="063CA731" w14:textId="77777777" w:rsidR="00290BCB" w:rsidRPr="002D5BE8" w:rsidRDefault="00290BCB" w:rsidP="00290BCB">
      <w:pPr>
        <w:numPr>
          <w:ilvl w:val="0"/>
          <w:numId w:val="47"/>
        </w:numPr>
        <w:spacing w:after="0"/>
        <w:rPr>
          <w:rFonts w:eastAsia="Malgun Gothic" w:cs="Times"/>
          <w:bCs/>
          <w:sz w:val="24"/>
          <w:szCs w:val="24"/>
          <w:lang w:eastAsia="zh-CN"/>
        </w:rPr>
      </w:pPr>
      <w:r w:rsidRPr="002D5BE8">
        <w:rPr>
          <w:rFonts w:eastAsia="Malgun Gothic" w:cs="Times"/>
          <w:bCs/>
          <w:sz w:val="24"/>
          <w:szCs w:val="24"/>
          <w:lang w:eastAsia="zh-CN"/>
        </w:rPr>
        <w:t>Note: Two scenarios above belong to description as in SID.</w:t>
      </w:r>
    </w:p>
    <w:p w14:paraId="791D0D09" w14:textId="77777777" w:rsidR="002D5BE8" w:rsidRDefault="002D5BE8" w:rsidP="002D5BE8">
      <w:pPr>
        <w:rPr>
          <w:b/>
          <w:highlight w:val="green"/>
          <w:lang w:eastAsia="zh-CN"/>
        </w:rPr>
      </w:pPr>
    </w:p>
    <w:p w14:paraId="19DC3F01" w14:textId="71377F56" w:rsidR="002D5BE8" w:rsidRPr="002D5BE8" w:rsidRDefault="002D5BE8" w:rsidP="002D5BE8">
      <w:pPr>
        <w:rPr>
          <w:b/>
          <w:sz w:val="24"/>
          <w:szCs w:val="24"/>
          <w:lang w:eastAsia="zh-CN"/>
        </w:rPr>
      </w:pPr>
      <w:r w:rsidRPr="002D5BE8">
        <w:rPr>
          <w:b/>
          <w:sz w:val="24"/>
          <w:szCs w:val="24"/>
          <w:highlight w:val="green"/>
          <w:lang w:eastAsia="zh-CN"/>
        </w:rPr>
        <w:t>Agreement:</w:t>
      </w:r>
    </w:p>
    <w:p w14:paraId="3169DC03" w14:textId="77777777" w:rsidR="002D5BE8" w:rsidRPr="002D5BE8" w:rsidRDefault="002D5BE8" w:rsidP="002D5BE8">
      <w:pPr>
        <w:rPr>
          <w:bCs/>
          <w:sz w:val="24"/>
          <w:szCs w:val="24"/>
          <w:lang w:eastAsia="zh-CN"/>
        </w:rPr>
      </w:pPr>
      <w:r w:rsidRPr="002D5BE8">
        <w:rPr>
          <w:bCs/>
          <w:sz w:val="24"/>
          <w:szCs w:val="24"/>
          <w:lang w:eastAsia="zh-CN"/>
        </w:rPr>
        <w:t>For evaluation regarding GNSS-resilient operation, based on GNSS information or the lack of it, it is assumed that the UE has a horizontal location uncertainty within an area</w:t>
      </w:r>
    </w:p>
    <w:p w14:paraId="452A1FFA" w14:textId="77777777" w:rsidR="002D5BE8" w:rsidRPr="002D5BE8" w:rsidRDefault="002D5BE8" w:rsidP="002D5BE8">
      <w:pPr>
        <w:pStyle w:val="ListParagraph"/>
        <w:numPr>
          <w:ilvl w:val="0"/>
          <w:numId w:val="48"/>
        </w:numPr>
        <w:suppressAutoHyphens/>
        <w:spacing w:before="120" w:after="120"/>
        <w:ind w:leftChars="0"/>
        <w:jc w:val="both"/>
        <w:rPr>
          <w:rFonts w:ascii="Times New Roman" w:hAnsi="Times New Roman"/>
          <w:bCs/>
          <w:sz w:val="24"/>
          <w:szCs w:val="24"/>
        </w:rPr>
      </w:pPr>
      <w:r w:rsidRPr="002D5BE8">
        <w:rPr>
          <w:rFonts w:ascii="Times New Roman" w:hAnsi="Times New Roman"/>
          <w:bCs/>
          <w:sz w:val="24"/>
          <w:szCs w:val="24"/>
        </w:rPr>
        <w:t>Case a: the location uncertainty area is the area served by the cell or beam.</w:t>
      </w:r>
    </w:p>
    <w:p w14:paraId="7C199F32" w14:textId="77777777" w:rsidR="002D5BE8" w:rsidRPr="002D5BE8" w:rsidRDefault="002D5BE8" w:rsidP="002D5BE8">
      <w:pPr>
        <w:pStyle w:val="ListParagraph"/>
        <w:numPr>
          <w:ilvl w:val="0"/>
          <w:numId w:val="48"/>
        </w:numPr>
        <w:suppressAutoHyphens/>
        <w:spacing w:before="120" w:after="120"/>
        <w:ind w:leftChars="0"/>
        <w:jc w:val="both"/>
        <w:rPr>
          <w:rFonts w:ascii="Times New Roman" w:hAnsi="Times New Roman"/>
          <w:bCs/>
          <w:sz w:val="24"/>
          <w:szCs w:val="24"/>
        </w:rPr>
      </w:pPr>
      <w:r w:rsidRPr="002D5BE8">
        <w:rPr>
          <w:rFonts w:ascii="Times New Roman" w:hAnsi="Times New Roman"/>
          <w:bCs/>
          <w:sz w:val="24"/>
          <w:szCs w:val="24"/>
        </w:rPr>
        <w:lastRenderedPageBreak/>
        <w:t>Case b: the location uncertainty area is a circle of radius X km</w:t>
      </w:r>
    </w:p>
    <w:p w14:paraId="7DFD3826" w14:textId="77777777" w:rsidR="002D5BE8" w:rsidRPr="002D5BE8" w:rsidRDefault="002D5BE8" w:rsidP="002D5BE8">
      <w:pPr>
        <w:pStyle w:val="ListParagraph"/>
        <w:numPr>
          <w:ilvl w:val="1"/>
          <w:numId w:val="48"/>
        </w:numPr>
        <w:suppressAutoHyphens/>
        <w:spacing w:before="120" w:after="120"/>
        <w:ind w:leftChars="0"/>
        <w:jc w:val="both"/>
        <w:rPr>
          <w:rFonts w:ascii="Times New Roman" w:hAnsi="Times New Roman"/>
          <w:bCs/>
          <w:sz w:val="24"/>
          <w:szCs w:val="24"/>
        </w:rPr>
      </w:pPr>
      <w:r w:rsidRPr="002D5BE8">
        <w:rPr>
          <w:rFonts w:ascii="Times New Roman" w:hAnsi="Times New Roman"/>
          <w:bCs/>
          <w:sz w:val="24"/>
          <w:szCs w:val="24"/>
        </w:rPr>
        <w:t>X to be reported</w:t>
      </w:r>
    </w:p>
    <w:p w14:paraId="765FF4B9" w14:textId="77777777" w:rsidR="002D5BE8" w:rsidRPr="002D5BE8" w:rsidRDefault="002D5BE8" w:rsidP="002D5BE8">
      <w:pPr>
        <w:rPr>
          <w:bCs/>
          <w:sz w:val="24"/>
          <w:szCs w:val="24"/>
          <w:lang w:val="en-US"/>
        </w:rPr>
      </w:pPr>
      <w:r w:rsidRPr="002D5BE8">
        <w:rPr>
          <w:bCs/>
          <w:sz w:val="24"/>
          <w:szCs w:val="24"/>
          <w:lang w:val="en-US"/>
        </w:rPr>
        <w:t xml:space="preserve">UE altitude error should be </w:t>
      </w:r>
      <w:proofErr w:type="gramStart"/>
      <w:r w:rsidRPr="002D5BE8">
        <w:rPr>
          <w:bCs/>
          <w:sz w:val="24"/>
          <w:szCs w:val="24"/>
          <w:lang w:val="en-US"/>
        </w:rPr>
        <w:t>taken into account</w:t>
      </w:r>
      <w:proofErr w:type="gramEnd"/>
      <w:r w:rsidRPr="002D5BE8">
        <w:rPr>
          <w:bCs/>
          <w:sz w:val="24"/>
          <w:szCs w:val="24"/>
          <w:lang w:val="en-US"/>
        </w:rPr>
        <w:t>.</w:t>
      </w:r>
    </w:p>
    <w:p w14:paraId="5A3C6533" w14:textId="77777777" w:rsidR="002D5BE8" w:rsidRPr="002D5BE8" w:rsidRDefault="002D5BE8" w:rsidP="002D5BE8">
      <w:pPr>
        <w:numPr>
          <w:ilvl w:val="0"/>
          <w:numId w:val="49"/>
        </w:numPr>
        <w:spacing w:after="0"/>
        <w:rPr>
          <w:bCs/>
          <w:sz w:val="24"/>
          <w:szCs w:val="24"/>
          <w:lang w:val="en-US"/>
        </w:rPr>
      </w:pPr>
      <w:r w:rsidRPr="002D5BE8">
        <w:rPr>
          <w:bCs/>
          <w:sz w:val="24"/>
          <w:szCs w:val="24"/>
          <w:lang w:val="en-US"/>
        </w:rPr>
        <w:t>UE altitude error to be reported.</w:t>
      </w:r>
    </w:p>
    <w:p w14:paraId="5A034971" w14:textId="77777777" w:rsidR="002D5BE8" w:rsidRPr="002D5BE8" w:rsidRDefault="002D5BE8" w:rsidP="002D5BE8">
      <w:pPr>
        <w:rPr>
          <w:bCs/>
          <w:sz w:val="24"/>
          <w:szCs w:val="24"/>
        </w:rPr>
      </w:pPr>
      <w:r w:rsidRPr="002D5BE8">
        <w:rPr>
          <w:bCs/>
          <w:sz w:val="24"/>
          <w:szCs w:val="24"/>
          <w:lang w:val="en-US"/>
        </w:rPr>
        <w:t xml:space="preserve">For both </w:t>
      </w:r>
      <w:r w:rsidRPr="002D5BE8">
        <w:rPr>
          <w:bCs/>
          <w:sz w:val="24"/>
          <w:szCs w:val="24"/>
        </w:rPr>
        <w:t>Case a and Case b</w:t>
      </w:r>
      <w:r w:rsidRPr="002D5BE8">
        <w:rPr>
          <w:bCs/>
          <w:sz w:val="24"/>
          <w:szCs w:val="24"/>
          <w:lang w:val="en-US"/>
        </w:rPr>
        <w:t xml:space="preserve"> above, RAN1 to evaluate at least:</w:t>
      </w:r>
    </w:p>
    <w:p w14:paraId="4B254DD1" w14:textId="77777777" w:rsidR="002D5BE8" w:rsidRPr="002D5BE8" w:rsidRDefault="002D5BE8" w:rsidP="002D5BE8">
      <w:pPr>
        <w:pStyle w:val="ListParagraph"/>
        <w:numPr>
          <w:ilvl w:val="0"/>
          <w:numId w:val="48"/>
        </w:numPr>
        <w:suppressAutoHyphens/>
        <w:spacing w:before="120" w:after="120"/>
        <w:ind w:leftChars="0" w:left="1035"/>
        <w:jc w:val="both"/>
        <w:rPr>
          <w:bCs/>
          <w:sz w:val="24"/>
          <w:szCs w:val="24"/>
        </w:rPr>
      </w:pPr>
      <w:r w:rsidRPr="002D5BE8">
        <w:rPr>
          <w:rFonts w:ascii="Times New Roman" w:hAnsi="Times New Roman"/>
          <w:bCs/>
          <w:sz w:val="24"/>
          <w:szCs w:val="24"/>
        </w:rPr>
        <w:t>Differential delay values</w:t>
      </w:r>
    </w:p>
    <w:p w14:paraId="712715A0" w14:textId="77777777" w:rsidR="002D5BE8" w:rsidRPr="002D5BE8" w:rsidRDefault="002D5BE8" w:rsidP="002D5BE8">
      <w:pPr>
        <w:pStyle w:val="ListParagraph"/>
        <w:numPr>
          <w:ilvl w:val="0"/>
          <w:numId w:val="48"/>
        </w:numPr>
        <w:suppressAutoHyphens/>
        <w:spacing w:before="120" w:after="120"/>
        <w:ind w:leftChars="0" w:left="1035"/>
        <w:jc w:val="both"/>
        <w:rPr>
          <w:bCs/>
          <w:sz w:val="24"/>
          <w:szCs w:val="24"/>
        </w:rPr>
      </w:pPr>
      <w:r w:rsidRPr="002D5BE8">
        <w:rPr>
          <w:rFonts w:ascii="Times New Roman" w:hAnsi="Times New Roman"/>
          <w:bCs/>
          <w:sz w:val="24"/>
          <w:szCs w:val="24"/>
        </w:rPr>
        <w:t>Differential frequency offset/Doppler values</w:t>
      </w:r>
    </w:p>
    <w:p w14:paraId="5FE6A498" w14:textId="77777777" w:rsidR="00290BCB" w:rsidRPr="002D5BE8" w:rsidRDefault="00290BCB" w:rsidP="00290BCB">
      <w:pPr>
        <w:rPr>
          <w:rFonts w:eastAsia="Malgun Gothic" w:cs="Times"/>
          <w:b/>
          <w:sz w:val="24"/>
          <w:szCs w:val="24"/>
          <w:lang w:eastAsia="zh-CN"/>
        </w:rPr>
      </w:pPr>
    </w:p>
    <w:p w14:paraId="2E4531FD" w14:textId="042F53FF" w:rsidR="00290BCB" w:rsidRPr="002D5BE8" w:rsidRDefault="00290BCB" w:rsidP="00290BCB">
      <w:pPr>
        <w:rPr>
          <w:rFonts w:eastAsia="Malgun Gothic" w:cs="Times"/>
          <w:bCs/>
          <w:sz w:val="24"/>
          <w:szCs w:val="24"/>
          <w:lang w:eastAsia="zh-CN"/>
        </w:rPr>
      </w:pPr>
      <w:r w:rsidRPr="002D5BE8">
        <w:rPr>
          <w:rFonts w:eastAsia="Malgun Gothic" w:cs="Times"/>
          <w:bCs/>
          <w:sz w:val="24"/>
          <w:szCs w:val="24"/>
          <w:lang w:eastAsia="zh-CN"/>
        </w:rPr>
        <w:t xml:space="preserve">For </w:t>
      </w:r>
      <w:r w:rsidR="00FF629E">
        <w:rPr>
          <w:rFonts w:eastAsia="Malgun Gothic" w:cs="Times"/>
          <w:bCs/>
          <w:sz w:val="24"/>
          <w:szCs w:val="24"/>
          <w:lang w:eastAsia="zh-CN"/>
        </w:rPr>
        <w:t>S</w:t>
      </w:r>
      <w:r w:rsidRPr="002D5BE8">
        <w:rPr>
          <w:rFonts w:eastAsia="Malgun Gothic" w:cs="Times"/>
          <w:bCs/>
          <w:sz w:val="24"/>
          <w:szCs w:val="24"/>
          <w:lang w:eastAsia="zh-CN"/>
        </w:rPr>
        <w:t xml:space="preserve">cenario 1, a refence distance or location may be useful for NTN UE to have a rough estimation for pre-compensation in contention access. </w:t>
      </w:r>
    </w:p>
    <w:p w14:paraId="04BA6C69" w14:textId="77777777" w:rsidR="00290BCB" w:rsidRPr="002D5BE8" w:rsidRDefault="00290BCB" w:rsidP="00290BCB">
      <w:pPr>
        <w:rPr>
          <w:sz w:val="24"/>
          <w:szCs w:val="24"/>
        </w:rPr>
      </w:pPr>
      <w:r w:rsidRPr="002D5BE8">
        <w:rPr>
          <w:sz w:val="24"/>
          <w:szCs w:val="24"/>
        </w:rPr>
        <w:t>A satellite may have more than 1000 beams in the coverage area, while the simultaneous beam transmissions may be limited, e.g. 16 or 100 active beams at any given time. Due to the large coverage area and the large number of beams, different beams can have different footprints and different angles.</w:t>
      </w:r>
    </w:p>
    <w:p w14:paraId="1A1ED826" w14:textId="77777777" w:rsidR="00290BCB" w:rsidRPr="002D5BE8" w:rsidRDefault="00290BCB" w:rsidP="00290BCB">
      <w:pPr>
        <w:rPr>
          <w:sz w:val="24"/>
          <w:szCs w:val="24"/>
        </w:rPr>
      </w:pPr>
      <w:r w:rsidRPr="002D5BE8">
        <w:rPr>
          <w:sz w:val="24"/>
          <w:szCs w:val="24"/>
        </w:rPr>
        <w:t xml:space="preserve">A reference distance or reference position can be indicated by the </w:t>
      </w:r>
      <w:proofErr w:type="spellStart"/>
      <w:r w:rsidRPr="002D5BE8">
        <w:rPr>
          <w:sz w:val="24"/>
          <w:szCs w:val="24"/>
        </w:rPr>
        <w:t>gNB</w:t>
      </w:r>
      <w:proofErr w:type="spellEnd"/>
      <w:r w:rsidRPr="002D5BE8">
        <w:rPr>
          <w:sz w:val="24"/>
          <w:szCs w:val="24"/>
        </w:rPr>
        <w:t xml:space="preserve"> to assist the TA pre-compensation at initial access in case of GNSS resilient operation. The reference distance is beam specific. Since the information is needed for initial access, the reference distance or a reference position should be included in some SIB, e.g. SIB19 with additional information.</w:t>
      </w:r>
    </w:p>
    <w:p w14:paraId="1699EEAC" w14:textId="1E0C8DDB" w:rsidR="002D5BE8" w:rsidRPr="002D5BE8" w:rsidRDefault="007A2CB0" w:rsidP="002D5BE8">
      <w:pPr>
        <w:rPr>
          <w:rFonts w:eastAsia="Malgun Gothic" w:cs="Times"/>
          <w:bCs/>
          <w:sz w:val="24"/>
          <w:szCs w:val="24"/>
          <w:lang w:eastAsia="zh-CN"/>
        </w:rPr>
      </w:pPr>
      <w:r w:rsidRPr="002D5BE8">
        <w:rPr>
          <w:sz w:val="24"/>
          <w:szCs w:val="24"/>
        </w:rPr>
        <w:t>Even with a reference distance, the location estimation error may be very different depending on the beam pattern, the beam angle, beam radius and the surface terrain. A maximum estimation error should be defined for GNSS resilient operation together with a reference distance indication.</w:t>
      </w:r>
      <w:r w:rsidR="002D5BE8">
        <w:rPr>
          <w:sz w:val="24"/>
          <w:szCs w:val="24"/>
        </w:rPr>
        <w:t xml:space="preserve"> F</w:t>
      </w:r>
      <w:r w:rsidR="002D5BE8" w:rsidRPr="002D5BE8">
        <w:rPr>
          <w:sz w:val="24"/>
          <w:szCs w:val="24"/>
        </w:rPr>
        <w:t xml:space="preserve">urthermore, Doppler based positioning may be used to estimate the UE location with reasonable accuracy that is comparable or better than using the reference distance. </w:t>
      </w:r>
    </w:p>
    <w:p w14:paraId="7A415321" w14:textId="3156BBBC" w:rsidR="00290BCB" w:rsidRDefault="00290BCB" w:rsidP="00290BCB">
      <w:pPr>
        <w:rPr>
          <w:sz w:val="24"/>
          <w:szCs w:val="24"/>
        </w:rPr>
      </w:pPr>
      <w:r w:rsidRPr="002D5BE8">
        <w:rPr>
          <w:sz w:val="24"/>
          <w:szCs w:val="24"/>
        </w:rPr>
        <w:t xml:space="preserve">For </w:t>
      </w:r>
      <w:r w:rsidR="00FF629E">
        <w:rPr>
          <w:sz w:val="24"/>
          <w:szCs w:val="24"/>
        </w:rPr>
        <w:t>S</w:t>
      </w:r>
      <w:r w:rsidRPr="002D5BE8">
        <w:rPr>
          <w:sz w:val="24"/>
          <w:szCs w:val="24"/>
        </w:rPr>
        <w:t xml:space="preserve">cenario 2, the previous GNSS information may be used to estimate the distance without a reference distance indication. Depending on the </w:t>
      </w:r>
      <w:r w:rsidR="007A2CB0" w:rsidRPr="002D5BE8">
        <w:rPr>
          <w:sz w:val="24"/>
          <w:szCs w:val="24"/>
        </w:rPr>
        <w:t>time duration T and the location of the UE in the beam footprint, the accuracy of the rough GNSS location estimation may be better than the indicated beam specific reference distance.</w:t>
      </w:r>
    </w:p>
    <w:p w14:paraId="4C51A50B" w14:textId="669EB4E8" w:rsidR="002D5BE8" w:rsidRPr="002D5BE8" w:rsidRDefault="002D5BE8" w:rsidP="00290BCB">
      <w:pPr>
        <w:rPr>
          <w:sz w:val="24"/>
          <w:szCs w:val="24"/>
        </w:rPr>
      </w:pPr>
      <w:r>
        <w:rPr>
          <w:sz w:val="24"/>
          <w:szCs w:val="24"/>
        </w:rPr>
        <w:t>For both scenarios, a reference location or distance indication may be useful, but not critical since other positioning methods and previous GNSS information may be sufficient.</w:t>
      </w:r>
    </w:p>
    <w:p w14:paraId="008ABFE1" w14:textId="77777777" w:rsidR="002D5BE8" w:rsidRDefault="002D5BE8" w:rsidP="002D5BE8">
      <w:pPr>
        <w:spacing w:before="100" w:beforeAutospacing="1" w:after="100" w:afterAutospacing="1"/>
        <w:jc w:val="both"/>
        <w:rPr>
          <w:b/>
          <w:bCs/>
          <w:sz w:val="24"/>
          <w:szCs w:val="24"/>
        </w:rPr>
      </w:pPr>
      <w:r w:rsidRPr="002D5BE8">
        <w:rPr>
          <w:b/>
          <w:bCs/>
          <w:sz w:val="24"/>
          <w:szCs w:val="24"/>
        </w:rPr>
        <w:t xml:space="preserve">Proposal 1: </w:t>
      </w:r>
      <w:r>
        <w:rPr>
          <w:b/>
          <w:bCs/>
          <w:sz w:val="24"/>
          <w:szCs w:val="24"/>
        </w:rPr>
        <w:t>A</w:t>
      </w:r>
      <w:r w:rsidRPr="002D5BE8">
        <w:rPr>
          <w:b/>
          <w:bCs/>
          <w:sz w:val="24"/>
          <w:szCs w:val="24"/>
        </w:rPr>
        <w:t xml:space="preserve"> maximum estimation error should be defined for GNSS resilient operation.</w:t>
      </w:r>
      <w:r>
        <w:rPr>
          <w:b/>
          <w:bCs/>
          <w:sz w:val="24"/>
          <w:szCs w:val="24"/>
        </w:rPr>
        <w:t xml:space="preserve"> </w:t>
      </w:r>
      <w:r w:rsidRPr="002D5BE8">
        <w:rPr>
          <w:b/>
          <w:bCs/>
          <w:sz w:val="24"/>
          <w:szCs w:val="24"/>
        </w:rPr>
        <w:t xml:space="preserve">A reference distance indication may be </w:t>
      </w:r>
      <w:r>
        <w:rPr>
          <w:b/>
          <w:bCs/>
          <w:sz w:val="24"/>
          <w:szCs w:val="24"/>
        </w:rPr>
        <w:t xml:space="preserve">a useful option but should not be specified as mandatary. </w:t>
      </w:r>
    </w:p>
    <w:p w14:paraId="372EE387" w14:textId="77777777" w:rsidR="00471BE3" w:rsidRPr="00D627F8" w:rsidRDefault="00471BE3" w:rsidP="00471BE3">
      <w:pPr>
        <w:rPr>
          <w:rFonts w:eastAsia="Malgun Gothic" w:cs="Times"/>
          <w:b/>
          <w:color w:val="EE0000"/>
          <w:lang w:eastAsia="zh-CN"/>
        </w:rPr>
      </w:pPr>
    </w:p>
    <w:p w14:paraId="2A287F95" w14:textId="0F1DE9C5" w:rsidR="00D57CBA" w:rsidRPr="00CE73FA" w:rsidRDefault="00CE73FA" w:rsidP="0032463B">
      <w:pPr>
        <w:pStyle w:val="ListParagraph"/>
        <w:numPr>
          <w:ilvl w:val="0"/>
          <w:numId w:val="43"/>
        </w:numPr>
        <w:ind w:leftChars="0"/>
        <w:jc w:val="both"/>
        <w:rPr>
          <w:rFonts w:ascii="Times New Roman" w:hAnsi="Times New Roman"/>
          <w:b/>
          <w:bCs/>
          <w:sz w:val="24"/>
          <w:szCs w:val="24"/>
        </w:rPr>
      </w:pPr>
      <w:r w:rsidRPr="00CE73FA">
        <w:rPr>
          <w:rFonts w:ascii="Times New Roman" w:hAnsi="Times New Roman"/>
          <w:b/>
          <w:bCs/>
          <w:sz w:val="24"/>
          <w:szCs w:val="24"/>
        </w:rPr>
        <w:t xml:space="preserve">Preamble transmissions in </w:t>
      </w:r>
      <w:r w:rsidR="00D57CBA" w:rsidRPr="00CE73FA">
        <w:rPr>
          <w:rFonts w:ascii="Times New Roman" w:hAnsi="Times New Roman"/>
          <w:b/>
          <w:bCs/>
          <w:sz w:val="24"/>
          <w:szCs w:val="24"/>
        </w:rPr>
        <w:t xml:space="preserve">GNSS resilient </w:t>
      </w:r>
      <w:r w:rsidRPr="00CE73FA">
        <w:rPr>
          <w:rFonts w:ascii="Times New Roman" w:hAnsi="Times New Roman"/>
          <w:b/>
          <w:bCs/>
          <w:sz w:val="24"/>
          <w:szCs w:val="24"/>
        </w:rPr>
        <w:t>operation</w:t>
      </w:r>
    </w:p>
    <w:p w14:paraId="3C35FE83" w14:textId="77777777" w:rsidR="002C7003" w:rsidRPr="00475A6A" w:rsidRDefault="002C7003" w:rsidP="00B76E28">
      <w:pPr>
        <w:pStyle w:val="NormalWeb"/>
        <w:shd w:val="clear" w:color="auto" w:fill="FFFFFF"/>
        <w:spacing w:before="0" w:beforeAutospacing="0" w:after="0" w:afterAutospacing="0" w:line="200" w:lineRule="atLeast"/>
        <w:jc w:val="both"/>
        <w:rPr>
          <w:highlight w:val="yellow"/>
        </w:rPr>
      </w:pPr>
    </w:p>
    <w:p w14:paraId="3A50B9C4" w14:textId="77777777" w:rsidR="00CE73FA" w:rsidRPr="00CE73FA" w:rsidRDefault="0032463B" w:rsidP="00CE73FA">
      <w:pPr>
        <w:jc w:val="both"/>
        <w:rPr>
          <w:color w:val="312E25"/>
          <w:sz w:val="24"/>
          <w:szCs w:val="24"/>
        </w:rPr>
      </w:pPr>
      <w:r w:rsidRPr="00CE73FA">
        <w:rPr>
          <w:sz w:val="24"/>
          <w:szCs w:val="24"/>
        </w:rPr>
        <w:t>I</w:t>
      </w:r>
      <w:r w:rsidR="00D57CBA" w:rsidRPr="00CE73FA">
        <w:rPr>
          <w:sz w:val="24"/>
          <w:szCs w:val="24"/>
        </w:rPr>
        <w:t xml:space="preserve">n GNSS resilient NR-NTN operation, the </w:t>
      </w:r>
      <w:r w:rsidR="00D57CBA" w:rsidRPr="00CE73FA">
        <w:rPr>
          <w:color w:val="312E25"/>
          <w:sz w:val="24"/>
          <w:szCs w:val="24"/>
        </w:rPr>
        <w:t xml:space="preserve">positioning error </w:t>
      </w:r>
      <w:r w:rsidR="00CE73FA" w:rsidRPr="00CE73FA">
        <w:rPr>
          <w:color w:val="312E25"/>
          <w:sz w:val="24"/>
          <w:szCs w:val="24"/>
        </w:rPr>
        <w:t xml:space="preserve">leads to </w:t>
      </w:r>
      <w:r w:rsidR="00D57CBA" w:rsidRPr="00CE73FA">
        <w:rPr>
          <w:color w:val="312E25"/>
          <w:sz w:val="24"/>
          <w:szCs w:val="24"/>
        </w:rPr>
        <w:t xml:space="preserve">timing </w:t>
      </w:r>
      <w:r w:rsidR="00CE73FA" w:rsidRPr="00CE73FA">
        <w:rPr>
          <w:color w:val="312E25"/>
          <w:sz w:val="24"/>
          <w:szCs w:val="24"/>
        </w:rPr>
        <w:t xml:space="preserve">and doppler </w:t>
      </w:r>
      <w:r w:rsidR="00D57CBA" w:rsidRPr="00CE73FA">
        <w:rPr>
          <w:color w:val="312E25"/>
          <w:sz w:val="24"/>
          <w:szCs w:val="24"/>
        </w:rPr>
        <w:t xml:space="preserve">estimation </w:t>
      </w:r>
      <w:r w:rsidR="00CE73FA" w:rsidRPr="00CE73FA">
        <w:rPr>
          <w:color w:val="312E25"/>
          <w:sz w:val="24"/>
          <w:szCs w:val="24"/>
        </w:rPr>
        <w:t>errors.</w:t>
      </w:r>
      <w:r w:rsidR="00D57CBA" w:rsidRPr="00CE73FA">
        <w:rPr>
          <w:color w:val="312E25"/>
          <w:sz w:val="24"/>
          <w:szCs w:val="24"/>
        </w:rPr>
        <w:t xml:space="preserve"> </w:t>
      </w:r>
      <w:r w:rsidR="00CE73FA" w:rsidRPr="00CE73FA">
        <w:rPr>
          <w:color w:val="312E25"/>
          <w:sz w:val="24"/>
          <w:szCs w:val="24"/>
        </w:rPr>
        <w:t>T</w:t>
      </w:r>
      <w:r w:rsidR="00D57CBA" w:rsidRPr="00CE73FA">
        <w:rPr>
          <w:color w:val="312E25"/>
          <w:sz w:val="24"/>
          <w:szCs w:val="24"/>
        </w:rPr>
        <w:t xml:space="preserve">he </w:t>
      </w:r>
      <w:r w:rsidR="00DC4CEB" w:rsidRPr="00CE73FA">
        <w:rPr>
          <w:color w:val="312E25"/>
          <w:sz w:val="24"/>
          <w:szCs w:val="24"/>
        </w:rPr>
        <w:t xml:space="preserve">autonomous </w:t>
      </w:r>
      <w:r w:rsidR="00D57CBA" w:rsidRPr="00CE73FA">
        <w:rPr>
          <w:color w:val="312E25"/>
          <w:sz w:val="24"/>
          <w:szCs w:val="24"/>
        </w:rPr>
        <w:t xml:space="preserve">TA pre-compensation </w:t>
      </w:r>
      <w:r w:rsidR="00DC4CEB" w:rsidRPr="00CE73FA">
        <w:rPr>
          <w:color w:val="312E25"/>
          <w:sz w:val="24"/>
          <w:szCs w:val="24"/>
        </w:rPr>
        <w:t xml:space="preserve">at the NTN UE </w:t>
      </w:r>
      <w:r w:rsidR="00D57CBA" w:rsidRPr="00CE73FA">
        <w:rPr>
          <w:color w:val="312E25"/>
          <w:sz w:val="24"/>
          <w:szCs w:val="24"/>
        </w:rPr>
        <w:t>will not be good enough</w:t>
      </w:r>
      <w:r w:rsidRPr="00CE73FA">
        <w:rPr>
          <w:color w:val="312E25"/>
          <w:sz w:val="24"/>
          <w:szCs w:val="24"/>
        </w:rPr>
        <w:t xml:space="preserve"> during </w:t>
      </w:r>
      <w:r w:rsidRPr="00CE73FA">
        <w:rPr>
          <w:sz w:val="24"/>
          <w:szCs w:val="24"/>
        </w:rPr>
        <w:t>initial access.</w:t>
      </w:r>
      <w:r w:rsidR="00CE73FA" w:rsidRPr="00CE73FA">
        <w:rPr>
          <w:sz w:val="24"/>
          <w:szCs w:val="24"/>
        </w:rPr>
        <w:t xml:space="preserve"> For example, </w:t>
      </w:r>
      <w:r w:rsidR="00D57CBA" w:rsidRPr="00CE73FA">
        <w:rPr>
          <w:color w:val="312E25"/>
          <w:sz w:val="24"/>
          <w:szCs w:val="24"/>
        </w:rPr>
        <w:t>it is possible that the PRACH preamble may be partially outside of the target RO region</w:t>
      </w:r>
      <w:r w:rsidRPr="00CE73FA">
        <w:rPr>
          <w:color w:val="312E25"/>
          <w:sz w:val="24"/>
          <w:szCs w:val="24"/>
        </w:rPr>
        <w:t xml:space="preserve"> at the </w:t>
      </w:r>
      <w:proofErr w:type="spellStart"/>
      <w:r w:rsidRPr="00CE73FA">
        <w:rPr>
          <w:color w:val="312E25"/>
          <w:sz w:val="24"/>
          <w:szCs w:val="24"/>
        </w:rPr>
        <w:t>gNB</w:t>
      </w:r>
      <w:proofErr w:type="spellEnd"/>
      <w:r w:rsidRPr="00CE73FA">
        <w:rPr>
          <w:color w:val="312E25"/>
          <w:sz w:val="24"/>
          <w:szCs w:val="24"/>
        </w:rPr>
        <w:t xml:space="preserve"> side</w:t>
      </w:r>
      <w:r w:rsidR="002301D8" w:rsidRPr="00CE73FA">
        <w:rPr>
          <w:color w:val="312E25"/>
          <w:sz w:val="24"/>
          <w:szCs w:val="24"/>
        </w:rPr>
        <w:t>.</w:t>
      </w:r>
      <w:r w:rsidR="00D57CBA" w:rsidRPr="00CE73FA">
        <w:rPr>
          <w:color w:val="312E25"/>
          <w:sz w:val="24"/>
          <w:szCs w:val="24"/>
        </w:rPr>
        <w:t xml:space="preserve"> </w:t>
      </w:r>
    </w:p>
    <w:p w14:paraId="08E3AB75" w14:textId="595362DB" w:rsidR="00D57CBA" w:rsidRPr="00CE73FA" w:rsidRDefault="00CE73FA" w:rsidP="00CE73FA">
      <w:pPr>
        <w:jc w:val="both"/>
        <w:rPr>
          <w:color w:val="312E25"/>
          <w:sz w:val="24"/>
          <w:szCs w:val="24"/>
        </w:rPr>
      </w:pPr>
      <w:r w:rsidRPr="00CE73FA">
        <w:rPr>
          <w:color w:val="312E25"/>
          <w:sz w:val="24"/>
          <w:szCs w:val="24"/>
        </w:rPr>
        <w:t>For a single RO, i</w:t>
      </w:r>
      <w:r w:rsidR="0032463B" w:rsidRPr="00CE73FA">
        <w:rPr>
          <w:color w:val="312E25"/>
          <w:sz w:val="24"/>
          <w:szCs w:val="24"/>
        </w:rPr>
        <w:t xml:space="preserve">f </w:t>
      </w:r>
      <w:r w:rsidR="00D57CBA" w:rsidRPr="00CE73FA">
        <w:rPr>
          <w:color w:val="312E25"/>
          <w:sz w:val="24"/>
          <w:szCs w:val="24"/>
        </w:rPr>
        <w:t>the TA estimation is too small</w:t>
      </w:r>
      <w:r w:rsidR="0032463B" w:rsidRPr="00CE73FA">
        <w:rPr>
          <w:color w:val="312E25"/>
          <w:sz w:val="24"/>
          <w:szCs w:val="24"/>
        </w:rPr>
        <w:t xml:space="preserve"> at the NTN UE</w:t>
      </w:r>
      <w:r w:rsidR="00D57CBA" w:rsidRPr="00CE73FA">
        <w:rPr>
          <w:color w:val="312E25"/>
          <w:sz w:val="24"/>
          <w:szCs w:val="24"/>
        </w:rPr>
        <w:t xml:space="preserve">, the preamble </w:t>
      </w:r>
      <w:r w:rsidR="0032463B" w:rsidRPr="00CE73FA">
        <w:rPr>
          <w:color w:val="312E25"/>
          <w:sz w:val="24"/>
          <w:szCs w:val="24"/>
        </w:rPr>
        <w:t xml:space="preserve">will arrive </w:t>
      </w:r>
      <w:r w:rsidR="00D57CBA" w:rsidRPr="00CE73FA">
        <w:rPr>
          <w:color w:val="312E25"/>
          <w:sz w:val="24"/>
          <w:szCs w:val="24"/>
        </w:rPr>
        <w:t>too early in the RO</w:t>
      </w:r>
      <w:r w:rsidR="0032463B" w:rsidRPr="00CE73FA">
        <w:rPr>
          <w:color w:val="312E25"/>
          <w:sz w:val="24"/>
          <w:szCs w:val="24"/>
        </w:rPr>
        <w:t xml:space="preserve"> or before the RO region. On the other hand, if </w:t>
      </w:r>
      <w:r w:rsidR="00D57CBA" w:rsidRPr="00CE73FA">
        <w:rPr>
          <w:color w:val="312E25"/>
          <w:sz w:val="24"/>
          <w:szCs w:val="24"/>
        </w:rPr>
        <w:t>the TA estimation is too large</w:t>
      </w:r>
      <w:r w:rsidR="0032463B" w:rsidRPr="00CE73FA">
        <w:rPr>
          <w:color w:val="312E25"/>
          <w:sz w:val="24"/>
          <w:szCs w:val="24"/>
        </w:rPr>
        <w:t xml:space="preserve">, </w:t>
      </w:r>
      <w:r w:rsidR="00D57CBA" w:rsidRPr="00CE73FA">
        <w:rPr>
          <w:color w:val="312E25"/>
          <w:sz w:val="24"/>
          <w:szCs w:val="24"/>
        </w:rPr>
        <w:t xml:space="preserve">the preamble </w:t>
      </w:r>
      <w:r w:rsidR="0032463B" w:rsidRPr="00CE73FA">
        <w:rPr>
          <w:color w:val="312E25"/>
          <w:sz w:val="24"/>
          <w:szCs w:val="24"/>
        </w:rPr>
        <w:lastRenderedPageBreak/>
        <w:t xml:space="preserve">will </w:t>
      </w:r>
      <w:r w:rsidR="00D57CBA" w:rsidRPr="00CE73FA">
        <w:rPr>
          <w:color w:val="312E25"/>
          <w:sz w:val="24"/>
          <w:szCs w:val="24"/>
        </w:rPr>
        <w:t>arrive late in the RO</w:t>
      </w:r>
      <w:r w:rsidR="0032463B" w:rsidRPr="00CE73FA">
        <w:rPr>
          <w:color w:val="312E25"/>
          <w:sz w:val="24"/>
          <w:szCs w:val="24"/>
        </w:rPr>
        <w:t>, and cannon be completed within the RO</w:t>
      </w:r>
      <w:r w:rsidR="00D57CBA" w:rsidRPr="00CE73FA">
        <w:rPr>
          <w:color w:val="312E25"/>
          <w:sz w:val="24"/>
          <w:szCs w:val="24"/>
        </w:rPr>
        <w:t xml:space="preserve">. In both scenarios, the </w:t>
      </w:r>
      <w:proofErr w:type="spellStart"/>
      <w:r w:rsidR="00D57CBA" w:rsidRPr="00CE73FA">
        <w:rPr>
          <w:color w:val="312E25"/>
          <w:sz w:val="24"/>
          <w:szCs w:val="24"/>
        </w:rPr>
        <w:t>gNB</w:t>
      </w:r>
      <w:proofErr w:type="spellEnd"/>
      <w:r w:rsidR="00D57CBA" w:rsidRPr="00CE73FA">
        <w:rPr>
          <w:color w:val="312E25"/>
          <w:sz w:val="24"/>
          <w:szCs w:val="24"/>
        </w:rPr>
        <w:t xml:space="preserve"> may not be able to detect the PRACH preamble correctly and lead to failure of RACH process. </w:t>
      </w:r>
    </w:p>
    <w:p w14:paraId="6B2BA214" w14:textId="77777777" w:rsidR="00CE73FA" w:rsidRPr="00085CFC" w:rsidRDefault="00C32372" w:rsidP="00A41E58">
      <w:pPr>
        <w:jc w:val="both"/>
        <w:rPr>
          <w:sz w:val="24"/>
          <w:szCs w:val="24"/>
        </w:rPr>
      </w:pPr>
      <w:r w:rsidRPr="00085CFC">
        <w:rPr>
          <w:sz w:val="24"/>
          <w:szCs w:val="24"/>
        </w:rPr>
        <w:t>For long PRACH preamble formats and RACH configurations</w:t>
      </w:r>
      <w:r w:rsidR="00CE73FA" w:rsidRPr="00085CFC">
        <w:rPr>
          <w:sz w:val="24"/>
          <w:szCs w:val="24"/>
        </w:rPr>
        <w:t xml:space="preserve">, if the maximum timing error is known, the UE may perform multiple preamble transmissions with different TA estimations for the same RO region. </w:t>
      </w:r>
    </w:p>
    <w:p w14:paraId="36A65770" w14:textId="501B60AC" w:rsidR="00902E93" w:rsidRPr="00085CFC" w:rsidRDefault="00CE73FA" w:rsidP="00C47577">
      <w:pPr>
        <w:jc w:val="both"/>
        <w:rPr>
          <w:sz w:val="24"/>
          <w:szCs w:val="24"/>
        </w:rPr>
      </w:pPr>
      <w:r w:rsidRPr="00085CFC">
        <w:rPr>
          <w:sz w:val="24"/>
          <w:szCs w:val="24"/>
        </w:rPr>
        <w:t xml:space="preserve">Normally, UE assumes a failed detection of RAR is caused by power limitation of the preamble during random access. However, in GNSS resilient operation, a preamble failure may be caused by bad TA estimation. Thus, the UE needs to adjust the TA estimation first, i.e. try multiple PRACH preamble transmissions with different TA estimations, before applying PRACH power ramping. </w:t>
      </w:r>
    </w:p>
    <w:p w14:paraId="25CFA8F2" w14:textId="45ECB7D9" w:rsidR="00C47577" w:rsidRPr="00085CFC" w:rsidRDefault="00C47577" w:rsidP="00D64FAE">
      <w:pPr>
        <w:jc w:val="both"/>
        <w:rPr>
          <w:rFonts w:eastAsia="Batang"/>
          <w:bCs/>
          <w:sz w:val="24"/>
          <w:szCs w:val="24"/>
        </w:rPr>
      </w:pPr>
      <w:r w:rsidRPr="00085CFC">
        <w:rPr>
          <w:sz w:val="24"/>
          <w:szCs w:val="24"/>
        </w:rPr>
        <w:t>Thus, i</w:t>
      </w:r>
      <w:r w:rsidR="00902E93" w:rsidRPr="00085CFC">
        <w:rPr>
          <w:sz w:val="24"/>
          <w:szCs w:val="24"/>
        </w:rPr>
        <w:t xml:space="preserve">f the UE determines that the GNSS availability is limited with reduced GNSS position estimation accuracy, the UE should evaluate the maximum TA drift under the GNSS resilient condition and perform multiple preamble transmissions in each power ramping level. </w:t>
      </w:r>
      <w:r w:rsidR="00D64FAE" w:rsidRPr="00085CFC">
        <w:rPr>
          <w:sz w:val="24"/>
          <w:szCs w:val="24"/>
        </w:rPr>
        <w:t xml:space="preserve">Some </w:t>
      </w:r>
      <w:r w:rsidRPr="00085CFC">
        <w:rPr>
          <w:rFonts w:eastAsia="Batang"/>
          <w:bCs/>
          <w:sz w:val="24"/>
          <w:szCs w:val="24"/>
        </w:rPr>
        <w:t>parameters should be defined</w:t>
      </w:r>
      <w:r w:rsidR="00D64FAE" w:rsidRPr="00085CFC">
        <w:rPr>
          <w:rFonts w:eastAsia="Batang"/>
          <w:bCs/>
          <w:sz w:val="24"/>
          <w:szCs w:val="24"/>
        </w:rPr>
        <w:t xml:space="preserve">, e.g. </w:t>
      </w:r>
      <w:r w:rsidRPr="00085CFC">
        <w:rPr>
          <w:rFonts w:eastAsia="Batang"/>
          <w:bCs/>
          <w:sz w:val="24"/>
          <w:szCs w:val="24"/>
        </w:rPr>
        <w:t>a maximum number of preamble transmissions in a power ramping level and a step size for the TA adjustment. The parameters can be determined based on the estimated timing error level and the PRACH preamble format.</w:t>
      </w:r>
    </w:p>
    <w:p w14:paraId="625AE3FD" w14:textId="0820E25B" w:rsidR="0030710E" w:rsidRPr="00085CFC" w:rsidRDefault="00C47577" w:rsidP="0030710E">
      <w:pPr>
        <w:spacing w:before="100" w:beforeAutospacing="1" w:after="100" w:afterAutospacing="1"/>
        <w:jc w:val="both"/>
        <w:rPr>
          <w:b/>
          <w:bCs/>
          <w:sz w:val="24"/>
          <w:szCs w:val="24"/>
        </w:rPr>
      </w:pPr>
      <w:r w:rsidRPr="00085CFC">
        <w:rPr>
          <w:b/>
          <w:bCs/>
          <w:sz w:val="24"/>
          <w:szCs w:val="24"/>
          <w:lang w:val="en-US" w:eastAsia="zh-CN"/>
        </w:rPr>
        <w:t xml:space="preserve">Proposal </w:t>
      </w:r>
      <w:r w:rsidR="00385F87" w:rsidRPr="00085CFC">
        <w:rPr>
          <w:b/>
          <w:bCs/>
          <w:sz w:val="24"/>
          <w:szCs w:val="24"/>
          <w:lang w:val="en-US" w:eastAsia="zh-CN"/>
        </w:rPr>
        <w:t>2</w:t>
      </w:r>
      <w:r w:rsidRPr="00085CFC">
        <w:rPr>
          <w:b/>
          <w:bCs/>
          <w:sz w:val="24"/>
          <w:szCs w:val="24"/>
          <w:lang w:val="en-US" w:eastAsia="zh-CN"/>
        </w:rPr>
        <w:t xml:space="preserve">: </w:t>
      </w:r>
      <w:r w:rsidR="00FF629E">
        <w:rPr>
          <w:rFonts w:eastAsia="Batang"/>
          <w:b/>
          <w:bCs/>
          <w:sz w:val="24"/>
          <w:szCs w:val="24"/>
        </w:rPr>
        <w:t>For</w:t>
      </w:r>
      <w:r w:rsidR="00D64FAE" w:rsidRPr="00085CFC">
        <w:rPr>
          <w:rFonts w:eastAsia="Batang"/>
          <w:b/>
          <w:bCs/>
          <w:sz w:val="24"/>
          <w:szCs w:val="24"/>
        </w:rPr>
        <w:t xml:space="preserve"> long preamble formats</w:t>
      </w:r>
      <w:r w:rsidRPr="00085CFC">
        <w:rPr>
          <w:rFonts w:eastAsia="Batang"/>
          <w:b/>
          <w:bCs/>
          <w:sz w:val="24"/>
          <w:szCs w:val="24"/>
        </w:rPr>
        <w:t xml:space="preserve">, the UE </w:t>
      </w:r>
      <w:r w:rsidR="007036DA" w:rsidRPr="00085CFC">
        <w:rPr>
          <w:rFonts w:eastAsia="Batang"/>
          <w:b/>
          <w:bCs/>
          <w:sz w:val="24"/>
          <w:szCs w:val="24"/>
        </w:rPr>
        <w:t>may</w:t>
      </w:r>
      <w:r w:rsidRPr="00085CFC">
        <w:rPr>
          <w:rFonts w:eastAsia="Batang"/>
          <w:b/>
          <w:bCs/>
          <w:sz w:val="24"/>
          <w:szCs w:val="24"/>
        </w:rPr>
        <w:t xml:space="preserve"> transmit multiple preambles</w:t>
      </w:r>
      <w:r w:rsidR="00C177CA" w:rsidRPr="00085CFC">
        <w:rPr>
          <w:rFonts w:eastAsia="Batang"/>
          <w:b/>
          <w:bCs/>
          <w:sz w:val="24"/>
          <w:szCs w:val="24"/>
        </w:rPr>
        <w:t xml:space="preserve"> </w:t>
      </w:r>
      <w:r w:rsidR="007036DA" w:rsidRPr="00085CFC">
        <w:rPr>
          <w:rFonts w:eastAsia="Batang"/>
          <w:b/>
          <w:bCs/>
          <w:sz w:val="24"/>
          <w:szCs w:val="24"/>
        </w:rPr>
        <w:t xml:space="preserve">with different TA pre-compensations </w:t>
      </w:r>
      <w:r w:rsidR="00C177CA" w:rsidRPr="00085CFC">
        <w:rPr>
          <w:rFonts w:eastAsia="Batang"/>
          <w:b/>
          <w:bCs/>
          <w:sz w:val="24"/>
          <w:szCs w:val="24"/>
        </w:rPr>
        <w:t xml:space="preserve">under </w:t>
      </w:r>
      <w:r w:rsidRPr="00085CFC">
        <w:rPr>
          <w:rFonts w:eastAsia="Batang"/>
          <w:b/>
          <w:bCs/>
          <w:sz w:val="24"/>
          <w:szCs w:val="24"/>
        </w:rPr>
        <w:t xml:space="preserve">a power ramping </w:t>
      </w:r>
      <w:r w:rsidR="00C177CA" w:rsidRPr="00085CFC">
        <w:rPr>
          <w:rFonts w:eastAsia="Batang"/>
          <w:b/>
          <w:bCs/>
          <w:sz w:val="24"/>
          <w:szCs w:val="24"/>
        </w:rPr>
        <w:t>counter</w:t>
      </w:r>
      <w:r w:rsidRPr="00085CFC">
        <w:rPr>
          <w:b/>
          <w:bCs/>
          <w:sz w:val="24"/>
          <w:szCs w:val="24"/>
        </w:rPr>
        <w:t>.</w:t>
      </w:r>
      <w:r w:rsidR="0030710E" w:rsidRPr="00085CFC">
        <w:rPr>
          <w:b/>
          <w:bCs/>
          <w:sz w:val="24"/>
          <w:szCs w:val="24"/>
        </w:rPr>
        <w:t xml:space="preserve"> </w:t>
      </w:r>
    </w:p>
    <w:p w14:paraId="3AC04873" w14:textId="69CE2DB1" w:rsidR="00D64FAE" w:rsidRPr="00085CFC" w:rsidRDefault="00D64FAE" w:rsidP="00D64FAE">
      <w:pPr>
        <w:rPr>
          <w:sz w:val="24"/>
          <w:szCs w:val="24"/>
        </w:rPr>
      </w:pPr>
      <w:r w:rsidRPr="00085CFC">
        <w:rPr>
          <w:sz w:val="24"/>
          <w:szCs w:val="24"/>
        </w:rPr>
        <w:t xml:space="preserve">On the other hand, for short preamble formats, the gap period in a RO is very small. Perform multiple preamble transmissions with very small step size is wasteful, not efficient and even not possible. Furthermore, a larger TA shift will lead to preamble transmission outside of an RO. Especially, short preambles normally are configured with consecutive RO allocations in a PRACH slot, a preamble may overlap with multiple ROs in a PRACH slot in GNSS resilient operation. </w:t>
      </w:r>
    </w:p>
    <w:p w14:paraId="1340FD90" w14:textId="029E2064" w:rsidR="00D64FAE" w:rsidRPr="00085CFC" w:rsidRDefault="00D64FAE" w:rsidP="00D64FAE">
      <w:pPr>
        <w:rPr>
          <w:sz w:val="24"/>
          <w:szCs w:val="24"/>
        </w:rPr>
      </w:pPr>
      <w:r w:rsidRPr="00085CFC">
        <w:rPr>
          <w:sz w:val="24"/>
          <w:szCs w:val="24"/>
        </w:rPr>
        <w:t xml:space="preserve">Thus, for GNSS resilient operation, the UE may extend a RO with the maximum time estimation </w:t>
      </w:r>
      <w:proofErr w:type="gramStart"/>
      <w:r w:rsidRPr="00085CFC">
        <w:rPr>
          <w:sz w:val="24"/>
          <w:szCs w:val="24"/>
        </w:rPr>
        <w:t>error, and</w:t>
      </w:r>
      <w:proofErr w:type="gramEnd"/>
      <w:r w:rsidRPr="00085CFC">
        <w:rPr>
          <w:sz w:val="24"/>
          <w:szCs w:val="24"/>
        </w:rPr>
        <w:t xml:space="preserve"> use the extended RO for preamble transmission and penitential candidate for RAR detection. For example, if the UE </w:t>
      </w:r>
      <w:r w:rsidR="00085CFC" w:rsidRPr="00085CFC">
        <w:rPr>
          <w:sz w:val="24"/>
          <w:szCs w:val="24"/>
        </w:rPr>
        <w:t>uses an extended RO that cross both RO1 and RO2, the UE needs to detect RAR with two RA-RNTIs defined by RO1 and RO2 respectively.</w:t>
      </w:r>
    </w:p>
    <w:p w14:paraId="493F54E6" w14:textId="62FC0D50" w:rsidR="00D64FAE" w:rsidRPr="00085CFC" w:rsidRDefault="00D64FAE" w:rsidP="00D64FAE">
      <w:pPr>
        <w:rPr>
          <w:b/>
          <w:bCs/>
          <w:sz w:val="24"/>
          <w:szCs w:val="24"/>
        </w:rPr>
      </w:pPr>
      <w:r w:rsidRPr="00085CFC">
        <w:rPr>
          <w:b/>
          <w:bCs/>
          <w:sz w:val="24"/>
          <w:szCs w:val="24"/>
        </w:rPr>
        <w:t>Proposal 3: NTN UE can define extended RO region in consecutive RO configurations</w:t>
      </w:r>
      <w:r w:rsidR="00085CFC" w:rsidRPr="00085CFC">
        <w:rPr>
          <w:b/>
          <w:bCs/>
          <w:sz w:val="24"/>
          <w:szCs w:val="24"/>
        </w:rPr>
        <w:t xml:space="preserve"> for </w:t>
      </w:r>
      <w:r w:rsidR="00900229">
        <w:rPr>
          <w:b/>
          <w:bCs/>
          <w:sz w:val="24"/>
          <w:szCs w:val="24"/>
        </w:rPr>
        <w:t xml:space="preserve">short </w:t>
      </w:r>
      <w:r w:rsidR="00085CFC" w:rsidRPr="00085CFC">
        <w:rPr>
          <w:b/>
          <w:bCs/>
          <w:sz w:val="24"/>
          <w:szCs w:val="24"/>
        </w:rPr>
        <w:t>preamble transmissions and RAR detection</w:t>
      </w:r>
      <w:r w:rsidRPr="00085CFC">
        <w:rPr>
          <w:b/>
          <w:bCs/>
          <w:sz w:val="24"/>
          <w:szCs w:val="24"/>
        </w:rPr>
        <w:t>.</w:t>
      </w:r>
    </w:p>
    <w:p w14:paraId="737F2478" w14:textId="123694DD" w:rsidR="00085CFC" w:rsidRPr="00085CFC" w:rsidRDefault="00085CFC" w:rsidP="00085CFC">
      <w:pPr>
        <w:jc w:val="both"/>
        <w:rPr>
          <w:sz w:val="24"/>
          <w:szCs w:val="24"/>
        </w:rPr>
      </w:pPr>
      <w:r w:rsidRPr="00085CFC">
        <w:rPr>
          <w:rFonts w:eastAsia="Batang"/>
          <w:bCs/>
          <w:sz w:val="24"/>
          <w:szCs w:val="24"/>
        </w:rPr>
        <w:t xml:space="preserve">To assist preamble detection, the </w:t>
      </w:r>
      <w:proofErr w:type="spellStart"/>
      <w:r w:rsidRPr="00085CFC">
        <w:rPr>
          <w:rFonts w:eastAsia="Batang"/>
          <w:bCs/>
          <w:sz w:val="24"/>
          <w:szCs w:val="24"/>
        </w:rPr>
        <w:t>gNB</w:t>
      </w:r>
      <w:proofErr w:type="spellEnd"/>
      <w:r w:rsidRPr="00085CFC">
        <w:rPr>
          <w:rFonts w:eastAsia="Batang"/>
          <w:bCs/>
          <w:sz w:val="24"/>
          <w:szCs w:val="24"/>
        </w:rPr>
        <w:t xml:space="preserve"> may leave additional spaces for the RO </w:t>
      </w:r>
      <w:proofErr w:type="gramStart"/>
      <w:r w:rsidRPr="00085CFC">
        <w:rPr>
          <w:rFonts w:eastAsia="Batang"/>
          <w:bCs/>
          <w:sz w:val="24"/>
          <w:szCs w:val="24"/>
        </w:rPr>
        <w:t>region, and</w:t>
      </w:r>
      <w:proofErr w:type="gramEnd"/>
      <w:r w:rsidRPr="00085CFC">
        <w:rPr>
          <w:rFonts w:eastAsia="Batang"/>
          <w:bCs/>
          <w:sz w:val="24"/>
          <w:szCs w:val="24"/>
        </w:rPr>
        <w:t xml:space="preserve"> may </w:t>
      </w:r>
      <w:r w:rsidRPr="00085CFC">
        <w:rPr>
          <w:sz w:val="24"/>
          <w:szCs w:val="24"/>
        </w:rPr>
        <w:t xml:space="preserve">detect partial PRACH preamble in a RO region. For example, for a preamble format with multiple sequences, the </w:t>
      </w:r>
      <w:proofErr w:type="spellStart"/>
      <w:r w:rsidRPr="00085CFC">
        <w:rPr>
          <w:sz w:val="24"/>
          <w:szCs w:val="24"/>
        </w:rPr>
        <w:t>gNB</w:t>
      </w:r>
      <w:proofErr w:type="spellEnd"/>
      <w:r w:rsidRPr="00085CFC">
        <w:rPr>
          <w:sz w:val="24"/>
          <w:szCs w:val="24"/>
        </w:rPr>
        <w:t xml:space="preserve"> may detect the preamble without fully receive all parts of preamble sequences. Based on the detected CP location and/or the number of detected </w:t>
      </w:r>
      <w:proofErr w:type="spellStart"/>
      <w:r w:rsidRPr="00085CFC">
        <w:rPr>
          <w:sz w:val="24"/>
          <w:szCs w:val="24"/>
        </w:rPr>
        <w:t>Tseq</w:t>
      </w:r>
      <w:proofErr w:type="spellEnd"/>
      <w:r w:rsidRPr="00085CFC">
        <w:rPr>
          <w:sz w:val="24"/>
          <w:szCs w:val="24"/>
        </w:rPr>
        <w:t xml:space="preserve"> sequences and/or the end of </w:t>
      </w:r>
      <w:proofErr w:type="spellStart"/>
      <w:r w:rsidRPr="00085CFC">
        <w:rPr>
          <w:sz w:val="24"/>
          <w:szCs w:val="24"/>
        </w:rPr>
        <w:t>Tseq</w:t>
      </w:r>
      <w:proofErr w:type="spellEnd"/>
      <w:r w:rsidRPr="00085CFC">
        <w:rPr>
          <w:sz w:val="24"/>
          <w:szCs w:val="24"/>
        </w:rPr>
        <w:t xml:space="preserve"> transmissions, the </w:t>
      </w:r>
      <w:proofErr w:type="spellStart"/>
      <w:r w:rsidRPr="00085CFC">
        <w:rPr>
          <w:sz w:val="24"/>
          <w:szCs w:val="24"/>
        </w:rPr>
        <w:t>gNB</w:t>
      </w:r>
      <w:proofErr w:type="spellEnd"/>
      <w:r w:rsidRPr="00085CFC">
        <w:rPr>
          <w:sz w:val="24"/>
          <w:szCs w:val="24"/>
        </w:rPr>
        <w:t xml:space="preserve"> can determine the actual starting point and ending point of the PRACH preamble. Additionally, for consecutive ROs, esp. for short preambles and ROs, the </w:t>
      </w:r>
      <w:proofErr w:type="spellStart"/>
      <w:r w:rsidRPr="00085CFC">
        <w:rPr>
          <w:sz w:val="24"/>
          <w:szCs w:val="24"/>
        </w:rPr>
        <w:t>gNB</w:t>
      </w:r>
      <w:proofErr w:type="spellEnd"/>
      <w:r w:rsidRPr="00085CFC">
        <w:rPr>
          <w:sz w:val="24"/>
          <w:szCs w:val="24"/>
        </w:rPr>
        <w:t xml:space="preserve"> should allow preamble detection cross RO boundaries. </w:t>
      </w:r>
    </w:p>
    <w:p w14:paraId="6B42F7CF" w14:textId="41F1A6D8" w:rsidR="00085CFC" w:rsidRPr="00085CFC" w:rsidRDefault="00085CFC" w:rsidP="00085CFC">
      <w:pPr>
        <w:spacing w:before="100" w:beforeAutospacing="1" w:after="100" w:afterAutospacing="1"/>
        <w:jc w:val="both"/>
        <w:rPr>
          <w:b/>
          <w:bCs/>
          <w:sz w:val="24"/>
          <w:szCs w:val="24"/>
        </w:rPr>
      </w:pPr>
      <w:r w:rsidRPr="00085CFC">
        <w:rPr>
          <w:b/>
          <w:bCs/>
          <w:sz w:val="24"/>
          <w:szCs w:val="24"/>
          <w:lang w:val="en-US" w:eastAsia="zh-CN"/>
        </w:rPr>
        <w:t xml:space="preserve">Proposal 4: </w:t>
      </w:r>
      <w:r w:rsidR="000E1433">
        <w:rPr>
          <w:b/>
          <w:bCs/>
          <w:sz w:val="24"/>
          <w:szCs w:val="24"/>
          <w:lang w:val="en-US" w:eastAsia="zh-CN"/>
        </w:rPr>
        <w:t xml:space="preserve">Partial </w:t>
      </w:r>
      <w:r w:rsidRPr="00085CFC">
        <w:rPr>
          <w:rFonts w:eastAsia="Batang"/>
          <w:b/>
          <w:bCs/>
          <w:sz w:val="24"/>
          <w:szCs w:val="24"/>
        </w:rPr>
        <w:t xml:space="preserve">preamble </w:t>
      </w:r>
      <w:r w:rsidR="00FF629E">
        <w:rPr>
          <w:rFonts w:eastAsia="Batang"/>
          <w:b/>
          <w:bCs/>
          <w:sz w:val="24"/>
          <w:szCs w:val="24"/>
        </w:rPr>
        <w:t xml:space="preserve">detection in a RO region </w:t>
      </w:r>
      <w:r w:rsidRPr="00085CFC">
        <w:rPr>
          <w:rFonts w:eastAsia="Batang"/>
          <w:b/>
          <w:bCs/>
          <w:sz w:val="24"/>
          <w:szCs w:val="24"/>
        </w:rPr>
        <w:t xml:space="preserve">and cross RO preamble detection </w:t>
      </w:r>
      <w:r w:rsidR="00FF629E">
        <w:rPr>
          <w:rFonts w:eastAsia="Batang"/>
          <w:b/>
          <w:bCs/>
          <w:sz w:val="24"/>
          <w:szCs w:val="24"/>
        </w:rPr>
        <w:t xml:space="preserve">in consecutive ROs </w:t>
      </w:r>
      <w:r w:rsidRPr="00085CFC">
        <w:rPr>
          <w:rFonts w:eastAsia="Batang"/>
          <w:b/>
          <w:bCs/>
          <w:sz w:val="24"/>
          <w:szCs w:val="24"/>
        </w:rPr>
        <w:t xml:space="preserve">should be supported at the </w:t>
      </w:r>
      <w:proofErr w:type="spellStart"/>
      <w:r w:rsidRPr="00085CFC">
        <w:rPr>
          <w:rFonts w:eastAsia="Batang"/>
          <w:b/>
          <w:bCs/>
          <w:sz w:val="24"/>
          <w:szCs w:val="24"/>
        </w:rPr>
        <w:t>gNB</w:t>
      </w:r>
      <w:proofErr w:type="spellEnd"/>
      <w:r w:rsidRPr="00085CFC">
        <w:rPr>
          <w:rFonts w:eastAsia="Batang"/>
          <w:b/>
          <w:bCs/>
          <w:sz w:val="24"/>
          <w:szCs w:val="24"/>
        </w:rPr>
        <w:t>.</w:t>
      </w:r>
      <w:r w:rsidRPr="00085CFC">
        <w:rPr>
          <w:b/>
          <w:bCs/>
          <w:sz w:val="24"/>
          <w:szCs w:val="24"/>
        </w:rPr>
        <w:t xml:space="preserve"> </w:t>
      </w:r>
    </w:p>
    <w:p w14:paraId="00598782" w14:textId="77777777" w:rsidR="00F73613" w:rsidRPr="005F555D" w:rsidRDefault="0030710E" w:rsidP="0030710E">
      <w:pPr>
        <w:jc w:val="both"/>
        <w:rPr>
          <w:rStyle w:val="t286pc"/>
          <w:color w:val="001D35"/>
          <w:sz w:val="24"/>
          <w:szCs w:val="24"/>
        </w:rPr>
      </w:pPr>
      <w:r w:rsidRPr="005F555D">
        <w:rPr>
          <w:sz w:val="24"/>
          <w:szCs w:val="24"/>
        </w:rPr>
        <w:t xml:space="preserve">In GNSS resilient operations, poor TA pre-compensation may lead to large shift of preamble positions in a RO region. </w:t>
      </w:r>
      <w:r w:rsidR="00F73613" w:rsidRPr="005F555D">
        <w:rPr>
          <w:sz w:val="24"/>
          <w:szCs w:val="24"/>
        </w:rPr>
        <w:t>Especially, i</w:t>
      </w:r>
      <w:r w:rsidRPr="005F555D">
        <w:rPr>
          <w:color w:val="001D35"/>
          <w:sz w:val="24"/>
          <w:szCs w:val="24"/>
        </w:rPr>
        <w:t>f the TA estimation is too small, the preamble will arrive before the RO region, which requires a negative TA value in the Msg2 RAR.</w:t>
      </w:r>
      <w:r w:rsidRPr="005F555D">
        <w:rPr>
          <w:rStyle w:val="t286pc"/>
          <w:color w:val="001D35"/>
          <w:sz w:val="24"/>
          <w:szCs w:val="24"/>
        </w:rPr>
        <w:t xml:space="preserve"> </w:t>
      </w:r>
    </w:p>
    <w:p w14:paraId="6D1DAE5F" w14:textId="41BCBADD" w:rsidR="0030710E" w:rsidRPr="005F555D" w:rsidRDefault="0030710E" w:rsidP="0030710E">
      <w:pPr>
        <w:jc w:val="both"/>
        <w:rPr>
          <w:rStyle w:val="t286pc"/>
          <w:color w:val="001D35"/>
          <w:sz w:val="24"/>
          <w:szCs w:val="24"/>
        </w:rPr>
      </w:pPr>
      <w:r w:rsidRPr="005F555D">
        <w:rPr>
          <w:rStyle w:val="t286pc"/>
          <w:color w:val="001D35"/>
          <w:sz w:val="24"/>
          <w:szCs w:val="24"/>
        </w:rPr>
        <w:t xml:space="preserve">Therefore, negative TA value indication in the Msg2 RAR should be supported. </w:t>
      </w:r>
      <w:r w:rsidR="002C7003" w:rsidRPr="005F555D">
        <w:rPr>
          <w:rStyle w:val="t286pc"/>
          <w:color w:val="001D35"/>
          <w:sz w:val="24"/>
          <w:szCs w:val="24"/>
        </w:rPr>
        <w:t xml:space="preserve">The </w:t>
      </w:r>
      <w:r w:rsidRPr="005F555D">
        <w:rPr>
          <w:rStyle w:val="t286pc"/>
          <w:color w:val="001D35"/>
          <w:sz w:val="24"/>
          <w:szCs w:val="24"/>
        </w:rPr>
        <w:t>RAR size and format</w:t>
      </w:r>
      <w:r w:rsidR="002C7003" w:rsidRPr="005F555D">
        <w:rPr>
          <w:rStyle w:val="t286pc"/>
          <w:color w:val="001D35"/>
          <w:sz w:val="24"/>
          <w:szCs w:val="24"/>
        </w:rPr>
        <w:t xml:space="preserve"> should be maintained with backward compatibility. Thus, the negative TA value can be indicated by re-interpreting the current TAC field or using a reserved bit.</w:t>
      </w:r>
    </w:p>
    <w:p w14:paraId="488251C7" w14:textId="4F4F8056" w:rsidR="0030710E" w:rsidRPr="005F555D" w:rsidRDefault="0030710E" w:rsidP="0030710E">
      <w:pPr>
        <w:jc w:val="both"/>
        <w:rPr>
          <w:rStyle w:val="t286pc"/>
          <w:color w:val="001D35"/>
          <w:sz w:val="24"/>
          <w:szCs w:val="24"/>
        </w:rPr>
      </w:pPr>
      <w:r w:rsidRPr="005F555D">
        <w:rPr>
          <w:color w:val="001D35"/>
          <w:sz w:val="24"/>
          <w:szCs w:val="24"/>
        </w:rPr>
        <w:lastRenderedPageBreak/>
        <w:t>On the other hand, if the TA estimation is too big, the preamble will arrive late in the RO region, and part of the preamble may be outside the RO region, which will require a larger TA value in the Msg2 RAR.</w:t>
      </w:r>
      <w:r w:rsidR="002C7003" w:rsidRPr="005F555D">
        <w:rPr>
          <w:color w:val="001D35"/>
          <w:sz w:val="24"/>
          <w:szCs w:val="24"/>
        </w:rPr>
        <w:t xml:space="preserve"> The number of bits for the TAC field may need to be increased depending on the allowed maximum TA estimation error.</w:t>
      </w:r>
    </w:p>
    <w:p w14:paraId="49D23263" w14:textId="498478C4" w:rsidR="005F555D" w:rsidRDefault="0030710E" w:rsidP="004C354E">
      <w:pPr>
        <w:adjustRightInd w:val="0"/>
        <w:snapToGrid w:val="0"/>
        <w:spacing w:before="100" w:beforeAutospacing="1" w:after="100" w:afterAutospacing="1"/>
        <w:jc w:val="both"/>
        <w:rPr>
          <w:rFonts w:eastAsia="Batang"/>
          <w:b/>
          <w:bCs/>
          <w:sz w:val="24"/>
          <w:szCs w:val="24"/>
        </w:rPr>
      </w:pPr>
      <w:r w:rsidRPr="005F555D">
        <w:rPr>
          <w:b/>
          <w:bCs/>
          <w:sz w:val="24"/>
          <w:szCs w:val="24"/>
          <w:lang w:val="en-US" w:eastAsia="zh-CN"/>
        </w:rPr>
        <w:t xml:space="preserve">Proposal </w:t>
      </w:r>
      <w:r w:rsidR="005F555D" w:rsidRPr="005F555D">
        <w:rPr>
          <w:b/>
          <w:bCs/>
          <w:sz w:val="24"/>
          <w:szCs w:val="24"/>
          <w:lang w:val="en-US" w:eastAsia="zh-CN"/>
        </w:rPr>
        <w:t>5</w:t>
      </w:r>
      <w:r w:rsidRPr="005F555D">
        <w:rPr>
          <w:b/>
          <w:bCs/>
          <w:sz w:val="24"/>
          <w:szCs w:val="24"/>
          <w:lang w:val="en-US" w:eastAsia="zh-CN"/>
        </w:rPr>
        <w:t xml:space="preserve">: </w:t>
      </w:r>
      <w:r w:rsidR="00FF629E">
        <w:rPr>
          <w:b/>
          <w:bCs/>
          <w:sz w:val="24"/>
          <w:szCs w:val="24"/>
          <w:lang w:val="en-US" w:eastAsia="zh-CN"/>
        </w:rPr>
        <w:t>Negative</w:t>
      </w:r>
      <w:r w:rsidRPr="005F555D">
        <w:rPr>
          <w:rFonts w:eastAsia="Batang"/>
          <w:b/>
          <w:bCs/>
          <w:sz w:val="24"/>
          <w:szCs w:val="24"/>
        </w:rPr>
        <w:t xml:space="preserve"> TA </w:t>
      </w:r>
      <w:r w:rsidR="00FF629E">
        <w:rPr>
          <w:rFonts w:eastAsia="Batang"/>
          <w:b/>
          <w:bCs/>
          <w:sz w:val="24"/>
          <w:szCs w:val="24"/>
        </w:rPr>
        <w:t xml:space="preserve">value </w:t>
      </w:r>
      <w:r w:rsidR="005F555D" w:rsidRPr="005F555D">
        <w:rPr>
          <w:rFonts w:eastAsia="Batang"/>
          <w:b/>
          <w:bCs/>
          <w:sz w:val="24"/>
          <w:szCs w:val="24"/>
        </w:rPr>
        <w:t>and extended TA value range can be considered</w:t>
      </w:r>
      <w:r w:rsidR="00FF629E">
        <w:rPr>
          <w:rFonts w:eastAsia="Batang"/>
          <w:b/>
          <w:bCs/>
          <w:sz w:val="24"/>
          <w:szCs w:val="24"/>
        </w:rPr>
        <w:t xml:space="preserve"> in RAR for </w:t>
      </w:r>
      <w:r w:rsidR="00FF629E" w:rsidRPr="005F555D">
        <w:rPr>
          <w:rFonts w:eastAsia="Batang"/>
          <w:b/>
          <w:bCs/>
          <w:sz w:val="24"/>
          <w:szCs w:val="24"/>
        </w:rPr>
        <w:t>GNSS resilience operation</w:t>
      </w:r>
      <w:r w:rsidR="005F555D" w:rsidRPr="005F555D">
        <w:rPr>
          <w:rFonts w:eastAsia="Batang"/>
          <w:b/>
          <w:bCs/>
          <w:sz w:val="24"/>
          <w:szCs w:val="24"/>
        </w:rPr>
        <w:t>.</w:t>
      </w:r>
    </w:p>
    <w:p w14:paraId="498A6121" w14:textId="77777777" w:rsidR="00900229" w:rsidRPr="005F555D" w:rsidRDefault="00900229" w:rsidP="004C354E">
      <w:pPr>
        <w:adjustRightInd w:val="0"/>
        <w:snapToGrid w:val="0"/>
        <w:spacing w:before="100" w:beforeAutospacing="1" w:after="100" w:afterAutospacing="1"/>
        <w:jc w:val="both"/>
        <w:rPr>
          <w:rFonts w:eastAsia="Batang"/>
          <w:b/>
          <w:bCs/>
          <w:sz w:val="24"/>
          <w:szCs w:val="24"/>
        </w:rPr>
      </w:pPr>
    </w:p>
    <w:p w14:paraId="286B4665" w14:textId="73FDAA1F" w:rsidR="008E63A5" w:rsidRPr="003A46A1" w:rsidRDefault="008E63A5" w:rsidP="0032463B">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6F74A851" w14:textId="32A5E642" w:rsidR="00092C11" w:rsidRDefault="0000342D" w:rsidP="00E94B18">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2C7003">
        <w:rPr>
          <w:sz w:val="24"/>
          <w:szCs w:val="24"/>
          <w:lang w:eastAsia="zh-CN"/>
        </w:rPr>
        <w:t xml:space="preserve">discuss </w:t>
      </w:r>
      <w:r w:rsidR="00E10CC0" w:rsidRPr="003A46A1">
        <w:rPr>
          <w:sz w:val="24"/>
          <w:szCs w:val="24"/>
          <w:lang w:eastAsia="zh-CN"/>
        </w:rPr>
        <w:t xml:space="preserve">the </w:t>
      </w:r>
      <w:r w:rsidR="002C7003">
        <w:rPr>
          <w:sz w:val="24"/>
          <w:szCs w:val="24"/>
          <w:lang w:eastAsia="zh-CN"/>
        </w:rPr>
        <w:t xml:space="preserve">impacts on </w:t>
      </w:r>
      <w:r w:rsidR="00900229">
        <w:rPr>
          <w:sz w:val="24"/>
          <w:szCs w:val="24"/>
          <w:lang w:eastAsia="zh-CN"/>
        </w:rPr>
        <w:t xml:space="preserve">initial access preamble transmission and detection </w:t>
      </w:r>
      <w:r w:rsidR="002C7003">
        <w:rPr>
          <w:sz w:val="24"/>
          <w:szCs w:val="24"/>
          <w:lang w:eastAsia="zh-CN"/>
        </w:rPr>
        <w:t>under GNSS resilient operation.</w:t>
      </w:r>
      <w:r w:rsidR="007166A4">
        <w:rPr>
          <w:sz w:val="24"/>
          <w:szCs w:val="24"/>
          <w:lang w:eastAsia="zh-CN"/>
        </w:rPr>
        <w:t xml:space="preserve"> </w:t>
      </w:r>
      <w:r w:rsidR="002C7003">
        <w:rPr>
          <w:sz w:val="24"/>
          <w:szCs w:val="24"/>
          <w:lang w:eastAsia="zh-CN"/>
        </w:rPr>
        <w:t>W</w:t>
      </w:r>
      <w:r w:rsidR="007166A4">
        <w:rPr>
          <w:sz w:val="24"/>
          <w:szCs w:val="24"/>
          <w:lang w:eastAsia="zh-CN"/>
        </w:rPr>
        <w:t>e propose</w:t>
      </w:r>
    </w:p>
    <w:p w14:paraId="2AB52779" w14:textId="77777777" w:rsidR="000E1433" w:rsidRDefault="000E1433" w:rsidP="000E1433">
      <w:pPr>
        <w:spacing w:before="100" w:beforeAutospacing="1" w:after="100" w:afterAutospacing="1"/>
        <w:jc w:val="both"/>
        <w:rPr>
          <w:b/>
          <w:bCs/>
          <w:sz w:val="24"/>
          <w:szCs w:val="24"/>
        </w:rPr>
      </w:pPr>
      <w:r w:rsidRPr="002D5BE8">
        <w:rPr>
          <w:b/>
          <w:bCs/>
          <w:sz w:val="24"/>
          <w:szCs w:val="24"/>
        </w:rPr>
        <w:t xml:space="preserve">Proposal 1: </w:t>
      </w:r>
      <w:r>
        <w:rPr>
          <w:b/>
          <w:bCs/>
          <w:sz w:val="24"/>
          <w:szCs w:val="24"/>
        </w:rPr>
        <w:t>A</w:t>
      </w:r>
      <w:r w:rsidRPr="002D5BE8">
        <w:rPr>
          <w:b/>
          <w:bCs/>
          <w:sz w:val="24"/>
          <w:szCs w:val="24"/>
        </w:rPr>
        <w:t xml:space="preserve"> maximum estimation error should be defined for GNSS resilient operation.</w:t>
      </w:r>
      <w:r>
        <w:rPr>
          <w:b/>
          <w:bCs/>
          <w:sz w:val="24"/>
          <w:szCs w:val="24"/>
        </w:rPr>
        <w:t xml:space="preserve"> </w:t>
      </w:r>
      <w:r w:rsidRPr="002D5BE8">
        <w:rPr>
          <w:b/>
          <w:bCs/>
          <w:sz w:val="24"/>
          <w:szCs w:val="24"/>
        </w:rPr>
        <w:t xml:space="preserve">A reference distance indication may be </w:t>
      </w:r>
      <w:r>
        <w:rPr>
          <w:b/>
          <w:bCs/>
          <w:sz w:val="24"/>
          <w:szCs w:val="24"/>
        </w:rPr>
        <w:t xml:space="preserve">a useful option but should not be specified as mandatary. </w:t>
      </w:r>
    </w:p>
    <w:p w14:paraId="0C464D53" w14:textId="77777777" w:rsidR="000E1433" w:rsidRPr="00085CFC" w:rsidRDefault="000E1433" w:rsidP="000E1433">
      <w:pPr>
        <w:spacing w:before="100" w:beforeAutospacing="1" w:after="100" w:afterAutospacing="1"/>
        <w:jc w:val="both"/>
        <w:rPr>
          <w:b/>
          <w:bCs/>
          <w:sz w:val="24"/>
          <w:szCs w:val="24"/>
        </w:rPr>
      </w:pPr>
      <w:r w:rsidRPr="00085CFC">
        <w:rPr>
          <w:b/>
          <w:bCs/>
          <w:sz w:val="24"/>
          <w:szCs w:val="24"/>
          <w:lang w:val="en-US" w:eastAsia="zh-CN"/>
        </w:rPr>
        <w:t xml:space="preserve">Proposal 2: </w:t>
      </w:r>
      <w:r>
        <w:rPr>
          <w:rFonts w:eastAsia="Batang"/>
          <w:b/>
          <w:bCs/>
          <w:sz w:val="24"/>
          <w:szCs w:val="24"/>
        </w:rPr>
        <w:t>For</w:t>
      </w:r>
      <w:r w:rsidRPr="00085CFC">
        <w:rPr>
          <w:rFonts w:eastAsia="Batang"/>
          <w:b/>
          <w:bCs/>
          <w:sz w:val="24"/>
          <w:szCs w:val="24"/>
        </w:rPr>
        <w:t xml:space="preserve"> long preamble formats, the UE may transmit multiple preambles with different TA pre-compensations under a power ramping counter</w:t>
      </w:r>
      <w:r w:rsidRPr="00085CFC">
        <w:rPr>
          <w:b/>
          <w:bCs/>
          <w:sz w:val="24"/>
          <w:szCs w:val="24"/>
        </w:rPr>
        <w:t xml:space="preserve">. </w:t>
      </w:r>
    </w:p>
    <w:p w14:paraId="2B07EB38" w14:textId="77777777" w:rsidR="000E1433" w:rsidRPr="00085CFC" w:rsidRDefault="000E1433" w:rsidP="000E1433">
      <w:pPr>
        <w:rPr>
          <w:b/>
          <w:bCs/>
          <w:sz w:val="24"/>
          <w:szCs w:val="24"/>
        </w:rPr>
      </w:pPr>
      <w:r w:rsidRPr="00085CFC">
        <w:rPr>
          <w:b/>
          <w:bCs/>
          <w:sz w:val="24"/>
          <w:szCs w:val="24"/>
        </w:rPr>
        <w:t xml:space="preserve">Proposal 3: NTN UE can define extended RO region in consecutive RO configurations for </w:t>
      </w:r>
      <w:r>
        <w:rPr>
          <w:b/>
          <w:bCs/>
          <w:sz w:val="24"/>
          <w:szCs w:val="24"/>
        </w:rPr>
        <w:t xml:space="preserve">short </w:t>
      </w:r>
      <w:r w:rsidRPr="00085CFC">
        <w:rPr>
          <w:b/>
          <w:bCs/>
          <w:sz w:val="24"/>
          <w:szCs w:val="24"/>
        </w:rPr>
        <w:t>preamble transmissions and RAR detection.</w:t>
      </w:r>
    </w:p>
    <w:p w14:paraId="3A7846DA" w14:textId="77777777" w:rsidR="000E1433" w:rsidRPr="00085CFC" w:rsidRDefault="000E1433" w:rsidP="000E1433">
      <w:pPr>
        <w:spacing w:before="100" w:beforeAutospacing="1" w:after="100" w:afterAutospacing="1"/>
        <w:jc w:val="both"/>
        <w:rPr>
          <w:b/>
          <w:bCs/>
          <w:sz w:val="24"/>
          <w:szCs w:val="24"/>
        </w:rPr>
      </w:pPr>
      <w:r w:rsidRPr="00085CFC">
        <w:rPr>
          <w:b/>
          <w:bCs/>
          <w:sz w:val="24"/>
          <w:szCs w:val="24"/>
          <w:lang w:val="en-US" w:eastAsia="zh-CN"/>
        </w:rPr>
        <w:t xml:space="preserve">Proposal 4: </w:t>
      </w:r>
      <w:r>
        <w:rPr>
          <w:b/>
          <w:bCs/>
          <w:sz w:val="24"/>
          <w:szCs w:val="24"/>
          <w:lang w:val="en-US" w:eastAsia="zh-CN"/>
        </w:rPr>
        <w:t xml:space="preserve">Partial </w:t>
      </w:r>
      <w:r w:rsidRPr="00085CFC">
        <w:rPr>
          <w:rFonts w:eastAsia="Batang"/>
          <w:b/>
          <w:bCs/>
          <w:sz w:val="24"/>
          <w:szCs w:val="24"/>
        </w:rPr>
        <w:t xml:space="preserve">preamble </w:t>
      </w:r>
      <w:r>
        <w:rPr>
          <w:rFonts w:eastAsia="Batang"/>
          <w:b/>
          <w:bCs/>
          <w:sz w:val="24"/>
          <w:szCs w:val="24"/>
        </w:rPr>
        <w:t xml:space="preserve">detection in a RO region </w:t>
      </w:r>
      <w:r w:rsidRPr="00085CFC">
        <w:rPr>
          <w:rFonts w:eastAsia="Batang"/>
          <w:b/>
          <w:bCs/>
          <w:sz w:val="24"/>
          <w:szCs w:val="24"/>
        </w:rPr>
        <w:t xml:space="preserve">and cross RO preamble detection </w:t>
      </w:r>
      <w:r>
        <w:rPr>
          <w:rFonts w:eastAsia="Batang"/>
          <w:b/>
          <w:bCs/>
          <w:sz w:val="24"/>
          <w:szCs w:val="24"/>
        </w:rPr>
        <w:t xml:space="preserve">in consecutive ROs </w:t>
      </w:r>
      <w:r w:rsidRPr="00085CFC">
        <w:rPr>
          <w:rFonts w:eastAsia="Batang"/>
          <w:b/>
          <w:bCs/>
          <w:sz w:val="24"/>
          <w:szCs w:val="24"/>
        </w:rPr>
        <w:t xml:space="preserve">should be supported at the </w:t>
      </w:r>
      <w:proofErr w:type="spellStart"/>
      <w:r w:rsidRPr="00085CFC">
        <w:rPr>
          <w:rFonts w:eastAsia="Batang"/>
          <w:b/>
          <w:bCs/>
          <w:sz w:val="24"/>
          <w:szCs w:val="24"/>
        </w:rPr>
        <w:t>gNB</w:t>
      </w:r>
      <w:proofErr w:type="spellEnd"/>
      <w:r w:rsidRPr="00085CFC">
        <w:rPr>
          <w:rFonts w:eastAsia="Batang"/>
          <w:b/>
          <w:bCs/>
          <w:sz w:val="24"/>
          <w:szCs w:val="24"/>
        </w:rPr>
        <w:t>.</w:t>
      </w:r>
      <w:r w:rsidRPr="00085CFC">
        <w:rPr>
          <w:b/>
          <w:bCs/>
          <w:sz w:val="24"/>
          <w:szCs w:val="24"/>
        </w:rPr>
        <w:t xml:space="preserve"> </w:t>
      </w:r>
    </w:p>
    <w:p w14:paraId="307D8657" w14:textId="77777777" w:rsidR="000E1433" w:rsidRDefault="000E1433" w:rsidP="000E1433">
      <w:pPr>
        <w:adjustRightInd w:val="0"/>
        <w:snapToGrid w:val="0"/>
        <w:spacing w:before="100" w:beforeAutospacing="1" w:after="100" w:afterAutospacing="1"/>
        <w:jc w:val="both"/>
        <w:rPr>
          <w:rFonts w:eastAsia="Batang"/>
          <w:b/>
          <w:bCs/>
          <w:sz w:val="24"/>
          <w:szCs w:val="24"/>
        </w:rPr>
      </w:pPr>
      <w:r w:rsidRPr="005F555D">
        <w:rPr>
          <w:b/>
          <w:bCs/>
          <w:sz w:val="24"/>
          <w:szCs w:val="24"/>
          <w:lang w:val="en-US" w:eastAsia="zh-CN"/>
        </w:rPr>
        <w:t xml:space="preserve">Proposal 5: </w:t>
      </w:r>
      <w:r>
        <w:rPr>
          <w:b/>
          <w:bCs/>
          <w:sz w:val="24"/>
          <w:szCs w:val="24"/>
          <w:lang w:val="en-US" w:eastAsia="zh-CN"/>
        </w:rPr>
        <w:t>Negative</w:t>
      </w:r>
      <w:r w:rsidRPr="005F555D">
        <w:rPr>
          <w:rFonts w:eastAsia="Batang"/>
          <w:b/>
          <w:bCs/>
          <w:sz w:val="24"/>
          <w:szCs w:val="24"/>
        </w:rPr>
        <w:t xml:space="preserve"> TA </w:t>
      </w:r>
      <w:r>
        <w:rPr>
          <w:rFonts w:eastAsia="Batang"/>
          <w:b/>
          <w:bCs/>
          <w:sz w:val="24"/>
          <w:szCs w:val="24"/>
        </w:rPr>
        <w:t xml:space="preserve">value </w:t>
      </w:r>
      <w:r w:rsidRPr="005F555D">
        <w:rPr>
          <w:rFonts w:eastAsia="Batang"/>
          <w:b/>
          <w:bCs/>
          <w:sz w:val="24"/>
          <w:szCs w:val="24"/>
        </w:rPr>
        <w:t>and extended TA value range can be considered</w:t>
      </w:r>
      <w:r>
        <w:rPr>
          <w:rFonts w:eastAsia="Batang"/>
          <w:b/>
          <w:bCs/>
          <w:sz w:val="24"/>
          <w:szCs w:val="24"/>
        </w:rPr>
        <w:t xml:space="preserve"> in RAR for </w:t>
      </w:r>
      <w:r w:rsidRPr="005F555D">
        <w:rPr>
          <w:rFonts w:eastAsia="Batang"/>
          <w:b/>
          <w:bCs/>
          <w:sz w:val="24"/>
          <w:szCs w:val="24"/>
        </w:rPr>
        <w:t>GNSS resilience operation.</w:t>
      </w:r>
    </w:p>
    <w:p w14:paraId="73F2003F" w14:textId="77777777" w:rsidR="00900229" w:rsidRDefault="00900229" w:rsidP="00900229">
      <w:pPr>
        <w:adjustRightInd w:val="0"/>
        <w:snapToGrid w:val="0"/>
        <w:spacing w:before="100" w:beforeAutospacing="1" w:after="100" w:afterAutospacing="1"/>
        <w:jc w:val="both"/>
        <w:rPr>
          <w:rFonts w:eastAsia="Batang"/>
          <w:b/>
          <w:bCs/>
          <w:sz w:val="24"/>
          <w:szCs w:val="24"/>
        </w:rPr>
      </w:pPr>
    </w:p>
    <w:p w14:paraId="45B3A1D9" w14:textId="0470F3DA" w:rsidR="008E63A5" w:rsidRPr="003A46A1" w:rsidRDefault="008E63A5" w:rsidP="0032463B">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6A2B4904" w14:textId="215971B8" w:rsidR="00EE4363" w:rsidRPr="005F555D" w:rsidRDefault="006150EF" w:rsidP="008726AE">
      <w:pPr>
        <w:pStyle w:val="ListParagraph"/>
        <w:numPr>
          <w:ilvl w:val="0"/>
          <w:numId w:val="44"/>
        </w:numPr>
        <w:snapToGrid w:val="0"/>
        <w:spacing w:before="100" w:beforeAutospacing="1" w:after="120"/>
        <w:ind w:leftChars="0" w:left="648"/>
        <w:rPr>
          <w:rFonts w:ascii="Times New Roman" w:hAnsi="Times New Roman"/>
          <w:sz w:val="24"/>
          <w:szCs w:val="24"/>
          <w:lang w:eastAsia="x-none"/>
        </w:rPr>
      </w:pPr>
      <w:bookmarkStart w:id="1" w:name="_Ref205907537"/>
      <w:r w:rsidRPr="005F555D">
        <w:rPr>
          <w:rFonts w:ascii="Times New Roman" w:hAnsi="Times New Roman"/>
          <w:sz w:val="24"/>
          <w:szCs w:val="24"/>
          <w:lang w:eastAsia="zh-CN"/>
        </w:rPr>
        <w:t>RP-251863, New SI: Study GNSS resilient NR-NTN operation, Thales, RAN #108, Jun 2025</w:t>
      </w:r>
      <w:bookmarkEnd w:id="1"/>
    </w:p>
    <w:p w14:paraId="19021BEA" w14:textId="5656221B" w:rsidR="005F555D" w:rsidRPr="005F555D" w:rsidRDefault="005F555D" w:rsidP="008726AE">
      <w:pPr>
        <w:pStyle w:val="ListParagraph"/>
        <w:numPr>
          <w:ilvl w:val="0"/>
          <w:numId w:val="44"/>
        </w:numPr>
        <w:snapToGrid w:val="0"/>
        <w:spacing w:before="100" w:beforeAutospacing="1" w:after="120"/>
        <w:ind w:leftChars="0" w:left="648"/>
        <w:rPr>
          <w:rFonts w:ascii="Times New Roman" w:hAnsi="Times New Roman"/>
          <w:sz w:val="24"/>
          <w:szCs w:val="24"/>
          <w:lang w:eastAsia="x-none"/>
        </w:rPr>
      </w:pPr>
      <w:bookmarkStart w:id="2" w:name="_Ref210158522"/>
      <w:r w:rsidRPr="005F555D">
        <w:rPr>
          <w:rFonts w:ascii="Times New Roman" w:hAnsi="Times New Roman"/>
          <w:sz w:val="24"/>
          <w:szCs w:val="24"/>
          <w:lang w:eastAsia="x-none"/>
        </w:rPr>
        <w:t>R1-2506702, Final Report of 3GPP TSG RAN WG1 #122 v1.0.0</w:t>
      </w:r>
      <w:bookmarkEnd w:id="2"/>
    </w:p>
    <w:sectPr w:rsidR="005F555D" w:rsidRPr="005F555D"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69D2C" w14:textId="77777777" w:rsidR="000001CF" w:rsidRDefault="000001CF">
      <w:r>
        <w:separator/>
      </w:r>
    </w:p>
  </w:endnote>
  <w:endnote w:type="continuationSeparator" w:id="0">
    <w:p w14:paraId="3C792AF6" w14:textId="77777777" w:rsidR="000001CF" w:rsidRDefault="00000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KaiTi"/>
    <w:panose1 w:val="020B0604020202020204"/>
    <w:charset w:val="86"/>
    <w:family w:val="modern"/>
    <w:pitch w:val="default"/>
    <w:sig w:usb0="00000000" w:usb1="0000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A62E3" w14:textId="77777777" w:rsidR="000001CF" w:rsidRDefault="000001CF">
      <w:r>
        <w:separator/>
      </w:r>
    </w:p>
  </w:footnote>
  <w:footnote w:type="continuationSeparator" w:id="0">
    <w:p w14:paraId="2B19A607" w14:textId="77777777" w:rsidR="000001CF" w:rsidRDefault="00000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B794A"/>
    <w:multiLevelType w:val="hybridMultilevel"/>
    <w:tmpl w:val="49F232B6"/>
    <w:lvl w:ilvl="0" w:tplc="E5A468C2">
      <w:start w:val="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696C27"/>
    <w:multiLevelType w:val="hybridMultilevel"/>
    <w:tmpl w:val="F7180BA8"/>
    <w:lvl w:ilvl="0" w:tplc="0496267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5"/>
  </w:num>
  <w:num w:numId="3" w16cid:durableId="661544646">
    <w:abstractNumId w:val="42"/>
  </w:num>
  <w:num w:numId="4" w16cid:durableId="1939214848">
    <w:abstractNumId w:val="11"/>
  </w:num>
  <w:num w:numId="5" w16cid:durableId="1314918350">
    <w:abstractNumId w:val="34"/>
  </w:num>
  <w:num w:numId="6" w16cid:durableId="1610819103">
    <w:abstractNumId w:val="2"/>
  </w:num>
  <w:num w:numId="7" w16cid:durableId="1910848628">
    <w:abstractNumId w:val="27"/>
  </w:num>
  <w:num w:numId="8" w16cid:durableId="574246639">
    <w:abstractNumId w:val="29"/>
  </w:num>
  <w:num w:numId="9" w16cid:durableId="1660040663">
    <w:abstractNumId w:val="30"/>
  </w:num>
  <w:num w:numId="10" w16cid:durableId="1288389662">
    <w:abstractNumId w:val="45"/>
  </w:num>
  <w:num w:numId="11" w16cid:durableId="445391819">
    <w:abstractNumId w:val="14"/>
  </w:num>
  <w:num w:numId="12" w16cid:durableId="1587765169">
    <w:abstractNumId w:val="23"/>
  </w:num>
  <w:num w:numId="13" w16cid:durableId="810251403">
    <w:abstractNumId w:val="16"/>
  </w:num>
  <w:num w:numId="14" w16cid:durableId="580525677">
    <w:abstractNumId w:val="25"/>
  </w:num>
  <w:num w:numId="15" w16cid:durableId="1061826314">
    <w:abstractNumId w:val="47"/>
  </w:num>
  <w:num w:numId="16" w16cid:durableId="1874997387">
    <w:abstractNumId w:val="26"/>
  </w:num>
  <w:num w:numId="17" w16cid:durableId="16544276">
    <w:abstractNumId w:val="24"/>
  </w:num>
  <w:num w:numId="18" w16cid:durableId="859977245">
    <w:abstractNumId w:val="43"/>
  </w:num>
  <w:num w:numId="19" w16cid:durableId="1277131906">
    <w:abstractNumId w:val="18"/>
  </w:num>
  <w:num w:numId="20" w16cid:durableId="787771534">
    <w:abstractNumId w:val="15"/>
  </w:num>
  <w:num w:numId="21" w16cid:durableId="677005982">
    <w:abstractNumId w:val="9"/>
  </w:num>
  <w:num w:numId="22" w16cid:durableId="504830648">
    <w:abstractNumId w:val="4"/>
  </w:num>
  <w:num w:numId="23" w16cid:durableId="1945307950">
    <w:abstractNumId w:val="28"/>
  </w:num>
  <w:num w:numId="24" w16cid:durableId="2088501713">
    <w:abstractNumId w:val="46"/>
  </w:num>
  <w:num w:numId="25" w16cid:durableId="412970615">
    <w:abstractNumId w:val="39"/>
  </w:num>
  <w:num w:numId="26" w16cid:durableId="315383655">
    <w:abstractNumId w:val="6"/>
  </w:num>
  <w:num w:numId="27" w16cid:durableId="596211761">
    <w:abstractNumId w:val="48"/>
  </w:num>
  <w:num w:numId="28" w16cid:durableId="71395670">
    <w:abstractNumId w:val="12"/>
  </w:num>
  <w:num w:numId="29" w16cid:durableId="533004776">
    <w:abstractNumId w:val="41"/>
  </w:num>
  <w:num w:numId="30" w16cid:durableId="533730337">
    <w:abstractNumId w:val="7"/>
  </w:num>
  <w:num w:numId="31" w16cid:durableId="1225023439">
    <w:abstractNumId w:val="36"/>
  </w:num>
  <w:num w:numId="32" w16cid:durableId="6242401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20"/>
  </w:num>
  <w:num w:numId="34" w16cid:durableId="881331039">
    <w:abstractNumId w:val="17"/>
  </w:num>
  <w:num w:numId="35" w16cid:durableId="952172695">
    <w:abstractNumId w:val="38"/>
  </w:num>
  <w:num w:numId="36" w16cid:durableId="292831615">
    <w:abstractNumId w:val="31"/>
  </w:num>
  <w:num w:numId="37" w16cid:durableId="419176401">
    <w:abstractNumId w:val="33"/>
  </w:num>
  <w:num w:numId="38" w16cid:durableId="577443185">
    <w:abstractNumId w:val="32"/>
  </w:num>
  <w:num w:numId="39" w16cid:durableId="1448625504">
    <w:abstractNumId w:val="8"/>
  </w:num>
  <w:num w:numId="40" w16cid:durableId="1436906888">
    <w:abstractNumId w:val="13"/>
  </w:num>
  <w:num w:numId="41" w16cid:durableId="1446777352">
    <w:abstractNumId w:val="0"/>
  </w:num>
  <w:num w:numId="42" w16cid:durableId="51774393">
    <w:abstractNumId w:val="1"/>
  </w:num>
  <w:num w:numId="43" w16cid:durableId="1936278781">
    <w:abstractNumId w:val="37"/>
  </w:num>
  <w:num w:numId="44" w16cid:durableId="1147554128">
    <w:abstractNumId w:val="21"/>
  </w:num>
  <w:num w:numId="45" w16cid:durableId="2010786107">
    <w:abstractNumId w:val="40"/>
  </w:num>
  <w:num w:numId="46" w16cid:durableId="2098942844">
    <w:abstractNumId w:val="35"/>
  </w:num>
  <w:num w:numId="47" w16cid:durableId="2058234210">
    <w:abstractNumId w:val="22"/>
  </w:num>
  <w:num w:numId="48" w16cid:durableId="1416318282">
    <w:abstractNumId w:val="10"/>
  </w:num>
  <w:num w:numId="49" w16cid:durableId="100419604">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01CF"/>
    <w:rsid w:val="00001943"/>
    <w:rsid w:val="000020A0"/>
    <w:rsid w:val="00002352"/>
    <w:rsid w:val="00002536"/>
    <w:rsid w:val="0000342D"/>
    <w:rsid w:val="0000361F"/>
    <w:rsid w:val="0000582B"/>
    <w:rsid w:val="00005953"/>
    <w:rsid w:val="000070F0"/>
    <w:rsid w:val="0001057F"/>
    <w:rsid w:val="00010E93"/>
    <w:rsid w:val="00010FBC"/>
    <w:rsid w:val="00011D19"/>
    <w:rsid w:val="00013BD7"/>
    <w:rsid w:val="000144EB"/>
    <w:rsid w:val="00014C88"/>
    <w:rsid w:val="00014CC9"/>
    <w:rsid w:val="00015235"/>
    <w:rsid w:val="00016AAE"/>
    <w:rsid w:val="00017663"/>
    <w:rsid w:val="00017F6B"/>
    <w:rsid w:val="00020D5E"/>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741"/>
    <w:rsid w:val="00042E30"/>
    <w:rsid w:val="0004366C"/>
    <w:rsid w:val="00043A57"/>
    <w:rsid w:val="00044A82"/>
    <w:rsid w:val="00045002"/>
    <w:rsid w:val="00045E55"/>
    <w:rsid w:val="00046E70"/>
    <w:rsid w:val="000471E8"/>
    <w:rsid w:val="0004771A"/>
    <w:rsid w:val="00050500"/>
    <w:rsid w:val="00052526"/>
    <w:rsid w:val="000531F8"/>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75E9B"/>
    <w:rsid w:val="000807CB"/>
    <w:rsid w:val="00081636"/>
    <w:rsid w:val="00081FAF"/>
    <w:rsid w:val="0008263D"/>
    <w:rsid w:val="0008283D"/>
    <w:rsid w:val="000830BC"/>
    <w:rsid w:val="0008436F"/>
    <w:rsid w:val="0008592A"/>
    <w:rsid w:val="00085CFC"/>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B96"/>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433"/>
    <w:rsid w:val="000E152F"/>
    <w:rsid w:val="000E3868"/>
    <w:rsid w:val="000E4383"/>
    <w:rsid w:val="000E5484"/>
    <w:rsid w:val="000E6105"/>
    <w:rsid w:val="000E7512"/>
    <w:rsid w:val="000F02DC"/>
    <w:rsid w:val="000F0B37"/>
    <w:rsid w:val="000F31AF"/>
    <w:rsid w:val="000F4344"/>
    <w:rsid w:val="000F437B"/>
    <w:rsid w:val="000F4755"/>
    <w:rsid w:val="000F4AE7"/>
    <w:rsid w:val="000F5450"/>
    <w:rsid w:val="000F5BFF"/>
    <w:rsid w:val="00101E79"/>
    <w:rsid w:val="00102190"/>
    <w:rsid w:val="0010229C"/>
    <w:rsid w:val="00104280"/>
    <w:rsid w:val="00104863"/>
    <w:rsid w:val="00106242"/>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162C"/>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3A19"/>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4B1"/>
    <w:rsid w:val="001A31BC"/>
    <w:rsid w:val="001A3CCF"/>
    <w:rsid w:val="001A3DF7"/>
    <w:rsid w:val="001A450F"/>
    <w:rsid w:val="001A4691"/>
    <w:rsid w:val="001A5150"/>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33DD"/>
    <w:rsid w:val="001E41F3"/>
    <w:rsid w:val="001E440D"/>
    <w:rsid w:val="001E5939"/>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446"/>
    <w:rsid w:val="00215AE7"/>
    <w:rsid w:val="00215B20"/>
    <w:rsid w:val="002220BA"/>
    <w:rsid w:val="002222D3"/>
    <w:rsid w:val="00223E94"/>
    <w:rsid w:val="002241E6"/>
    <w:rsid w:val="0022463F"/>
    <w:rsid w:val="0022519C"/>
    <w:rsid w:val="002301D8"/>
    <w:rsid w:val="0023030B"/>
    <w:rsid w:val="0023099F"/>
    <w:rsid w:val="00231037"/>
    <w:rsid w:val="002318F4"/>
    <w:rsid w:val="002319EE"/>
    <w:rsid w:val="00233AE5"/>
    <w:rsid w:val="00233C23"/>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628"/>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87DFB"/>
    <w:rsid w:val="00290A51"/>
    <w:rsid w:val="00290BCB"/>
    <w:rsid w:val="002911F2"/>
    <w:rsid w:val="002936C6"/>
    <w:rsid w:val="0029503E"/>
    <w:rsid w:val="00295339"/>
    <w:rsid w:val="00295785"/>
    <w:rsid w:val="00296A9A"/>
    <w:rsid w:val="00296AA9"/>
    <w:rsid w:val="00296DAB"/>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C7003"/>
    <w:rsid w:val="002C7D89"/>
    <w:rsid w:val="002D0507"/>
    <w:rsid w:val="002D1343"/>
    <w:rsid w:val="002D16F1"/>
    <w:rsid w:val="002D17D9"/>
    <w:rsid w:val="002D18B4"/>
    <w:rsid w:val="002D1A13"/>
    <w:rsid w:val="002D1A71"/>
    <w:rsid w:val="002D2FD2"/>
    <w:rsid w:val="002D569D"/>
    <w:rsid w:val="002D5BE8"/>
    <w:rsid w:val="002D73BC"/>
    <w:rsid w:val="002D7823"/>
    <w:rsid w:val="002D7AFD"/>
    <w:rsid w:val="002E022D"/>
    <w:rsid w:val="002E288B"/>
    <w:rsid w:val="002E37A6"/>
    <w:rsid w:val="002E3CFC"/>
    <w:rsid w:val="002E45CE"/>
    <w:rsid w:val="002E4848"/>
    <w:rsid w:val="002E4A7F"/>
    <w:rsid w:val="002E6633"/>
    <w:rsid w:val="002E6C14"/>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10E"/>
    <w:rsid w:val="00307431"/>
    <w:rsid w:val="0030757B"/>
    <w:rsid w:val="00307D41"/>
    <w:rsid w:val="00312B7C"/>
    <w:rsid w:val="00313F9E"/>
    <w:rsid w:val="0031661D"/>
    <w:rsid w:val="00320283"/>
    <w:rsid w:val="003202D4"/>
    <w:rsid w:val="00320984"/>
    <w:rsid w:val="003242BA"/>
    <w:rsid w:val="003242F9"/>
    <w:rsid w:val="0032463B"/>
    <w:rsid w:val="00324E54"/>
    <w:rsid w:val="00327316"/>
    <w:rsid w:val="00335A21"/>
    <w:rsid w:val="00335C10"/>
    <w:rsid w:val="00336044"/>
    <w:rsid w:val="0033737E"/>
    <w:rsid w:val="0034006C"/>
    <w:rsid w:val="00340760"/>
    <w:rsid w:val="00340B9C"/>
    <w:rsid w:val="003413B2"/>
    <w:rsid w:val="00341A04"/>
    <w:rsid w:val="00342908"/>
    <w:rsid w:val="00343E55"/>
    <w:rsid w:val="00344814"/>
    <w:rsid w:val="0034535C"/>
    <w:rsid w:val="00347B3F"/>
    <w:rsid w:val="0035007C"/>
    <w:rsid w:val="00350934"/>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394C"/>
    <w:rsid w:val="00374DD4"/>
    <w:rsid w:val="0037566B"/>
    <w:rsid w:val="00377079"/>
    <w:rsid w:val="00377082"/>
    <w:rsid w:val="00380131"/>
    <w:rsid w:val="00383628"/>
    <w:rsid w:val="0038524C"/>
    <w:rsid w:val="00385ED7"/>
    <w:rsid w:val="00385EE7"/>
    <w:rsid w:val="00385F87"/>
    <w:rsid w:val="00386643"/>
    <w:rsid w:val="00387EC8"/>
    <w:rsid w:val="00390EFD"/>
    <w:rsid w:val="00391069"/>
    <w:rsid w:val="003917B9"/>
    <w:rsid w:val="00391A61"/>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5699"/>
    <w:rsid w:val="003C6B01"/>
    <w:rsid w:val="003C7570"/>
    <w:rsid w:val="003C7DD4"/>
    <w:rsid w:val="003C7E72"/>
    <w:rsid w:val="003D1165"/>
    <w:rsid w:val="003D12BE"/>
    <w:rsid w:val="003D148A"/>
    <w:rsid w:val="003D30F0"/>
    <w:rsid w:val="003D36B0"/>
    <w:rsid w:val="003D37DB"/>
    <w:rsid w:val="003D3A1D"/>
    <w:rsid w:val="003D413D"/>
    <w:rsid w:val="003D58E0"/>
    <w:rsid w:val="003D74F3"/>
    <w:rsid w:val="003E1A36"/>
    <w:rsid w:val="003E1E95"/>
    <w:rsid w:val="003E206F"/>
    <w:rsid w:val="003E23D9"/>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3896"/>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292C"/>
    <w:rsid w:val="00423CA0"/>
    <w:rsid w:val="00423CF7"/>
    <w:rsid w:val="004242F1"/>
    <w:rsid w:val="0042454A"/>
    <w:rsid w:val="004249F8"/>
    <w:rsid w:val="00427600"/>
    <w:rsid w:val="00431C08"/>
    <w:rsid w:val="004328ED"/>
    <w:rsid w:val="00432C2D"/>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1BE3"/>
    <w:rsid w:val="00472E08"/>
    <w:rsid w:val="004737A8"/>
    <w:rsid w:val="00473D5E"/>
    <w:rsid w:val="0047455D"/>
    <w:rsid w:val="00475A6A"/>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2B3"/>
    <w:rsid w:val="004B4347"/>
    <w:rsid w:val="004B567D"/>
    <w:rsid w:val="004B5F9D"/>
    <w:rsid w:val="004B69F2"/>
    <w:rsid w:val="004B75B7"/>
    <w:rsid w:val="004C08A5"/>
    <w:rsid w:val="004C1048"/>
    <w:rsid w:val="004C15E9"/>
    <w:rsid w:val="004C1F88"/>
    <w:rsid w:val="004C2753"/>
    <w:rsid w:val="004C354E"/>
    <w:rsid w:val="004C459D"/>
    <w:rsid w:val="004C4AE6"/>
    <w:rsid w:val="004C4E7E"/>
    <w:rsid w:val="004C5C47"/>
    <w:rsid w:val="004D12BD"/>
    <w:rsid w:val="004D145D"/>
    <w:rsid w:val="004D192A"/>
    <w:rsid w:val="004D1EC1"/>
    <w:rsid w:val="004D2669"/>
    <w:rsid w:val="004D2BDB"/>
    <w:rsid w:val="004D2EFE"/>
    <w:rsid w:val="004D3BED"/>
    <w:rsid w:val="004D3D8A"/>
    <w:rsid w:val="004D3FEE"/>
    <w:rsid w:val="004D4F8B"/>
    <w:rsid w:val="004D77C2"/>
    <w:rsid w:val="004D7FDE"/>
    <w:rsid w:val="004E105D"/>
    <w:rsid w:val="004E1B78"/>
    <w:rsid w:val="004E3F26"/>
    <w:rsid w:val="004E45D8"/>
    <w:rsid w:val="004E4CC6"/>
    <w:rsid w:val="004E6197"/>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47A29"/>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5BE6"/>
    <w:rsid w:val="005660AF"/>
    <w:rsid w:val="00566303"/>
    <w:rsid w:val="005667D1"/>
    <w:rsid w:val="0056691A"/>
    <w:rsid w:val="0057037A"/>
    <w:rsid w:val="00570873"/>
    <w:rsid w:val="00571B3E"/>
    <w:rsid w:val="0057209D"/>
    <w:rsid w:val="005735E5"/>
    <w:rsid w:val="005742B7"/>
    <w:rsid w:val="0057711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0E0F"/>
    <w:rsid w:val="005C227B"/>
    <w:rsid w:val="005C2EC3"/>
    <w:rsid w:val="005C478D"/>
    <w:rsid w:val="005C48A9"/>
    <w:rsid w:val="005C571B"/>
    <w:rsid w:val="005D02C9"/>
    <w:rsid w:val="005D04D5"/>
    <w:rsid w:val="005D2356"/>
    <w:rsid w:val="005D23A9"/>
    <w:rsid w:val="005D2AB3"/>
    <w:rsid w:val="005D3224"/>
    <w:rsid w:val="005D476D"/>
    <w:rsid w:val="005D5114"/>
    <w:rsid w:val="005D57ED"/>
    <w:rsid w:val="005D5E17"/>
    <w:rsid w:val="005D71E5"/>
    <w:rsid w:val="005D7A3C"/>
    <w:rsid w:val="005D7C78"/>
    <w:rsid w:val="005E0132"/>
    <w:rsid w:val="005E0307"/>
    <w:rsid w:val="005E096B"/>
    <w:rsid w:val="005E11CB"/>
    <w:rsid w:val="005E1765"/>
    <w:rsid w:val="005E2C44"/>
    <w:rsid w:val="005E3357"/>
    <w:rsid w:val="005E5A0F"/>
    <w:rsid w:val="005E691D"/>
    <w:rsid w:val="005E7232"/>
    <w:rsid w:val="005E7EB9"/>
    <w:rsid w:val="005F02A1"/>
    <w:rsid w:val="005F124B"/>
    <w:rsid w:val="005F136C"/>
    <w:rsid w:val="005F166F"/>
    <w:rsid w:val="005F17B9"/>
    <w:rsid w:val="005F1FFB"/>
    <w:rsid w:val="005F41AF"/>
    <w:rsid w:val="005F46F4"/>
    <w:rsid w:val="005F4E68"/>
    <w:rsid w:val="005F555D"/>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50EF"/>
    <w:rsid w:val="00616DE5"/>
    <w:rsid w:val="00617062"/>
    <w:rsid w:val="0061761B"/>
    <w:rsid w:val="00621017"/>
    <w:rsid w:val="00621188"/>
    <w:rsid w:val="006213A3"/>
    <w:rsid w:val="00621A3F"/>
    <w:rsid w:val="00622C57"/>
    <w:rsid w:val="00624577"/>
    <w:rsid w:val="006257ED"/>
    <w:rsid w:val="00625BA3"/>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3E50"/>
    <w:rsid w:val="00645460"/>
    <w:rsid w:val="006465AC"/>
    <w:rsid w:val="00647348"/>
    <w:rsid w:val="00650D18"/>
    <w:rsid w:val="00651620"/>
    <w:rsid w:val="00652ECC"/>
    <w:rsid w:val="00653103"/>
    <w:rsid w:val="006533C9"/>
    <w:rsid w:val="00653B0C"/>
    <w:rsid w:val="00653B24"/>
    <w:rsid w:val="006540FF"/>
    <w:rsid w:val="00654DBA"/>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7B5A"/>
    <w:rsid w:val="006A7DB6"/>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331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2E8A"/>
    <w:rsid w:val="007036D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166A4"/>
    <w:rsid w:val="00717D74"/>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CCB"/>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1F4E"/>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77987"/>
    <w:rsid w:val="007803AE"/>
    <w:rsid w:val="00781F71"/>
    <w:rsid w:val="00781F7A"/>
    <w:rsid w:val="00782FEB"/>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0193"/>
    <w:rsid w:val="007A1181"/>
    <w:rsid w:val="007A17B4"/>
    <w:rsid w:val="007A19E5"/>
    <w:rsid w:val="007A20A5"/>
    <w:rsid w:val="007A2CB0"/>
    <w:rsid w:val="007A2D5F"/>
    <w:rsid w:val="007A5424"/>
    <w:rsid w:val="007A5793"/>
    <w:rsid w:val="007A69ED"/>
    <w:rsid w:val="007B166A"/>
    <w:rsid w:val="007B166D"/>
    <w:rsid w:val="007B2784"/>
    <w:rsid w:val="007B3F67"/>
    <w:rsid w:val="007B512A"/>
    <w:rsid w:val="007B6188"/>
    <w:rsid w:val="007B7458"/>
    <w:rsid w:val="007B7D4D"/>
    <w:rsid w:val="007B7F3C"/>
    <w:rsid w:val="007C1188"/>
    <w:rsid w:val="007C2097"/>
    <w:rsid w:val="007C23FE"/>
    <w:rsid w:val="007C3F48"/>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BFE"/>
    <w:rsid w:val="007E3E8C"/>
    <w:rsid w:val="007E582A"/>
    <w:rsid w:val="007E60AC"/>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3799"/>
    <w:rsid w:val="0082406F"/>
    <w:rsid w:val="00826AC4"/>
    <w:rsid w:val="00826C58"/>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5A16"/>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5D6A"/>
    <w:rsid w:val="008C79F9"/>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37F3"/>
    <w:rsid w:val="008F4535"/>
    <w:rsid w:val="008F4543"/>
    <w:rsid w:val="008F5439"/>
    <w:rsid w:val="008F56A0"/>
    <w:rsid w:val="008F608F"/>
    <w:rsid w:val="008F686C"/>
    <w:rsid w:val="008F6DC1"/>
    <w:rsid w:val="00900229"/>
    <w:rsid w:val="00900534"/>
    <w:rsid w:val="009007C7"/>
    <w:rsid w:val="0090148A"/>
    <w:rsid w:val="00902E93"/>
    <w:rsid w:val="00902F09"/>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27D8"/>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40CF"/>
    <w:rsid w:val="009746B2"/>
    <w:rsid w:val="00974CF5"/>
    <w:rsid w:val="00975094"/>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88E"/>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47A2"/>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2A0F"/>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1CD"/>
    <w:rsid w:val="00A105F9"/>
    <w:rsid w:val="00A11A16"/>
    <w:rsid w:val="00A11C23"/>
    <w:rsid w:val="00A1336A"/>
    <w:rsid w:val="00A134AA"/>
    <w:rsid w:val="00A13E81"/>
    <w:rsid w:val="00A13F9F"/>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3AC"/>
    <w:rsid w:val="00A316AB"/>
    <w:rsid w:val="00A3382F"/>
    <w:rsid w:val="00A349F0"/>
    <w:rsid w:val="00A35495"/>
    <w:rsid w:val="00A35B06"/>
    <w:rsid w:val="00A36482"/>
    <w:rsid w:val="00A37074"/>
    <w:rsid w:val="00A404E6"/>
    <w:rsid w:val="00A41A7D"/>
    <w:rsid w:val="00A41E58"/>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30F"/>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5CEF"/>
    <w:rsid w:val="00A7671C"/>
    <w:rsid w:val="00A77C24"/>
    <w:rsid w:val="00A80223"/>
    <w:rsid w:val="00A8060C"/>
    <w:rsid w:val="00A8193A"/>
    <w:rsid w:val="00A8283B"/>
    <w:rsid w:val="00A828D9"/>
    <w:rsid w:val="00A83387"/>
    <w:rsid w:val="00A8342A"/>
    <w:rsid w:val="00A85AA0"/>
    <w:rsid w:val="00A860D6"/>
    <w:rsid w:val="00A86EE3"/>
    <w:rsid w:val="00A87700"/>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0209"/>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AF774F"/>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4CF9"/>
    <w:rsid w:val="00B3582A"/>
    <w:rsid w:val="00B365E4"/>
    <w:rsid w:val="00B36A44"/>
    <w:rsid w:val="00B402D3"/>
    <w:rsid w:val="00B40AC6"/>
    <w:rsid w:val="00B40C48"/>
    <w:rsid w:val="00B41FEE"/>
    <w:rsid w:val="00B425B3"/>
    <w:rsid w:val="00B44990"/>
    <w:rsid w:val="00B44C65"/>
    <w:rsid w:val="00B479B6"/>
    <w:rsid w:val="00B50316"/>
    <w:rsid w:val="00B5266C"/>
    <w:rsid w:val="00B547F0"/>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BCF"/>
    <w:rsid w:val="00B70C6B"/>
    <w:rsid w:val="00B715E1"/>
    <w:rsid w:val="00B7347F"/>
    <w:rsid w:val="00B7433E"/>
    <w:rsid w:val="00B746D3"/>
    <w:rsid w:val="00B7516C"/>
    <w:rsid w:val="00B75175"/>
    <w:rsid w:val="00B76E28"/>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2496"/>
    <w:rsid w:val="00BB52A0"/>
    <w:rsid w:val="00BB53C5"/>
    <w:rsid w:val="00BB5B02"/>
    <w:rsid w:val="00BB5DFC"/>
    <w:rsid w:val="00BB6EAD"/>
    <w:rsid w:val="00BB7451"/>
    <w:rsid w:val="00BB79A0"/>
    <w:rsid w:val="00BC0174"/>
    <w:rsid w:val="00BC1058"/>
    <w:rsid w:val="00BC1826"/>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3FF4"/>
    <w:rsid w:val="00BD43E8"/>
    <w:rsid w:val="00BD466D"/>
    <w:rsid w:val="00BD4C84"/>
    <w:rsid w:val="00BD4F16"/>
    <w:rsid w:val="00BD589D"/>
    <w:rsid w:val="00BD5F3C"/>
    <w:rsid w:val="00BD6BB8"/>
    <w:rsid w:val="00BD72D1"/>
    <w:rsid w:val="00BE040E"/>
    <w:rsid w:val="00BE04F2"/>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177CA"/>
    <w:rsid w:val="00C206D8"/>
    <w:rsid w:val="00C21B9B"/>
    <w:rsid w:val="00C21BD4"/>
    <w:rsid w:val="00C22913"/>
    <w:rsid w:val="00C23DE2"/>
    <w:rsid w:val="00C2490D"/>
    <w:rsid w:val="00C25851"/>
    <w:rsid w:val="00C26E5D"/>
    <w:rsid w:val="00C30C63"/>
    <w:rsid w:val="00C32372"/>
    <w:rsid w:val="00C335F7"/>
    <w:rsid w:val="00C3365E"/>
    <w:rsid w:val="00C34630"/>
    <w:rsid w:val="00C36675"/>
    <w:rsid w:val="00C36806"/>
    <w:rsid w:val="00C37EC4"/>
    <w:rsid w:val="00C40022"/>
    <w:rsid w:val="00C40BBC"/>
    <w:rsid w:val="00C40C35"/>
    <w:rsid w:val="00C418FE"/>
    <w:rsid w:val="00C427E0"/>
    <w:rsid w:val="00C44AC8"/>
    <w:rsid w:val="00C44B87"/>
    <w:rsid w:val="00C45A3C"/>
    <w:rsid w:val="00C4617D"/>
    <w:rsid w:val="00C46658"/>
    <w:rsid w:val="00C467A6"/>
    <w:rsid w:val="00C47577"/>
    <w:rsid w:val="00C505EB"/>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5DB0"/>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314"/>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63E7"/>
    <w:rsid w:val="00CA7A4F"/>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1EF2"/>
    <w:rsid w:val="00CC5026"/>
    <w:rsid w:val="00CC5B87"/>
    <w:rsid w:val="00CC68D0"/>
    <w:rsid w:val="00CC6FCC"/>
    <w:rsid w:val="00CD09D3"/>
    <w:rsid w:val="00CD32FF"/>
    <w:rsid w:val="00CD5C1E"/>
    <w:rsid w:val="00CD6378"/>
    <w:rsid w:val="00CD6F35"/>
    <w:rsid w:val="00CD72C4"/>
    <w:rsid w:val="00CD7348"/>
    <w:rsid w:val="00CD78FA"/>
    <w:rsid w:val="00CD7BF0"/>
    <w:rsid w:val="00CE0C70"/>
    <w:rsid w:val="00CE12C5"/>
    <w:rsid w:val="00CE15F3"/>
    <w:rsid w:val="00CE1B88"/>
    <w:rsid w:val="00CE3093"/>
    <w:rsid w:val="00CE33DA"/>
    <w:rsid w:val="00CE406C"/>
    <w:rsid w:val="00CE50C1"/>
    <w:rsid w:val="00CE513C"/>
    <w:rsid w:val="00CE6B10"/>
    <w:rsid w:val="00CE7169"/>
    <w:rsid w:val="00CE73FA"/>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0E88"/>
    <w:rsid w:val="00D215FB"/>
    <w:rsid w:val="00D2189A"/>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57CBA"/>
    <w:rsid w:val="00D6001B"/>
    <w:rsid w:val="00D605D9"/>
    <w:rsid w:val="00D60D16"/>
    <w:rsid w:val="00D627D4"/>
    <w:rsid w:val="00D6282B"/>
    <w:rsid w:val="00D62E54"/>
    <w:rsid w:val="00D6303C"/>
    <w:rsid w:val="00D64FAE"/>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757"/>
    <w:rsid w:val="00D82E62"/>
    <w:rsid w:val="00D835B1"/>
    <w:rsid w:val="00D83A3E"/>
    <w:rsid w:val="00D83C47"/>
    <w:rsid w:val="00D8424A"/>
    <w:rsid w:val="00D849D5"/>
    <w:rsid w:val="00D85424"/>
    <w:rsid w:val="00D863B4"/>
    <w:rsid w:val="00D86D48"/>
    <w:rsid w:val="00D902A3"/>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570"/>
    <w:rsid w:val="00DB46FD"/>
    <w:rsid w:val="00DB4D2E"/>
    <w:rsid w:val="00DB4DF3"/>
    <w:rsid w:val="00DB6738"/>
    <w:rsid w:val="00DB6841"/>
    <w:rsid w:val="00DB76B9"/>
    <w:rsid w:val="00DC048F"/>
    <w:rsid w:val="00DC1A31"/>
    <w:rsid w:val="00DC4CEB"/>
    <w:rsid w:val="00DC54F4"/>
    <w:rsid w:val="00DC659D"/>
    <w:rsid w:val="00DC6E31"/>
    <w:rsid w:val="00DD0D2F"/>
    <w:rsid w:val="00DD19BA"/>
    <w:rsid w:val="00DD373F"/>
    <w:rsid w:val="00DD51E0"/>
    <w:rsid w:val="00DD5BC5"/>
    <w:rsid w:val="00DD75C9"/>
    <w:rsid w:val="00DD76AC"/>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1CB"/>
    <w:rsid w:val="00E04AEA"/>
    <w:rsid w:val="00E0555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389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1823"/>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3C34"/>
    <w:rsid w:val="00EB4F1B"/>
    <w:rsid w:val="00EB53AD"/>
    <w:rsid w:val="00EB5AEC"/>
    <w:rsid w:val="00EC1343"/>
    <w:rsid w:val="00EC1ED4"/>
    <w:rsid w:val="00EC341A"/>
    <w:rsid w:val="00EC7771"/>
    <w:rsid w:val="00ED2292"/>
    <w:rsid w:val="00ED286B"/>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363"/>
    <w:rsid w:val="00EE496D"/>
    <w:rsid w:val="00EE659D"/>
    <w:rsid w:val="00EE7AFE"/>
    <w:rsid w:val="00EE7D7C"/>
    <w:rsid w:val="00EF03A5"/>
    <w:rsid w:val="00EF0BC2"/>
    <w:rsid w:val="00EF0EC2"/>
    <w:rsid w:val="00EF1389"/>
    <w:rsid w:val="00EF14D5"/>
    <w:rsid w:val="00EF1980"/>
    <w:rsid w:val="00EF3695"/>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9"/>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613"/>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42DB"/>
    <w:rsid w:val="00F86CEC"/>
    <w:rsid w:val="00F9063D"/>
    <w:rsid w:val="00F90CD7"/>
    <w:rsid w:val="00F926B9"/>
    <w:rsid w:val="00F92719"/>
    <w:rsid w:val="00F950B9"/>
    <w:rsid w:val="00F956CE"/>
    <w:rsid w:val="00F96259"/>
    <w:rsid w:val="00F9645E"/>
    <w:rsid w:val="00F96F21"/>
    <w:rsid w:val="00F978EB"/>
    <w:rsid w:val="00F97F99"/>
    <w:rsid w:val="00FA4466"/>
    <w:rsid w:val="00FA4ED5"/>
    <w:rsid w:val="00FA6EF4"/>
    <w:rsid w:val="00FB0EBE"/>
    <w:rsid w:val="00FB120B"/>
    <w:rsid w:val="00FB1308"/>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C7CF7"/>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29E"/>
    <w:rsid w:val="00FF6472"/>
    <w:rsid w:val="00FF66CA"/>
    <w:rsid w:val="00FF6E0C"/>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2"/>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1"/>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39"/>
      </w:numPr>
      <w:contextualSpacing/>
    </w:pPr>
  </w:style>
  <w:style w:type="paragraph" w:styleId="ListNumber5">
    <w:name w:val="List Number 5"/>
    <w:basedOn w:val="Normal"/>
    <w:semiHidden/>
    <w:unhideWhenUsed/>
    <w:rsid w:val="00BC5DB2"/>
    <w:pPr>
      <w:numPr>
        <w:numId w:val="40"/>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 w:type="character" w:customStyle="1" w:styleId="t286pc">
    <w:name w:val="t286pc"/>
    <w:basedOn w:val="DefaultParagraphFont"/>
    <w:rsid w:val="00307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289</TotalTime>
  <Pages>4</Pages>
  <Words>1486</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29</cp:revision>
  <cp:lastPrinted>1900-01-01T08:00:00Z</cp:lastPrinted>
  <dcterms:created xsi:type="dcterms:W3CDTF">2025-05-09T15:02:00Z</dcterms:created>
  <dcterms:modified xsi:type="dcterms:W3CDTF">2025-10-02T17:36:00Z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