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CP-253144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Architecture support of roaming value-added services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19.23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PEI in Monitoring Reports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Verizon, HPE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TEI19_RVAS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6.4.6.2.3, 6.4.6.2.4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Subscription-based routing to a target PLMN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AT&amp;T, Cisco, HPE,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TEI19_RVAS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CP-253144</vt:lpwstr>
  </property>
  <property fmtid="{D5CDD505-2E9C-101B-9397-08002B2CF9AE}" pid="19" name="CrpackTitle">
    <vt:lpwstr>CR Pack on CT aspects of Architecture support of roaming value-added services</vt:lpwstr>
  </property>
  <property fmtid="{D5CDD505-2E9C-101B-9397-08002B2CF9AE}" pid="20" name="Agenda#">
    <vt:lpwstr>19.23</vt:lpwstr>
  </property>
  <property fmtid="{D5CDD505-2E9C-101B-9397-08002B2CF9AE}" pid="21" name="Source">
    <vt:lpwstr>CT4</vt:lpwstr>
  </property>
</Properties>
</file>