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F383A" w14:textId="13B7254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4F4CF5">
        <w:rPr>
          <w:rFonts w:ascii="Arial" w:eastAsia="Arial Unicode MS" w:hAnsi="Arial" w:cs="Arial"/>
          <w:b/>
          <w:bCs/>
          <w:sz w:val="24"/>
        </w:rPr>
        <w:t>170</w:t>
      </w:r>
      <w:r>
        <w:rPr>
          <w:rFonts w:ascii="Arial" w:eastAsia="Arial Unicode MS" w:hAnsi="Arial" w:cs="Arial"/>
          <w:b/>
          <w:bCs/>
          <w:sz w:val="24"/>
        </w:rPr>
        <w:tab/>
      </w:r>
      <w:r w:rsidR="00EC1A0A" w:rsidRPr="00EC1A0A">
        <w:rPr>
          <w:rFonts w:ascii="Arial" w:eastAsia="Arial Unicode MS" w:hAnsi="Arial" w:cs="Arial"/>
          <w:b/>
          <w:i/>
          <w:sz w:val="28"/>
        </w:rPr>
        <w:t>S2-2506386</w:t>
      </w:r>
    </w:p>
    <w:p w14:paraId="4272A802" w14:textId="6C8BD871" w:rsidR="00BC3C6F" w:rsidRPr="003244C5" w:rsidRDefault="004F4CF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25</w:t>
      </w:r>
      <w:r w:rsidR="00045A8D" w:rsidRPr="00045A8D">
        <w:rPr>
          <w:rFonts w:ascii="Arial" w:eastAsia="Arial Unicode MS" w:hAnsi="Arial" w:cs="Arial"/>
          <w:b/>
          <w:bCs/>
          <w:sz w:val="24"/>
          <w:vertAlign w:val="superscript"/>
        </w:rPr>
        <w:t>th</w:t>
      </w:r>
      <w:r w:rsidR="00045A8D" w:rsidRPr="00045A8D">
        <w:rPr>
          <w:rFonts w:ascii="Arial" w:eastAsia="Arial Unicode MS" w:hAnsi="Arial" w:cs="Arial"/>
          <w:b/>
          <w:bCs/>
          <w:sz w:val="24"/>
        </w:rPr>
        <w:t xml:space="preserve"> – </w:t>
      </w:r>
      <w:r>
        <w:rPr>
          <w:rFonts w:ascii="Arial" w:eastAsia="Arial Unicode MS" w:hAnsi="Arial" w:cs="Arial"/>
          <w:b/>
          <w:bCs/>
          <w:sz w:val="24"/>
        </w:rPr>
        <w:t>29</w:t>
      </w:r>
      <w:r w:rsidR="00045A8D" w:rsidRPr="00045A8D">
        <w:rPr>
          <w:rFonts w:ascii="Arial" w:eastAsia="Arial Unicode MS" w:hAnsi="Arial" w:cs="Arial"/>
          <w:b/>
          <w:bCs/>
          <w:sz w:val="24"/>
          <w:vertAlign w:val="superscript"/>
        </w:rPr>
        <w:t>th</w:t>
      </w:r>
      <w:r w:rsidR="00045A8D" w:rsidRPr="00045A8D">
        <w:rPr>
          <w:rFonts w:ascii="Arial" w:eastAsia="Arial Unicode MS" w:hAnsi="Arial" w:cs="Arial"/>
          <w:b/>
          <w:bCs/>
          <w:sz w:val="24"/>
        </w:rPr>
        <w:t xml:space="preserve"> </w:t>
      </w:r>
      <w:proofErr w:type="gramStart"/>
      <w:r>
        <w:rPr>
          <w:rFonts w:ascii="Arial" w:eastAsia="Arial Unicode MS" w:hAnsi="Arial" w:cs="Arial"/>
          <w:b/>
          <w:bCs/>
          <w:sz w:val="24"/>
        </w:rPr>
        <w:t>August</w:t>
      </w:r>
      <w:r w:rsidR="00045A8D" w:rsidRPr="00045A8D">
        <w:rPr>
          <w:rFonts w:ascii="Arial" w:eastAsia="Arial Unicode MS" w:hAnsi="Arial" w:cs="Arial"/>
          <w:b/>
          <w:bCs/>
          <w:sz w:val="24"/>
        </w:rPr>
        <w:t>,</w:t>
      </w:r>
      <w:proofErr w:type="gramEnd"/>
      <w:r w:rsidR="00045A8D" w:rsidRPr="00045A8D">
        <w:rPr>
          <w:rFonts w:ascii="Arial" w:eastAsia="Arial Unicode MS" w:hAnsi="Arial" w:cs="Arial"/>
          <w:b/>
          <w:bCs/>
          <w:sz w:val="24"/>
        </w:rPr>
        <w:t xml:space="preserve"> 2025, Goteborg, Sweden</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AAB48F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r w:rsidR="00242114">
        <w:rPr>
          <w:rFonts w:ascii="Arial" w:hAnsi="Arial" w:cs="Arial"/>
          <w:b/>
        </w:rPr>
        <w:t>, Qualcomm</w:t>
      </w:r>
      <w:r w:rsidR="002D1BEC">
        <w:rPr>
          <w:rFonts w:ascii="Arial" w:hAnsi="Arial" w:cs="Arial"/>
          <w:b/>
        </w:rPr>
        <w:t>, OPPO</w:t>
      </w:r>
      <w:r w:rsidR="0051513C">
        <w:rPr>
          <w:rFonts w:ascii="Arial" w:hAnsi="Arial" w:cs="Arial"/>
          <w:b/>
        </w:rPr>
        <w:t>, Samsung</w:t>
      </w:r>
      <w:r w:rsidR="006B72C2">
        <w:rPr>
          <w:rFonts w:ascii="Arial" w:hAnsi="Arial" w:cs="Arial"/>
          <w:b/>
        </w:rPr>
        <w:t xml:space="preserve">, </w:t>
      </w:r>
      <w:proofErr w:type="spellStart"/>
      <w:r w:rsidR="006B72C2">
        <w:rPr>
          <w:rFonts w:ascii="Arial" w:hAnsi="Arial" w:cs="Arial"/>
          <w:b/>
        </w:rPr>
        <w:t>Mediatek</w:t>
      </w:r>
      <w:proofErr w:type="spellEnd"/>
      <w:r w:rsidR="006B72C2">
        <w:rPr>
          <w:rFonts w:ascii="Arial" w:hAnsi="Arial" w:cs="Arial"/>
          <w:b/>
        </w:rPr>
        <w:t xml:space="preserve"> Inc.</w:t>
      </w:r>
    </w:p>
    <w:p w14:paraId="3E28018A" w14:textId="704EEF7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F4CF5">
        <w:rPr>
          <w:rFonts w:ascii="Arial" w:hAnsi="Arial" w:cs="Arial"/>
          <w:b/>
        </w:rPr>
        <w:t xml:space="preserve">Way Forward on </w:t>
      </w:r>
      <w:r w:rsidR="0068311D">
        <w:rPr>
          <w:rFonts w:ascii="Arial" w:hAnsi="Arial" w:cs="Arial"/>
          <w:b/>
        </w:rPr>
        <w:t xml:space="preserve">User Consent and </w:t>
      </w:r>
      <w:r w:rsidR="004F4CF5">
        <w:rPr>
          <w:rFonts w:ascii="Arial" w:hAnsi="Arial" w:cs="Arial"/>
          <w:b/>
        </w:rPr>
        <w:t>Privacy Profile for AI/ML Positioning</w:t>
      </w:r>
      <w:r w:rsidR="00AC54DB">
        <w:rPr>
          <w:rFonts w:ascii="Arial" w:hAnsi="Arial" w:cs="Arial"/>
          <w:b/>
        </w:rPr>
        <w:t xml:space="preserve"> </w:t>
      </w:r>
    </w:p>
    <w:p w14:paraId="1FCFD491" w14:textId="5054D8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E16C5">
        <w:rPr>
          <w:rFonts w:ascii="Arial" w:hAnsi="Arial" w:cs="Arial"/>
          <w:b/>
        </w:rPr>
        <w:t>Decision</w:t>
      </w:r>
    </w:p>
    <w:p w14:paraId="031A7275" w14:textId="640CA63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824F7">
        <w:rPr>
          <w:rFonts w:ascii="Arial" w:hAnsi="Arial" w:cs="Arial"/>
          <w:b/>
        </w:rPr>
        <w:t>1</w:t>
      </w:r>
      <w:r w:rsidR="00606FF1">
        <w:rPr>
          <w:rFonts w:ascii="Arial" w:hAnsi="Arial" w:cs="Arial"/>
          <w:b/>
        </w:rPr>
        <w:t>9.</w:t>
      </w:r>
      <w:r w:rsidR="009824F7">
        <w:rPr>
          <w:rFonts w:ascii="Arial" w:hAnsi="Arial" w:cs="Arial"/>
          <w:b/>
        </w:rPr>
        <w:t>15</w:t>
      </w:r>
      <w:r w:rsidR="00EC6CB3">
        <w:rPr>
          <w:rFonts w:ascii="Arial" w:hAnsi="Arial" w:cs="Arial"/>
          <w:b/>
        </w:rPr>
        <w:t>.</w:t>
      </w:r>
      <w:r w:rsidR="009824F7">
        <w:rPr>
          <w:rFonts w:ascii="Arial" w:hAnsi="Arial" w:cs="Arial"/>
          <w:b/>
        </w:rPr>
        <w:t>2</w:t>
      </w:r>
    </w:p>
    <w:p w14:paraId="28A59353" w14:textId="6065AE3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AC54DB">
        <w:rPr>
          <w:rFonts w:ascii="Arial" w:hAnsi="Arial" w:cs="Arial"/>
          <w:b/>
          <w:bCs/>
          <w:color w:val="auto"/>
          <w:kern w:val="24"/>
          <w:sz w:val="18"/>
          <w:szCs w:val="18"/>
        </w:rPr>
        <w:t>A</w:t>
      </w:r>
      <w:r w:rsidR="00696D6C">
        <w:rPr>
          <w:rFonts w:ascii="Arial" w:hAnsi="Arial" w:cs="Arial"/>
          <w:b/>
          <w:bCs/>
          <w:color w:val="auto"/>
          <w:kern w:val="24"/>
          <w:sz w:val="18"/>
          <w:szCs w:val="18"/>
        </w:rPr>
        <w:t>IML</w:t>
      </w:r>
      <w:r w:rsidR="009824F7">
        <w:rPr>
          <w:rFonts w:ascii="Arial" w:hAnsi="Arial" w:cs="Arial"/>
          <w:b/>
          <w:bCs/>
          <w:color w:val="auto"/>
          <w:kern w:val="24"/>
          <w:sz w:val="18"/>
          <w:szCs w:val="18"/>
        </w:rPr>
        <w:t>_CN</w:t>
      </w:r>
      <w:r w:rsidR="00462B3D" w:rsidRPr="00CA76A1">
        <w:rPr>
          <w:rFonts w:ascii="Arial" w:hAnsi="Arial" w:cs="Arial"/>
          <w:b/>
        </w:rPr>
        <w:t xml:space="preserve"> / Rel-1</w:t>
      </w:r>
      <w:r w:rsidR="009824F7">
        <w:rPr>
          <w:rFonts w:ascii="Arial" w:hAnsi="Arial" w:cs="Arial"/>
          <w:b/>
        </w:rPr>
        <w:t>9</w:t>
      </w:r>
    </w:p>
    <w:p w14:paraId="7311A00F" w14:textId="41830BE7" w:rsidR="00EF48DB" w:rsidRPr="00927C1B" w:rsidRDefault="00A24F28" w:rsidP="00E77653">
      <w:pPr>
        <w:tabs>
          <w:tab w:val="left" w:pos="3636"/>
        </w:tabs>
        <w:spacing w:after="0"/>
        <w:jc w:val="both"/>
        <w:rPr>
          <w:rFonts w:ascii="Arial" w:hAnsi="Arial" w:cs="Arial"/>
          <w:i/>
        </w:rPr>
      </w:pPr>
      <w:r w:rsidRPr="00B879C9">
        <w:rPr>
          <w:rFonts w:ascii="Arial" w:hAnsi="Arial" w:cs="Arial"/>
          <w:b/>
        </w:rPr>
        <w:t>Abstract:</w:t>
      </w:r>
      <w:r w:rsidRPr="00927C1B">
        <w:rPr>
          <w:rFonts w:ascii="Arial" w:hAnsi="Arial" w:cs="Arial"/>
          <w:i/>
        </w:rPr>
        <w:t xml:space="preserve"> </w:t>
      </w:r>
      <w:r w:rsidR="00E77653">
        <w:rPr>
          <w:rFonts w:ascii="Arial" w:hAnsi="Arial" w:cs="Arial"/>
          <w:i/>
        </w:rPr>
        <w:t>This contribution proposes a way forward in SA2 for user consent and privacy profile for AI/ML</w:t>
      </w:r>
      <w:r w:rsidR="00035665">
        <w:rPr>
          <w:rFonts w:ascii="Arial" w:hAnsi="Arial" w:cs="Arial"/>
          <w:i/>
        </w:rPr>
        <w:t xml:space="preserve"> </w:t>
      </w:r>
      <w:r w:rsidR="00E77653">
        <w:rPr>
          <w:rFonts w:ascii="Arial" w:hAnsi="Arial" w:cs="Arial"/>
          <w:i/>
        </w:rPr>
        <w:t>Positioning based on the latest developments at SA3 and SA plenary.</w:t>
      </w:r>
      <w:r w:rsidR="006C1BBD">
        <w:rPr>
          <w:rFonts w:ascii="Arial" w:hAnsi="Arial" w:cs="Arial"/>
          <w:i/>
        </w:rPr>
        <w:tab/>
      </w:r>
    </w:p>
    <w:p w14:paraId="0636462E" w14:textId="63CD46D9" w:rsidR="00A93620" w:rsidRDefault="00B3593E" w:rsidP="00B3593E">
      <w:pPr>
        <w:pStyle w:val="Heading1"/>
      </w:pPr>
      <w:r w:rsidRPr="00606FF1">
        <w:t xml:space="preserve">1. </w:t>
      </w:r>
      <w:r w:rsidR="00462FB1">
        <w:t>Discussion</w:t>
      </w:r>
    </w:p>
    <w:p w14:paraId="3E760CCD" w14:textId="20732632" w:rsidR="00462FB1" w:rsidRPr="00462FB1" w:rsidRDefault="00462FB1" w:rsidP="00462FB1">
      <w:pPr>
        <w:pStyle w:val="Heading2"/>
      </w:pPr>
      <w:r>
        <w:t>1.1</w:t>
      </w:r>
      <w:r>
        <w:tab/>
      </w:r>
      <w:r w:rsidR="006D7C26">
        <w:t xml:space="preserve">Introduction </w:t>
      </w:r>
      <w:r>
        <w:t xml:space="preserve"> </w:t>
      </w:r>
      <w:r w:rsidRPr="00B0552A">
        <w:t xml:space="preserve">  </w:t>
      </w:r>
    </w:p>
    <w:p w14:paraId="36C19F08" w14:textId="37BEFF32" w:rsidR="00E93A20" w:rsidRDefault="00E93A20" w:rsidP="00305143">
      <w:pPr>
        <w:rPr>
          <w:bCs/>
        </w:rPr>
      </w:pPr>
      <w:r>
        <w:rPr>
          <w:bCs/>
        </w:rPr>
        <w:t xml:space="preserve">SA2 did not reach any agreement in SA2#169 on the issues of user consent and privacy profile for AI/ML positioning, despite the discussion having taken place over multiple meetings. However, several recent developments in 3GPP may hopefully help SA2 resolve this issue at SA2#170, i.e. a working agreement by SA3 </w:t>
      </w:r>
      <w:r>
        <w:rPr>
          <w:lang w:val="en-US" w:eastAsia="zh-CN"/>
        </w:rPr>
        <w:t xml:space="preserve">confirmed by SA plenary, and a subsequent guidance provided by SA plenary in its meeting report </w:t>
      </w:r>
      <w:r w:rsidR="00BE54DE">
        <w:rPr>
          <w:lang w:val="en-US" w:eastAsia="zh-CN"/>
        </w:rPr>
        <w:t>for</w:t>
      </w:r>
      <w:r>
        <w:rPr>
          <w:lang w:val="en-US" w:eastAsia="zh-CN"/>
        </w:rPr>
        <w:t xml:space="preserve"> SA#108. In this paper, we summarize the above developments and provide several proposals as a way forward for this meeting.</w:t>
      </w:r>
    </w:p>
    <w:p w14:paraId="0A57028D" w14:textId="49153424" w:rsidR="006D7C26" w:rsidRPr="00462FB1" w:rsidRDefault="006D7C26" w:rsidP="006D7C26">
      <w:pPr>
        <w:pStyle w:val="Heading2"/>
      </w:pPr>
      <w:r>
        <w:t>1.2</w:t>
      </w:r>
      <w:r>
        <w:tab/>
      </w:r>
      <w:r w:rsidR="003F3AFC">
        <w:t xml:space="preserve">Alignment with </w:t>
      </w:r>
      <w:r>
        <w:t xml:space="preserve">SA3 Decision </w:t>
      </w:r>
      <w:r w:rsidRPr="00B0552A">
        <w:t xml:space="preserve">  </w:t>
      </w:r>
    </w:p>
    <w:p w14:paraId="1FC3400A" w14:textId="1F480535" w:rsidR="0068311D" w:rsidRDefault="00BE54DE" w:rsidP="006D7C26">
      <w:pPr>
        <w:rPr>
          <w:bCs/>
        </w:rPr>
      </w:pPr>
      <w:r>
        <w:rPr>
          <w:bCs/>
        </w:rPr>
        <w:t>Based on the working agreement and subsequent SA confirmation, the following clause was agreed for TS 33.501:</w:t>
      </w:r>
    </w:p>
    <w:p w14:paraId="6C294C47" w14:textId="77777777" w:rsidR="00BE54DE" w:rsidRDefault="00BE54DE" w:rsidP="006D7C26">
      <w:pPr>
        <w:rPr>
          <w:bCs/>
        </w:rPr>
      </w:pPr>
      <w:r>
        <w:rPr>
          <w:noProof/>
        </w:rPr>
        <mc:AlternateContent>
          <mc:Choice Requires="wps">
            <w:drawing>
              <wp:anchor distT="0" distB="0" distL="114300" distR="114300" simplePos="0" relativeHeight="251659264" behindDoc="0" locked="0" layoutInCell="1" allowOverlap="1" wp14:anchorId="2D010D49" wp14:editId="1C676D8F">
                <wp:simplePos x="0" y="0"/>
                <wp:positionH relativeFrom="column">
                  <wp:posOffset>0</wp:posOffset>
                </wp:positionH>
                <wp:positionV relativeFrom="paragraph">
                  <wp:posOffset>0</wp:posOffset>
                </wp:positionV>
                <wp:extent cx="1828800" cy="1828800"/>
                <wp:effectExtent l="0" t="0" r="0" b="0"/>
                <wp:wrapSquare wrapText="bothSides"/>
                <wp:docPr id="19182218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EA40E6" w14:textId="77777777" w:rsidR="00BE54DE" w:rsidRDefault="00BE54DE" w:rsidP="00BE54DE">
                            <w:pPr>
                              <w:pStyle w:val="Heading2"/>
                              <w:rPr>
                                <w:rFonts w:eastAsia="DengXian"/>
                                <w:lang w:val="en-US" w:eastAsia="zh-CN"/>
                              </w:rPr>
                            </w:pPr>
                            <w:r>
                              <w:rPr>
                                <w:rFonts w:eastAsia="DengXian" w:hint="eastAsia"/>
                                <w:lang w:eastAsia="zh-CN"/>
                              </w:rPr>
                              <w:t>X</w:t>
                            </w:r>
                            <w:r>
                              <w:rPr>
                                <w:rFonts w:eastAsia="DengXian"/>
                                <w:lang w:eastAsia="zh-CN"/>
                              </w:rPr>
                              <w:t>.</w:t>
                            </w:r>
                            <w:r>
                              <w:rPr>
                                <w:rFonts w:eastAsia="DengXian"/>
                                <w:lang w:val="en-US" w:eastAsia="zh-CN"/>
                              </w:rPr>
                              <w:t>11</w:t>
                            </w:r>
                            <w:r>
                              <w:rPr>
                                <w:rFonts w:eastAsia="DengXian"/>
                                <w:lang w:eastAsia="zh-CN"/>
                              </w:rPr>
                              <w:t>.</w:t>
                            </w:r>
                            <w:r>
                              <w:rPr>
                                <w:rFonts w:eastAsia="DengXian"/>
                                <w:lang w:val="en-US" w:eastAsia="zh-CN"/>
                              </w:rPr>
                              <w:t>2</w:t>
                            </w:r>
                            <w:r>
                              <w:rPr>
                                <w:rFonts w:eastAsia="DengXian"/>
                                <w:lang w:val="en-US" w:eastAsia="zh-CN"/>
                              </w:rPr>
                              <w:tab/>
                              <w:t>Security for data collection for the LMF-based AI/ML positioning</w:t>
                            </w:r>
                          </w:p>
                          <w:p w14:paraId="2AC8AA0C" w14:textId="77777777" w:rsidR="00BE54DE" w:rsidRPr="00ED64DD" w:rsidRDefault="00BE54DE" w:rsidP="00ED64DD">
                            <w:pPr>
                              <w:rPr>
                                <w:lang w:eastAsia="zh-CN"/>
                              </w:rPr>
                            </w:pPr>
                            <w:r>
                              <w:rPr>
                                <w:rFonts w:hint="eastAsia"/>
                                <w:lang w:eastAsia="zh-CN"/>
                              </w:rPr>
                              <w:t>U</w:t>
                            </w:r>
                            <w:r>
                              <w:t xml:space="preserve">ser consent for model training as per 6.1.6.3.20 of 29.503 </w:t>
                            </w:r>
                            <w:r>
                              <w:rPr>
                                <w:lang w:eastAsia="zh-CN"/>
                              </w:rPr>
                              <w:t>[93]</w:t>
                            </w:r>
                            <w:r>
                              <w:t xml:space="preserve"> and performance monitoring for LMF-based AI/ML positioning as specified in clause 6.22 of TS 23.273 [86] is required </w:t>
                            </w:r>
                            <w:r>
                              <w:rPr>
                                <w:lang w:eastAsia="zh-CN"/>
                              </w:rPr>
                              <w:t>based on regional regulations or operator’s local policy</w:t>
                            </w:r>
                            <w:r>
                              <w:t>,</w:t>
                            </w:r>
                            <w:r>
                              <w:rPr>
                                <w:rFonts w:hint="eastAsia"/>
                                <w:lang w:val="en-US" w:eastAsia="zh-CN"/>
                              </w:rPr>
                              <w:t xml:space="preserve"> </w:t>
                            </w:r>
                            <w:r>
                              <w:rPr>
                                <w:lang w:val="en-US" w:eastAsia="zh-CN"/>
                              </w:rPr>
                              <w:t xml:space="preserve">for which </w:t>
                            </w:r>
                            <w:r>
                              <w:rPr>
                                <w:rFonts w:eastAsia="DengXian"/>
                                <w:lang w:eastAsia="ko-KR"/>
                              </w:rPr>
                              <w:t xml:space="preserve">Annex V </w:t>
                            </w:r>
                            <w:r>
                              <w:rPr>
                                <w:rFonts w:eastAsia="DengXian" w:hint="eastAsia"/>
                                <w:lang w:eastAsia="zh-CN"/>
                              </w:rPr>
                              <w:t>of</w:t>
                            </w:r>
                            <w:r>
                              <w:rPr>
                                <w:rFonts w:eastAsia="DengXian"/>
                                <w:lang w:eastAsia="ko-KR"/>
                              </w:rPr>
                              <w:t xml:space="preserve"> </w:t>
                            </w:r>
                            <w:r>
                              <w:rPr>
                                <w:rFonts w:eastAsia="DengXian" w:hint="eastAsia"/>
                                <w:lang w:eastAsia="zh-CN"/>
                              </w:rPr>
                              <w:t>th</w:t>
                            </w:r>
                            <w:r>
                              <w:rPr>
                                <w:rFonts w:eastAsia="DengXian"/>
                                <w:lang w:eastAsia="zh-CN"/>
                              </w:rPr>
                              <w:t>e</w:t>
                            </w:r>
                            <w:r>
                              <w:rPr>
                                <w:rFonts w:eastAsia="DengXian"/>
                                <w:lang w:eastAsia="ko-KR"/>
                              </w:rPr>
                              <w:t xml:space="preserve"> present document</w:t>
                            </w:r>
                            <w:r>
                              <w:rPr>
                                <w:rFonts w:eastAsia="DengXian" w:hint="eastAsia"/>
                                <w:lang w:val="en-US" w:eastAsia="zh-CN"/>
                              </w:rPr>
                              <w:t xml:space="preserve"> applies. </w:t>
                            </w:r>
                            <w:r>
                              <w:rPr>
                                <w:rFonts w:eastAsia="DengXian"/>
                                <w:lang w:val="en-US" w:eastAsia="zh-CN"/>
                              </w:rPr>
                              <w:t xml:space="preserve">For UE location determination utilizing the trained model, LCS privacy profile is sufficient, and Annex V of the present document is not required. </w:t>
                            </w:r>
                            <w:r>
                              <w:rPr>
                                <w:lang w:eastAsia="zh-CN"/>
                              </w:rPr>
                              <w:t>The LMF is deemed as enforcement point</w:t>
                            </w:r>
                            <w:r>
                              <w:t xml:space="preserve"> </w:t>
                            </w:r>
                            <w:r>
                              <w:rPr>
                                <w:lang w:eastAsia="zh-CN"/>
                              </w:rPr>
                              <w:t xml:space="preserve">as specified in clause 6.22.3 of TS 23.273 [86].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D010D49"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79EA40E6" w14:textId="77777777" w:rsidR="00BE54DE" w:rsidRDefault="00BE54DE" w:rsidP="00BE54DE">
                      <w:pPr>
                        <w:pStyle w:val="Heading2"/>
                        <w:rPr>
                          <w:rFonts w:eastAsia="DengXian"/>
                          <w:lang w:val="en-US" w:eastAsia="zh-CN"/>
                        </w:rPr>
                      </w:pPr>
                      <w:r>
                        <w:rPr>
                          <w:rFonts w:eastAsia="DengXian" w:hint="eastAsia"/>
                          <w:lang w:eastAsia="zh-CN"/>
                        </w:rPr>
                        <w:t>X</w:t>
                      </w:r>
                      <w:r>
                        <w:rPr>
                          <w:rFonts w:eastAsia="DengXian"/>
                          <w:lang w:eastAsia="zh-CN"/>
                        </w:rPr>
                        <w:t>.</w:t>
                      </w:r>
                      <w:r>
                        <w:rPr>
                          <w:rFonts w:eastAsia="DengXian"/>
                          <w:lang w:val="en-US" w:eastAsia="zh-CN"/>
                        </w:rPr>
                        <w:t>11</w:t>
                      </w:r>
                      <w:r>
                        <w:rPr>
                          <w:rFonts w:eastAsia="DengXian"/>
                          <w:lang w:eastAsia="zh-CN"/>
                        </w:rPr>
                        <w:t>.</w:t>
                      </w:r>
                      <w:r>
                        <w:rPr>
                          <w:rFonts w:eastAsia="DengXian"/>
                          <w:lang w:val="en-US" w:eastAsia="zh-CN"/>
                        </w:rPr>
                        <w:t>2</w:t>
                      </w:r>
                      <w:r>
                        <w:rPr>
                          <w:rFonts w:eastAsia="DengXian"/>
                          <w:lang w:val="en-US" w:eastAsia="zh-CN"/>
                        </w:rPr>
                        <w:tab/>
                        <w:t>Security for data collection for the LMF-based AI/ML positioning</w:t>
                      </w:r>
                    </w:p>
                    <w:p w14:paraId="2AC8AA0C" w14:textId="77777777" w:rsidR="00BE54DE" w:rsidRPr="00ED64DD" w:rsidRDefault="00BE54DE" w:rsidP="00ED64DD">
                      <w:pPr>
                        <w:rPr>
                          <w:lang w:eastAsia="zh-CN"/>
                        </w:rPr>
                      </w:pPr>
                      <w:r>
                        <w:rPr>
                          <w:rFonts w:hint="eastAsia"/>
                          <w:lang w:eastAsia="zh-CN"/>
                        </w:rPr>
                        <w:t>U</w:t>
                      </w:r>
                      <w:r>
                        <w:t xml:space="preserve">ser consent for model training as per 6.1.6.3.20 of 29.503 </w:t>
                      </w:r>
                      <w:r>
                        <w:rPr>
                          <w:lang w:eastAsia="zh-CN"/>
                        </w:rPr>
                        <w:t>[93]</w:t>
                      </w:r>
                      <w:r>
                        <w:t xml:space="preserve"> and performance monitoring for LMF-based AI/ML positioning as specified in clause 6.22 of TS 23.273 [86] is required </w:t>
                      </w:r>
                      <w:r>
                        <w:rPr>
                          <w:lang w:eastAsia="zh-CN"/>
                        </w:rPr>
                        <w:t>based on regional regulations or operator’s local policy</w:t>
                      </w:r>
                      <w:r>
                        <w:t>,</w:t>
                      </w:r>
                      <w:r>
                        <w:rPr>
                          <w:rFonts w:hint="eastAsia"/>
                          <w:lang w:val="en-US" w:eastAsia="zh-CN"/>
                        </w:rPr>
                        <w:t xml:space="preserve"> </w:t>
                      </w:r>
                      <w:r>
                        <w:rPr>
                          <w:lang w:val="en-US" w:eastAsia="zh-CN"/>
                        </w:rPr>
                        <w:t xml:space="preserve">for which </w:t>
                      </w:r>
                      <w:r>
                        <w:rPr>
                          <w:rFonts w:eastAsia="DengXian"/>
                          <w:lang w:eastAsia="ko-KR"/>
                        </w:rPr>
                        <w:t xml:space="preserve">Annex V </w:t>
                      </w:r>
                      <w:r>
                        <w:rPr>
                          <w:rFonts w:eastAsia="DengXian" w:hint="eastAsia"/>
                          <w:lang w:eastAsia="zh-CN"/>
                        </w:rPr>
                        <w:t>of</w:t>
                      </w:r>
                      <w:r>
                        <w:rPr>
                          <w:rFonts w:eastAsia="DengXian"/>
                          <w:lang w:eastAsia="ko-KR"/>
                        </w:rPr>
                        <w:t xml:space="preserve"> </w:t>
                      </w:r>
                      <w:r>
                        <w:rPr>
                          <w:rFonts w:eastAsia="DengXian" w:hint="eastAsia"/>
                          <w:lang w:eastAsia="zh-CN"/>
                        </w:rPr>
                        <w:t>th</w:t>
                      </w:r>
                      <w:r>
                        <w:rPr>
                          <w:rFonts w:eastAsia="DengXian"/>
                          <w:lang w:eastAsia="zh-CN"/>
                        </w:rPr>
                        <w:t>e</w:t>
                      </w:r>
                      <w:r>
                        <w:rPr>
                          <w:rFonts w:eastAsia="DengXian"/>
                          <w:lang w:eastAsia="ko-KR"/>
                        </w:rPr>
                        <w:t xml:space="preserve"> present document</w:t>
                      </w:r>
                      <w:r>
                        <w:rPr>
                          <w:rFonts w:eastAsia="DengXian" w:hint="eastAsia"/>
                          <w:lang w:val="en-US" w:eastAsia="zh-CN"/>
                        </w:rPr>
                        <w:t xml:space="preserve"> applies. </w:t>
                      </w:r>
                      <w:r>
                        <w:rPr>
                          <w:rFonts w:eastAsia="DengXian"/>
                          <w:lang w:val="en-US" w:eastAsia="zh-CN"/>
                        </w:rPr>
                        <w:t xml:space="preserve">For UE location determination utilizing the trained model, LCS privacy profile is sufficient, and Annex V of the present document is not required. </w:t>
                      </w:r>
                      <w:r>
                        <w:rPr>
                          <w:lang w:eastAsia="zh-CN"/>
                        </w:rPr>
                        <w:t>The LMF is deemed as enforcement point</w:t>
                      </w:r>
                      <w:r>
                        <w:t xml:space="preserve"> </w:t>
                      </w:r>
                      <w:r>
                        <w:rPr>
                          <w:lang w:eastAsia="zh-CN"/>
                        </w:rPr>
                        <w:t xml:space="preserve">as specified in clause 6.22.3 of TS 23.273 [86]. </w:t>
                      </w:r>
                    </w:p>
                  </w:txbxContent>
                </v:textbox>
                <w10:wrap type="square"/>
              </v:shape>
            </w:pict>
          </mc:Fallback>
        </mc:AlternateContent>
      </w:r>
    </w:p>
    <w:p w14:paraId="63147BEE" w14:textId="33858F69" w:rsidR="00BE54DE" w:rsidRDefault="00BE54DE" w:rsidP="006D7C26">
      <w:pPr>
        <w:rPr>
          <w:bCs/>
        </w:rPr>
      </w:pPr>
      <w:r>
        <w:rPr>
          <w:bCs/>
        </w:rPr>
        <w:t xml:space="preserve">Based on the above, the following ENs in </w:t>
      </w:r>
      <w:r w:rsidR="00D833F8">
        <w:rPr>
          <w:bCs/>
        </w:rPr>
        <w:t xml:space="preserve">clauses 5.18.0 and 6.23.2 of TS 23.273 </w:t>
      </w:r>
      <w:r>
        <w:rPr>
          <w:bCs/>
        </w:rPr>
        <w:t>can now be addressed</w:t>
      </w:r>
      <w:r w:rsidR="0096597E">
        <w:rPr>
          <w:bCs/>
        </w:rPr>
        <w:t xml:space="preserve">: </w:t>
      </w:r>
    </w:p>
    <w:p w14:paraId="74CD6571" w14:textId="77777777" w:rsidR="0068311D" w:rsidRDefault="0068311D" w:rsidP="0068311D">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06B994B8" w14:textId="77777777" w:rsidR="0068311D" w:rsidRDefault="0068311D" w:rsidP="0068311D">
      <w:pPr>
        <w:pStyle w:val="EditorsNote"/>
        <w:rPr>
          <w:lang w:eastAsia="zh-CN"/>
        </w:rPr>
      </w:pPr>
      <w:r>
        <w:rPr>
          <w:lang w:eastAsia="zh-CN"/>
        </w:rPr>
        <w:t>Editor's note:</w:t>
      </w:r>
      <w:r>
        <w:rPr>
          <w:lang w:eastAsia="zh-CN"/>
        </w:rPr>
        <w:tab/>
        <w:t>Further details on user consent for data collection for a specific purpose, e.g. for model training and/or model performance monitoring for LMF-based AI/ML Model positioning will be aligned with SA WG3.</w:t>
      </w:r>
    </w:p>
    <w:p w14:paraId="63A61054" w14:textId="6F0F645B" w:rsidR="0068311D" w:rsidRDefault="00D833F8" w:rsidP="006D7C26">
      <w:pPr>
        <w:rPr>
          <w:bCs/>
        </w:rPr>
      </w:pPr>
      <w:r>
        <w:rPr>
          <w:bCs/>
        </w:rPr>
        <w:t xml:space="preserve">The changes required in TS 23.273 to address the above ENs </w:t>
      </w:r>
      <w:r w:rsidR="00B22AE4">
        <w:rPr>
          <w:bCs/>
        </w:rPr>
        <w:t xml:space="preserve">(i.e. no user consent check for UE positioning calculation and LMF check of user consent for training and performance monitoring) </w:t>
      </w:r>
      <w:r>
        <w:rPr>
          <w:bCs/>
        </w:rPr>
        <w:t>should be straightforward and are not expected to create major controversies.</w:t>
      </w:r>
    </w:p>
    <w:p w14:paraId="31D56F70" w14:textId="56A9FB78" w:rsidR="00EB437F" w:rsidRPr="00EB437F" w:rsidRDefault="00EB437F" w:rsidP="006D7C26">
      <w:pPr>
        <w:rPr>
          <w:b/>
        </w:rPr>
      </w:pPr>
      <w:r w:rsidRPr="00DB0721">
        <w:rPr>
          <w:b/>
        </w:rPr>
        <w:t xml:space="preserve">Proposal 1: </w:t>
      </w:r>
      <w:r>
        <w:rPr>
          <w:b/>
        </w:rPr>
        <w:t xml:space="preserve">Resolve the outstanding ENs </w:t>
      </w:r>
      <w:r w:rsidR="00164422">
        <w:rPr>
          <w:b/>
        </w:rPr>
        <w:t>in</w:t>
      </w:r>
      <w:r>
        <w:rPr>
          <w:b/>
        </w:rPr>
        <w:t xml:space="preserve"> TS 23.273 </w:t>
      </w:r>
      <w:r w:rsidR="00164422">
        <w:rPr>
          <w:b/>
        </w:rPr>
        <w:t xml:space="preserve">by aligning the specification text </w:t>
      </w:r>
      <w:r>
        <w:rPr>
          <w:b/>
        </w:rPr>
        <w:t>with SA3 decision</w:t>
      </w:r>
      <w:r w:rsidR="00D833F8">
        <w:rPr>
          <w:b/>
        </w:rPr>
        <w:t>.</w:t>
      </w:r>
      <w:r>
        <w:rPr>
          <w:b/>
        </w:rPr>
        <w:t xml:space="preserve"> </w:t>
      </w:r>
    </w:p>
    <w:p w14:paraId="4FB3FCC9" w14:textId="7B4A5481" w:rsidR="006D7C26" w:rsidRPr="00462FB1" w:rsidRDefault="006D7C26" w:rsidP="006D7C26">
      <w:pPr>
        <w:pStyle w:val="Heading2"/>
      </w:pPr>
      <w:r>
        <w:lastRenderedPageBreak/>
        <w:t>1.3</w:t>
      </w:r>
      <w:r>
        <w:tab/>
      </w:r>
      <w:r w:rsidR="00312D94">
        <w:t>Further</w:t>
      </w:r>
      <w:r w:rsidR="002037EB">
        <w:t xml:space="preserve"> </w:t>
      </w:r>
      <w:r>
        <w:t xml:space="preserve">SA Guidance </w:t>
      </w:r>
      <w:r w:rsidRPr="00B0552A">
        <w:t xml:space="preserve">  </w:t>
      </w:r>
    </w:p>
    <w:p w14:paraId="33484553" w14:textId="05F4B245" w:rsidR="00D833F8" w:rsidRDefault="00D833F8" w:rsidP="006D7C26">
      <w:pPr>
        <w:rPr>
          <w:bCs/>
        </w:rPr>
      </w:pPr>
      <w:r>
        <w:rPr>
          <w:bCs/>
        </w:rPr>
        <w:t>The decision by SA3 however does not fully resolve the outstanding issues for SA2, as it is still not clear whether the UE LCS privacy profile needs to be checked for training and performance monitoring when ground truth data is collected from the UE. This issue was discussed by SA plenary at SA#108, and the following guidance was agreed as part of the meeting report:</w:t>
      </w:r>
    </w:p>
    <w:p w14:paraId="06C6FC4E" w14:textId="07F8DD48" w:rsidR="00BE54DE" w:rsidRPr="00BE54DE" w:rsidRDefault="00BE54DE" w:rsidP="00BE54DE">
      <w:pPr>
        <w:overflowPunct/>
        <w:autoSpaceDE/>
        <w:autoSpaceDN/>
        <w:adjustRightInd/>
        <w:spacing w:after="0"/>
        <w:textAlignment w:val="auto"/>
        <w:rPr>
          <w:rFonts w:eastAsia="Times New Roman"/>
          <w:color w:val="auto"/>
          <w:sz w:val="24"/>
          <w:szCs w:val="24"/>
          <w:lang w:eastAsia="en-GB"/>
        </w:rPr>
      </w:pPr>
      <w:r>
        <w:rPr>
          <w:noProof/>
        </w:rPr>
        <mc:AlternateContent>
          <mc:Choice Requires="wps">
            <w:drawing>
              <wp:anchor distT="0" distB="0" distL="114300" distR="114300" simplePos="0" relativeHeight="251661312" behindDoc="0" locked="0" layoutInCell="1" allowOverlap="1" wp14:anchorId="714DD2D8" wp14:editId="519E9171">
                <wp:simplePos x="0" y="0"/>
                <wp:positionH relativeFrom="column">
                  <wp:posOffset>0</wp:posOffset>
                </wp:positionH>
                <wp:positionV relativeFrom="paragraph">
                  <wp:posOffset>0</wp:posOffset>
                </wp:positionV>
                <wp:extent cx="1828800" cy="1828800"/>
                <wp:effectExtent l="0" t="0" r="0" b="0"/>
                <wp:wrapSquare wrapText="bothSides"/>
                <wp:docPr id="13766692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68AD8E" w14:textId="77777777" w:rsidR="00BE54DE" w:rsidRPr="00DF2DF1" w:rsidRDefault="00BE54DE" w:rsidP="00DF2DF1">
                            <w:pPr>
                              <w:spacing w:after="0"/>
                              <w:rPr>
                                <w:rFonts w:ascii="Arial" w:eastAsia="Times New Roman" w:hAnsi="Arial" w:cs="Arial"/>
                                <w:b/>
                                <w:bCs/>
                                <w:color w:val="FF0000"/>
                              </w:rPr>
                            </w:pPr>
                            <w:r w:rsidRPr="00BE54DE">
                              <w:rPr>
                                <w:rFonts w:ascii="Arial" w:eastAsia="Times New Roman" w:hAnsi="Arial" w:cs="Arial"/>
                                <w:b/>
                                <w:bCs/>
                                <w:color w:val="FF0000"/>
                                <w:lang w:eastAsia="en-GB"/>
                              </w:rPr>
                              <w:t>TSG SA concluded that SA WG2 should complete the Stage 2 work according to the SA WG3 requirements as found in </w:t>
                            </w:r>
                            <w:r w:rsidRPr="00BE54DE">
                              <w:rPr>
                                <w:rFonts w:ascii="Arial" w:eastAsia="Times New Roman" w:hAnsi="Arial" w:cs="Arial"/>
                                <w:b/>
                                <w:bCs/>
                                <w:color w:val="0000FF"/>
                                <w:lang w:eastAsia="en-GB"/>
                              </w:rPr>
                              <w:t>SP-250724</w:t>
                            </w:r>
                            <w:r w:rsidRPr="00BE54DE">
                              <w:rPr>
                                <w:rFonts w:ascii="Arial" w:eastAsia="Times New Roman" w:hAnsi="Arial" w:cs="Arial"/>
                                <w:b/>
                                <w:bCs/>
                                <w:color w:val="FF0000"/>
                                <w:lang w:eastAsia="en-GB"/>
                              </w:rPr>
                              <w:t> and as indicated in SA WG2 Chair report in </w:t>
                            </w:r>
                            <w:r w:rsidRPr="00BE54DE">
                              <w:rPr>
                                <w:rFonts w:ascii="Arial" w:eastAsia="Times New Roman" w:hAnsi="Arial" w:cs="Arial"/>
                                <w:b/>
                                <w:bCs/>
                                <w:color w:val="0000FF"/>
                                <w:lang w:eastAsia="en-GB"/>
                              </w:rPr>
                              <w:t>SP-250449</w:t>
                            </w:r>
                            <w:r w:rsidRPr="00BE54DE">
                              <w:rPr>
                                <w:rFonts w:ascii="Arial" w:eastAsia="Times New Roman" w:hAnsi="Arial" w:cs="Arial"/>
                                <w:b/>
                                <w:bCs/>
                                <w:color w:val="FF0000"/>
                                <w:lang w:eastAsia="en-GB"/>
                              </w:rPr>
                              <w:t>, </w:t>
                            </w:r>
                            <w:r w:rsidRPr="00BE54DE">
                              <w:rPr>
                                <w:rFonts w:ascii="Arial" w:eastAsia="Times New Roman" w:hAnsi="Arial" w:cs="Arial"/>
                                <w:b/>
                                <w:bCs/>
                                <w:color w:val="FF0000"/>
                                <w:u w:val="single"/>
                                <w:lang w:eastAsia="en-GB"/>
                              </w:rPr>
                              <w:t>"KI#1 to align with SA WG3 for user consent and decide on use of privacy profile"</w:t>
                            </w:r>
                            <w:r w:rsidRPr="00BE54DE">
                              <w:rPr>
                                <w:rFonts w:ascii="Arial" w:eastAsia="Times New Roman" w:hAnsi="Arial" w:cs="Arial"/>
                                <w:b/>
                                <w:bCs/>
                                <w:color w:val="FF0000"/>
                                <w:lang w:eastAsia="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4DD2D8"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3468AD8E" w14:textId="77777777" w:rsidR="00BE54DE" w:rsidRPr="00DF2DF1" w:rsidRDefault="00BE54DE" w:rsidP="00DF2DF1">
                      <w:pPr>
                        <w:spacing w:after="0"/>
                        <w:rPr>
                          <w:rFonts w:ascii="Arial" w:eastAsia="Times New Roman" w:hAnsi="Arial" w:cs="Arial"/>
                          <w:b/>
                          <w:bCs/>
                          <w:color w:val="FF0000"/>
                        </w:rPr>
                      </w:pPr>
                      <w:r w:rsidRPr="00BE54DE">
                        <w:rPr>
                          <w:rFonts w:ascii="Arial" w:eastAsia="Times New Roman" w:hAnsi="Arial" w:cs="Arial"/>
                          <w:b/>
                          <w:bCs/>
                          <w:color w:val="FF0000"/>
                          <w:lang w:eastAsia="en-GB"/>
                        </w:rPr>
                        <w:t>TSG SA concluded that SA WG2 should complete the Stage 2 work according to the SA WG3 requirements as found in </w:t>
                      </w:r>
                      <w:r w:rsidRPr="00BE54DE">
                        <w:rPr>
                          <w:rFonts w:ascii="Arial" w:eastAsia="Times New Roman" w:hAnsi="Arial" w:cs="Arial"/>
                          <w:b/>
                          <w:bCs/>
                          <w:color w:val="0000FF"/>
                          <w:lang w:eastAsia="en-GB"/>
                        </w:rPr>
                        <w:t>SP-250724</w:t>
                      </w:r>
                      <w:r w:rsidRPr="00BE54DE">
                        <w:rPr>
                          <w:rFonts w:ascii="Arial" w:eastAsia="Times New Roman" w:hAnsi="Arial" w:cs="Arial"/>
                          <w:b/>
                          <w:bCs/>
                          <w:color w:val="FF0000"/>
                          <w:lang w:eastAsia="en-GB"/>
                        </w:rPr>
                        <w:t> and as indicated in SA WG2 Chair report in </w:t>
                      </w:r>
                      <w:r w:rsidRPr="00BE54DE">
                        <w:rPr>
                          <w:rFonts w:ascii="Arial" w:eastAsia="Times New Roman" w:hAnsi="Arial" w:cs="Arial"/>
                          <w:b/>
                          <w:bCs/>
                          <w:color w:val="0000FF"/>
                          <w:lang w:eastAsia="en-GB"/>
                        </w:rPr>
                        <w:t>SP-250449</w:t>
                      </w:r>
                      <w:r w:rsidRPr="00BE54DE">
                        <w:rPr>
                          <w:rFonts w:ascii="Arial" w:eastAsia="Times New Roman" w:hAnsi="Arial" w:cs="Arial"/>
                          <w:b/>
                          <w:bCs/>
                          <w:color w:val="FF0000"/>
                          <w:lang w:eastAsia="en-GB"/>
                        </w:rPr>
                        <w:t>, </w:t>
                      </w:r>
                      <w:r w:rsidRPr="00BE54DE">
                        <w:rPr>
                          <w:rFonts w:ascii="Arial" w:eastAsia="Times New Roman" w:hAnsi="Arial" w:cs="Arial"/>
                          <w:b/>
                          <w:bCs/>
                          <w:color w:val="FF0000"/>
                          <w:u w:val="single"/>
                          <w:lang w:eastAsia="en-GB"/>
                        </w:rPr>
                        <w:t>"KI#1 to align with SA WG3 for user consent and decide on use of privacy profile"</w:t>
                      </w:r>
                      <w:r w:rsidRPr="00BE54DE">
                        <w:rPr>
                          <w:rFonts w:ascii="Arial" w:eastAsia="Times New Roman" w:hAnsi="Arial" w:cs="Arial"/>
                          <w:b/>
                          <w:bCs/>
                          <w:color w:val="FF0000"/>
                          <w:lang w:eastAsia="en-GB"/>
                        </w:rPr>
                        <w:t>.</w:t>
                      </w:r>
                    </w:p>
                  </w:txbxContent>
                </v:textbox>
                <w10:wrap type="square"/>
              </v:shape>
            </w:pict>
          </mc:Fallback>
        </mc:AlternateContent>
      </w:r>
    </w:p>
    <w:p w14:paraId="1217AA6E" w14:textId="285AD137" w:rsidR="003A7730" w:rsidRDefault="003A7730" w:rsidP="003A7730">
      <w:pPr>
        <w:rPr>
          <w:bCs/>
        </w:rPr>
      </w:pPr>
      <w:r>
        <w:rPr>
          <w:bCs/>
        </w:rPr>
        <w:t xml:space="preserve">The rationale for the above guidance was that privacy profile is considered in SA2 remit, hence SA3 did not decide on that aspect. SA2 should </w:t>
      </w:r>
      <w:r w:rsidR="003C6A7C">
        <w:rPr>
          <w:bCs/>
        </w:rPr>
        <w:t xml:space="preserve">therefor </w:t>
      </w:r>
      <w:r>
        <w:rPr>
          <w:bCs/>
        </w:rPr>
        <w:t xml:space="preserve">still decide on the use of privacy profile for training and performance monitoring in AIML positioning. </w:t>
      </w:r>
    </w:p>
    <w:p w14:paraId="6B2CBDE8" w14:textId="63C96720" w:rsidR="00EB437F" w:rsidRPr="00DD778E" w:rsidRDefault="00EB437F" w:rsidP="006D7C26">
      <w:pPr>
        <w:rPr>
          <w:b/>
        </w:rPr>
      </w:pPr>
      <w:r w:rsidRPr="00DB0721">
        <w:rPr>
          <w:b/>
        </w:rPr>
        <w:t xml:space="preserve">Proposal </w:t>
      </w:r>
      <w:r>
        <w:rPr>
          <w:b/>
        </w:rPr>
        <w:t>2</w:t>
      </w:r>
      <w:r w:rsidRPr="00DB0721">
        <w:rPr>
          <w:b/>
        </w:rPr>
        <w:t xml:space="preserve">: </w:t>
      </w:r>
      <w:r>
        <w:rPr>
          <w:b/>
        </w:rPr>
        <w:t xml:space="preserve">Make a final decision at SA2#170 on the check of the UE LCS privacy profile by LMF for training and performance monitoring in AI/ML-based positioning. </w:t>
      </w:r>
    </w:p>
    <w:p w14:paraId="7F8F89A8" w14:textId="3C702761" w:rsidR="002A09CF" w:rsidRPr="00B0552A" w:rsidRDefault="002A09CF" w:rsidP="002A09CF">
      <w:pPr>
        <w:pStyle w:val="Heading2"/>
      </w:pPr>
      <w:r>
        <w:t>1.</w:t>
      </w:r>
      <w:r w:rsidR="006D7C26">
        <w:t>4</w:t>
      </w:r>
      <w:r>
        <w:tab/>
      </w:r>
      <w:r w:rsidR="006D7C26">
        <w:t>Open Aspects o</w:t>
      </w:r>
      <w:r w:rsidR="003A7730">
        <w:t>f</w:t>
      </w:r>
      <w:r w:rsidR="006D7C26">
        <w:t xml:space="preserve"> </w:t>
      </w:r>
      <w:r w:rsidR="00462FB1" w:rsidRPr="00462FB1">
        <w:t>UE LCS Privacy Profile Check</w:t>
      </w:r>
      <w:r>
        <w:t xml:space="preserve"> </w:t>
      </w:r>
      <w:r w:rsidRPr="00B0552A">
        <w:t xml:space="preserve">  </w:t>
      </w:r>
    </w:p>
    <w:p w14:paraId="257949C8" w14:textId="1E30F0F9" w:rsidR="00686191" w:rsidRDefault="003A7730" w:rsidP="005A0320">
      <w:pPr>
        <w:rPr>
          <w:bCs/>
          <w:color w:val="000000" w:themeColor="text1"/>
        </w:rPr>
      </w:pPr>
      <w:r w:rsidRPr="003C6A7C">
        <w:rPr>
          <w:bCs/>
          <w:color w:val="000000" w:themeColor="text1"/>
        </w:rPr>
        <w:t xml:space="preserve">When user consent is provided, the user </w:t>
      </w:r>
      <w:r w:rsidR="003C6A7C" w:rsidRPr="003C6A7C">
        <w:rPr>
          <w:bCs/>
          <w:color w:val="000000" w:themeColor="text1"/>
        </w:rPr>
        <w:t>is</w:t>
      </w:r>
      <w:r w:rsidRPr="003C6A7C">
        <w:rPr>
          <w:bCs/>
          <w:color w:val="000000" w:themeColor="text1"/>
        </w:rPr>
        <w:t xml:space="preserve"> only aware of the purpose for which data is collected (i.e. model training in this case). However, the </w:t>
      </w:r>
      <w:r w:rsidR="003C6A7C" w:rsidRPr="003C6A7C">
        <w:rPr>
          <w:bCs/>
          <w:color w:val="000000" w:themeColor="text1"/>
        </w:rPr>
        <w:t xml:space="preserve">actual </w:t>
      </w:r>
      <w:r w:rsidRPr="003C6A7C">
        <w:rPr>
          <w:bCs/>
          <w:color w:val="000000" w:themeColor="text1"/>
        </w:rPr>
        <w:t xml:space="preserve">UE location is </w:t>
      </w:r>
      <w:r w:rsidR="00686191">
        <w:rPr>
          <w:bCs/>
          <w:color w:val="000000" w:themeColor="text1"/>
        </w:rPr>
        <w:t xml:space="preserve">also </w:t>
      </w:r>
      <w:r w:rsidRPr="003C6A7C">
        <w:rPr>
          <w:bCs/>
          <w:color w:val="000000" w:themeColor="text1"/>
        </w:rPr>
        <w:t xml:space="preserve">collected for training and performance monitoring </w:t>
      </w:r>
      <w:r w:rsidR="001F6CFE">
        <w:rPr>
          <w:bCs/>
          <w:color w:val="000000" w:themeColor="text1"/>
        </w:rPr>
        <w:t>in</w:t>
      </w:r>
      <w:r w:rsidRPr="003C6A7C">
        <w:rPr>
          <w:bCs/>
          <w:color w:val="000000" w:themeColor="text1"/>
        </w:rPr>
        <w:t xml:space="preserve"> AI/ML positioning in the form of ground truth data,</w:t>
      </w:r>
      <w:r w:rsidR="003C6A7C" w:rsidRPr="003C6A7C">
        <w:rPr>
          <w:bCs/>
          <w:color w:val="000000" w:themeColor="text1"/>
        </w:rPr>
        <w:t xml:space="preserve"> see clause 6.22.3 in TS 23.273.</w:t>
      </w:r>
      <w:r w:rsidRPr="003C6A7C">
        <w:rPr>
          <w:bCs/>
          <w:color w:val="000000" w:themeColor="text1"/>
        </w:rPr>
        <w:t xml:space="preserve"> </w:t>
      </w:r>
      <w:r w:rsidR="00686191">
        <w:rPr>
          <w:bCs/>
          <w:color w:val="000000" w:themeColor="text1"/>
        </w:rPr>
        <w:t xml:space="preserve">But with user consent </w:t>
      </w:r>
      <w:r w:rsidR="001F6CFE">
        <w:rPr>
          <w:bCs/>
          <w:color w:val="000000" w:themeColor="text1"/>
        </w:rPr>
        <w:t xml:space="preserve">check </w:t>
      </w:r>
      <w:r w:rsidR="00686191">
        <w:rPr>
          <w:bCs/>
          <w:color w:val="000000" w:themeColor="text1"/>
        </w:rPr>
        <w:t xml:space="preserve">only, the UE/user would neither be aware </w:t>
      </w:r>
      <w:r w:rsidR="00D15806">
        <w:rPr>
          <w:bCs/>
          <w:color w:val="000000" w:themeColor="text1"/>
        </w:rPr>
        <w:t xml:space="preserve">of </w:t>
      </w:r>
      <w:r w:rsidR="00686191">
        <w:rPr>
          <w:bCs/>
          <w:color w:val="000000" w:themeColor="text1"/>
        </w:rPr>
        <w:t xml:space="preserve">nor give permission </w:t>
      </w:r>
      <w:r w:rsidR="001F6CFE">
        <w:rPr>
          <w:bCs/>
          <w:color w:val="000000" w:themeColor="text1"/>
        </w:rPr>
        <w:t>for</w:t>
      </w:r>
      <w:r w:rsidR="00686191">
        <w:rPr>
          <w:bCs/>
          <w:color w:val="000000" w:themeColor="text1"/>
        </w:rPr>
        <w:t xml:space="preserve"> this</w:t>
      </w:r>
      <w:r w:rsidR="001F6CFE">
        <w:rPr>
          <w:bCs/>
          <w:color w:val="000000" w:themeColor="text1"/>
        </w:rPr>
        <w:t xml:space="preserve"> </w:t>
      </w:r>
      <w:r w:rsidR="00686191">
        <w:rPr>
          <w:bCs/>
          <w:color w:val="000000" w:themeColor="text1"/>
        </w:rPr>
        <w:t>privacy-sensitive information</w:t>
      </w:r>
      <w:r w:rsidR="001F6CFE">
        <w:rPr>
          <w:bCs/>
          <w:color w:val="000000" w:themeColor="text1"/>
        </w:rPr>
        <w:t xml:space="preserve"> </w:t>
      </w:r>
      <w:r w:rsidR="00D15806">
        <w:rPr>
          <w:bCs/>
          <w:color w:val="000000" w:themeColor="text1"/>
        </w:rPr>
        <w:t>being</w:t>
      </w:r>
      <w:r w:rsidR="001F6CFE">
        <w:rPr>
          <w:bCs/>
          <w:color w:val="000000" w:themeColor="text1"/>
        </w:rPr>
        <w:t xml:space="preserve"> collected</w:t>
      </w:r>
      <w:r w:rsidR="00686191">
        <w:rPr>
          <w:bCs/>
          <w:color w:val="000000" w:themeColor="text1"/>
        </w:rPr>
        <w:t xml:space="preserve">. </w:t>
      </w:r>
      <w:r w:rsidR="001F6CFE">
        <w:rPr>
          <w:bCs/>
          <w:color w:val="000000" w:themeColor="text1"/>
        </w:rPr>
        <w:t>To prevent this, the UE LCS privacy profile should also be checked to allow the collection of ground truth data from the UE. In addition, LMF may need to share the UE location with NWDAF when the latter performs training and performance monitoring. For this case, a check of the privacy profile is also required</w:t>
      </w:r>
      <w:r w:rsidR="00D15806">
        <w:rPr>
          <w:bCs/>
          <w:color w:val="000000" w:themeColor="text1"/>
        </w:rPr>
        <w:t xml:space="preserve"> based on existing procedures (see e.g. clause 6.3.1 in TS 23.273)</w:t>
      </w:r>
      <w:r w:rsidR="001F6CFE">
        <w:rPr>
          <w:bCs/>
          <w:color w:val="000000" w:themeColor="text1"/>
        </w:rPr>
        <w:t>.</w:t>
      </w:r>
    </w:p>
    <w:p w14:paraId="097D98CE" w14:textId="29A76267" w:rsidR="002A09CF" w:rsidRDefault="00CB440D" w:rsidP="00FA5527">
      <w:pPr>
        <w:rPr>
          <w:b/>
        </w:rPr>
      </w:pPr>
      <w:r w:rsidRPr="00DB0721">
        <w:rPr>
          <w:b/>
        </w:rPr>
        <w:t xml:space="preserve">Proposal </w:t>
      </w:r>
      <w:r w:rsidR="00EB437F">
        <w:rPr>
          <w:b/>
        </w:rPr>
        <w:t>3</w:t>
      </w:r>
      <w:r w:rsidR="00FA5527" w:rsidRPr="00DB0721">
        <w:rPr>
          <w:b/>
        </w:rPr>
        <w:t xml:space="preserve">: </w:t>
      </w:r>
      <w:r w:rsidR="00FA3A0F">
        <w:rPr>
          <w:b/>
        </w:rPr>
        <w:t>The</w:t>
      </w:r>
      <w:r w:rsidR="00FA5527" w:rsidRPr="00DB0721">
        <w:rPr>
          <w:b/>
        </w:rPr>
        <w:t xml:space="preserve"> UE LCS privacy profile </w:t>
      </w:r>
      <w:r w:rsidR="00FA3A0F">
        <w:rPr>
          <w:b/>
        </w:rPr>
        <w:t xml:space="preserve">is checked </w:t>
      </w:r>
      <w:r w:rsidR="00FA5527" w:rsidRPr="00DB0721">
        <w:rPr>
          <w:b/>
        </w:rPr>
        <w:t xml:space="preserve">when ground truth data is collected </w:t>
      </w:r>
      <w:r w:rsidR="00DD778E">
        <w:rPr>
          <w:b/>
        </w:rPr>
        <w:t xml:space="preserve">from the UE </w:t>
      </w:r>
      <w:r w:rsidRPr="00DB0721">
        <w:rPr>
          <w:b/>
        </w:rPr>
        <w:t xml:space="preserve">for </w:t>
      </w:r>
      <w:r w:rsidR="00FA5527" w:rsidRPr="00DB0721">
        <w:rPr>
          <w:b/>
        </w:rPr>
        <w:t>training and/or performance monitoring</w:t>
      </w:r>
      <w:r w:rsidR="00DD778E">
        <w:rPr>
          <w:b/>
        </w:rPr>
        <w:t xml:space="preserve"> in AI/ML positioning</w:t>
      </w:r>
      <w:r w:rsidR="00DB0721" w:rsidRPr="00DB0721">
        <w:rPr>
          <w:b/>
        </w:rPr>
        <w:t>.</w:t>
      </w:r>
      <w:r w:rsidR="00F3684D">
        <w:rPr>
          <w:b/>
        </w:rPr>
        <w:t xml:space="preserve"> Other specification details can be discussed during SA2#170 based on </w:t>
      </w:r>
      <w:r w:rsidR="003C6A7C">
        <w:rPr>
          <w:b/>
        </w:rPr>
        <w:t>compan</w:t>
      </w:r>
      <w:r w:rsidR="00652EFA">
        <w:rPr>
          <w:b/>
        </w:rPr>
        <w:t>ies’</w:t>
      </w:r>
      <w:r w:rsidR="003C6A7C">
        <w:rPr>
          <w:b/>
        </w:rPr>
        <w:t xml:space="preserve"> </w:t>
      </w:r>
      <w:r w:rsidR="00F3684D">
        <w:rPr>
          <w:b/>
        </w:rPr>
        <w:t>contributions.</w:t>
      </w:r>
      <w:r w:rsidR="00DB0721" w:rsidRPr="00DB0721">
        <w:rPr>
          <w:b/>
        </w:rPr>
        <w:t xml:space="preserve"> </w:t>
      </w:r>
    </w:p>
    <w:p w14:paraId="3E92F8EF" w14:textId="03615A74" w:rsidR="007A353B" w:rsidRDefault="007A353B" w:rsidP="00F628A2">
      <w:pPr>
        <w:pStyle w:val="Heading1"/>
      </w:pPr>
      <w:r>
        <w:t xml:space="preserve">2. </w:t>
      </w:r>
      <w:r w:rsidR="00CE16C5">
        <w:t>Proposals</w:t>
      </w:r>
      <w:r>
        <w:t xml:space="preserve"> </w:t>
      </w:r>
    </w:p>
    <w:p w14:paraId="51D5DDB6" w14:textId="7968977D" w:rsidR="00DD778E" w:rsidRPr="00EB437F" w:rsidRDefault="00DD778E" w:rsidP="00DD778E">
      <w:pPr>
        <w:rPr>
          <w:b/>
        </w:rPr>
      </w:pPr>
      <w:r w:rsidRPr="00DB0721">
        <w:rPr>
          <w:b/>
        </w:rPr>
        <w:t xml:space="preserve">Proposal 1: </w:t>
      </w:r>
      <w:r w:rsidR="00BE132D">
        <w:rPr>
          <w:b/>
        </w:rPr>
        <w:t xml:space="preserve">Resolve the outstanding ENs in TS 23.273 by aligning the specification text with SA3 decision. </w:t>
      </w:r>
      <w:r>
        <w:rPr>
          <w:b/>
        </w:rPr>
        <w:t xml:space="preserve"> </w:t>
      </w:r>
    </w:p>
    <w:p w14:paraId="5E69A549" w14:textId="77777777" w:rsidR="00DD778E" w:rsidRPr="00DD778E" w:rsidRDefault="00DD778E" w:rsidP="00DD778E">
      <w:pPr>
        <w:rPr>
          <w:b/>
        </w:rPr>
      </w:pPr>
      <w:r w:rsidRPr="00DB0721">
        <w:rPr>
          <w:b/>
        </w:rPr>
        <w:t xml:space="preserve">Proposal </w:t>
      </w:r>
      <w:r>
        <w:rPr>
          <w:b/>
        </w:rPr>
        <w:t>2</w:t>
      </w:r>
      <w:r w:rsidRPr="00DB0721">
        <w:rPr>
          <w:b/>
        </w:rPr>
        <w:t xml:space="preserve">: </w:t>
      </w:r>
      <w:r>
        <w:rPr>
          <w:b/>
        </w:rPr>
        <w:t xml:space="preserve">Make a final decision at SA2#170 on the check of the UE LCS privacy profile by LMF for training and performance monitoring in AI/ML-based positioning. </w:t>
      </w:r>
    </w:p>
    <w:p w14:paraId="5B5EF15F" w14:textId="000E2454" w:rsidR="00FA3A0F" w:rsidRDefault="00FA3A0F" w:rsidP="00FA3A0F">
      <w:pPr>
        <w:rPr>
          <w:b/>
        </w:rPr>
      </w:pPr>
      <w:r w:rsidRPr="00DB0721">
        <w:rPr>
          <w:b/>
        </w:rPr>
        <w:t xml:space="preserve">Proposal </w:t>
      </w:r>
      <w:r>
        <w:rPr>
          <w:b/>
        </w:rPr>
        <w:t>3</w:t>
      </w:r>
      <w:r w:rsidRPr="00DB0721">
        <w:rPr>
          <w:b/>
        </w:rPr>
        <w:t xml:space="preserve">: </w:t>
      </w:r>
      <w:r>
        <w:rPr>
          <w:b/>
        </w:rPr>
        <w:t>The</w:t>
      </w:r>
      <w:r w:rsidRPr="00DB0721">
        <w:rPr>
          <w:b/>
        </w:rPr>
        <w:t xml:space="preserve"> UE LCS privacy profile </w:t>
      </w:r>
      <w:r>
        <w:rPr>
          <w:b/>
        </w:rPr>
        <w:t xml:space="preserve">is checked </w:t>
      </w:r>
      <w:r w:rsidRPr="00DB0721">
        <w:rPr>
          <w:b/>
        </w:rPr>
        <w:t xml:space="preserve">when ground truth data is collected </w:t>
      </w:r>
      <w:r>
        <w:rPr>
          <w:b/>
        </w:rPr>
        <w:t xml:space="preserve">from the UE </w:t>
      </w:r>
      <w:r w:rsidRPr="00DB0721">
        <w:rPr>
          <w:b/>
        </w:rPr>
        <w:t>for training and/or performance monitoring</w:t>
      </w:r>
      <w:r>
        <w:rPr>
          <w:b/>
        </w:rPr>
        <w:t xml:space="preserve"> in AI/ML positioning</w:t>
      </w:r>
      <w:r w:rsidRPr="00DB0721">
        <w:rPr>
          <w:b/>
        </w:rPr>
        <w:t>.</w:t>
      </w:r>
      <w:r>
        <w:rPr>
          <w:b/>
        </w:rPr>
        <w:t xml:space="preserve"> Other specification details can be discussed during SA2#170 based on </w:t>
      </w:r>
      <w:r w:rsidR="00652EFA">
        <w:rPr>
          <w:b/>
        </w:rPr>
        <w:t xml:space="preserve">companies’ </w:t>
      </w:r>
      <w:r>
        <w:rPr>
          <w:b/>
        </w:rPr>
        <w:t>contributions.</w:t>
      </w:r>
      <w:r w:rsidRPr="00DB0721">
        <w:rPr>
          <w:b/>
        </w:rPr>
        <w:t xml:space="preserve"> </w:t>
      </w:r>
    </w:p>
    <w:p w14:paraId="229F951B" w14:textId="77777777" w:rsidR="006B4769" w:rsidRPr="005665CA" w:rsidRDefault="006B4769" w:rsidP="006B4769">
      <w:pPr>
        <w:rPr>
          <w:b/>
        </w:rPr>
      </w:pPr>
    </w:p>
    <w:p w14:paraId="2A008BFF" w14:textId="77777777" w:rsidR="005665CA" w:rsidRDefault="005665CA" w:rsidP="005665CA">
      <w:pPr>
        <w:rPr>
          <w:b/>
        </w:rPr>
      </w:pPr>
    </w:p>
    <w:p w14:paraId="467E5C16" w14:textId="0A13F972" w:rsidR="006E5727" w:rsidRPr="00DF3C60" w:rsidRDefault="006E5727" w:rsidP="00F628A2"/>
    <w:sectPr w:rsidR="006E572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E8CBA" w14:textId="77777777" w:rsidR="002D7352" w:rsidRDefault="002D7352">
      <w:r>
        <w:separator/>
      </w:r>
    </w:p>
    <w:p w14:paraId="30396CF3" w14:textId="77777777" w:rsidR="002D7352" w:rsidRDefault="002D7352"/>
  </w:endnote>
  <w:endnote w:type="continuationSeparator" w:id="0">
    <w:p w14:paraId="2029045C" w14:textId="77777777" w:rsidR="002D7352" w:rsidRDefault="002D7352">
      <w:r>
        <w:continuationSeparator/>
      </w:r>
    </w:p>
    <w:p w14:paraId="60990128" w14:textId="77777777" w:rsidR="002D7352" w:rsidRDefault="002D7352"/>
  </w:endnote>
  <w:endnote w:type="continuationNotice" w:id="1">
    <w:p w14:paraId="4B0D41BC" w14:textId="77777777" w:rsidR="002D7352" w:rsidRDefault="002D7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7178D" w14:textId="77777777" w:rsidR="002D7352" w:rsidRDefault="002D7352">
      <w:r>
        <w:separator/>
      </w:r>
    </w:p>
    <w:p w14:paraId="3BCF61C0" w14:textId="77777777" w:rsidR="002D7352" w:rsidRDefault="002D7352"/>
  </w:footnote>
  <w:footnote w:type="continuationSeparator" w:id="0">
    <w:p w14:paraId="17017662" w14:textId="77777777" w:rsidR="002D7352" w:rsidRDefault="002D7352">
      <w:r>
        <w:continuationSeparator/>
      </w:r>
    </w:p>
    <w:p w14:paraId="2E27498C" w14:textId="77777777" w:rsidR="002D7352" w:rsidRDefault="002D7352"/>
  </w:footnote>
  <w:footnote w:type="continuationNotice" w:id="1">
    <w:p w14:paraId="2CB32739" w14:textId="77777777" w:rsidR="002D7352" w:rsidRDefault="002D7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75pt;height:15.75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CC979E8"/>
    <w:multiLevelType w:val="multilevel"/>
    <w:tmpl w:val="3E1C3CA8"/>
    <w:lvl w:ilvl="0">
      <w:start w:val="1"/>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5F60F47"/>
    <w:multiLevelType w:val="hybridMultilevel"/>
    <w:tmpl w:val="9E6E6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7"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3"/>
  </w:num>
  <w:num w:numId="2" w16cid:durableId="546264430">
    <w:abstractNumId w:val="24"/>
  </w:num>
  <w:num w:numId="3" w16cid:durableId="976226586">
    <w:abstractNumId w:val="13"/>
  </w:num>
  <w:num w:numId="4" w16cid:durableId="816263066">
    <w:abstractNumId w:val="21"/>
  </w:num>
  <w:num w:numId="5" w16cid:durableId="1930458234">
    <w:abstractNumId w:val="31"/>
  </w:num>
  <w:num w:numId="6" w16cid:durableId="212472176">
    <w:abstractNumId w:val="41"/>
  </w:num>
  <w:num w:numId="7" w16cid:durableId="60948834">
    <w:abstractNumId w:val="26"/>
  </w:num>
  <w:num w:numId="8" w16cid:durableId="833450075">
    <w:abstractNumId w:val="30"/>
  </w:num>
  <w:num w:numId="9" w16cid:durableId="138305074">
    <w:abstractNumId w:val="35"/>
  </w:num>
  <w:num w:numId="10" w16cid:durableId="1376542618">
    <w:abstractNumId w:val="42"/>
  </w:num>
  <w:num w:numId="11" w16cid:durableId="1798327382">
    <w:abstractNumId w:val="27"/>
  </w:num>
  <w:num w:numId="12" w16cid:durableId="1221402666">
    <w:abstractNumId w:val="10"/>
  </w:num>
  <w:num w:numId="13" w16cid:durableId="1139225555">
    <w:abstractNumId w:val="18"/>
  </w:num>
  <w:num w:numId="14" w16cid:durableId="925386879">
    <w:abstractNumId w:val="28"/>
  </w:num>
  <w:num w:numId="15" w16cid:durableId="2003192033">
    <w:abstractNumId w:val="40"/>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7"/>
  </w:num>
  <w:num w:numId="27" w16cid:durableId="1201014842">
    <w:abstractNumId w:val="38"/>
  </w:num>
  <w:num w:numId="28" w16cid:durableId="20907469">
    <w:abstractNumId w:val="39"/>
  </w:num>
  <w:num w:numId="29" w16cid:durableId="834958855">
    <w:abstractNumId w:val="15"/>
  </w:num>
  <w:num w:numId="30" w16cid:durableId="2118600509">
    <w:abstractNumId w:val="25"/>
  </w:num>
  <w:num w:numId="31" w16cid:durableId="885145315">
    <w:abstractNumId w:val="14"/>
  </w:num>
  <w:num w:numId="32" w16cid:durableId="328557071">
    <w:abstractNumId w:val="23"/>
  </w:num>
  <w:num w:numId="33" w16cid:durableId="525564251">
    <w:abstractNumId w:val="12"/>
  </w:num>
  <w:num w:numId="34" w16cid:durableId="1224827392">
    <w:abstractNumId w:val="29"/>
  </w:num>
  <w:num w:numId="35" w16cid:durableId="1467815605">
    <w:abstractNumId w:val="11"/>
  </w:num>
  <w:num w:numId="36" w16cid:durableId="628360908">
    <w:abstractNumId w:val="16"/>
  </w:num>
  <w:num w:numId="37" w16cid:durableId="138422062">
    <w:abstractNumId w:val="43"/>
  </w:num>
  <w:num w:numId="38" w16cid:durableId="226840274">
    <w:abstractNumId w:val="34"/>
  </w:num>
  <w:num w:numId="39" w16cid:durableId="372073332">
    <w:abstractNumId w:val="19"/>
  </w:num>
  <w:num w:numId="40" w16cid:durableId="1518035842">
    <w:abstractNumId w:val="36"/>
  </w:num>
  <w:num w:numId="41" w16cid:durableId="334654010">
    <w:abstractNumId w:val="32"/>
  </w:num>
  <w:num w:numId="42" w16cid:durableId="368605603">
    <w:abstractNumId w:val="20"/>
  </w:num>
  <w:num w:numId="43" w16cid:durableId="889389863">
    <w:abstractNumId w:val="22"/>
  </w:num>
  <w:num w:numId="44" w16cid:durableId="900797951">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57A4"/>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AC"/>
    <w:rsid w:val="00040CC2"/>
    <w:rsid w:val="00040CF3"/>
    <w:rsid w:val="000410CE"/>
    <w:rsid w:val="000419B8"/>
    <w:rsid w:val="00041E56"/>
    <w:rsid w:val="00041F7E"/>
    <w:rsid w:val="00041FA7"/>
    <w:rsid w:val="000420BA"/>
    <w:rsid w:val="00043303"/>
    <w:rsid w:val="00043C43"/>
    <w:rsid w:val="00044075"/>
    <w:rsid w:val="00045722"/>
    <w:rsid w:val="00045A8D"/>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3D9"/>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3DC3"/>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27F"/>
    <w:rsid w:val="00164342"/>
    <w:rsid w:val="0016442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569D"/>
    <w:rsid w:val="001765B4"/>
    <w:rsid w:val="00176CD0"/>
    <w:rsid w:val="00176FE9"/>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B22"/>
    <w:rsid w:val="001E79BE"/>
    <w:rsid w:val="001F0BF7"/>
    <w:rsid w:val="001F0F75"/>
    <w:rsid w:val="001F1523"/>
    <w:rsid w:val="001F1A0F"/>
    <w:rsid w:val="001F2899"/>
    <w:rsid w:val="001F2C8E"/>
    <w:rsid w:val="001F320F"/>
    <w:rsid w:val="001F381B"/>
    <w:rsid w:val="001F3D3F"/>
    <w:rsid w:val="001F4582"/>
    <w:rsid w:val="001F478B"/>
    <w:rsid w:val="001F48F0"/>
    <w:rsid w:val="001F4D77"/>
    <w:rsid w:val="001F5984"/>
    <w:rsid w:val="001F5C0F"/>
    <w:rsid w:val="001F6AA4"/>
    <w:rsid w:val="001F6CFE"/>
    <w:rsid w:val="001F72C9"/>
    <w:rsid w:val="00200C7B"/>
    <w:rsid w:val="00201759"/>
    <w:rsid w:val="00201D9C"/>
    <w:rsid w:val="0020208B"/>
    <w:rsid w:val="002021FC"/>
    <w:rsid w:val="002036BB"/>
    <w:rsid w:val="002037EB"/>
    <w:rsid w:val="002043CF"/>
    <w:rsid w:val="00205F81"/>
    <w:rsid w:val="00206169"/>
    <w:rsid w:val="002063C9"/>
    <w:rsid w:val="002078AA"/>
    <w:rsid w:val="00207F20"/>
    <w:rsid w:val="002102F5"/>
    <w:rsid w:val="002104A0"/>
    <w:rsid w:val="002106F3"/>
    <w:rsid w:val="002113F8"/>
    <w:rsid w:val="002122C3"/>
    <w:rsid w:val="00212A86"/>
    <w:rsid w:val="00212AEF"/>
    <w:rsid w:val="00212EBD"/>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114"/>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09CF"/>
    <w:rsid w:val="002A3C41"/>
    <w:rsid w:val="002A459E"/>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BEC"/>
    <w:rsid w:val="002D1E5B"/>
    <w:rsid w:val="002D24EF"/>
    <w:rsid w:val="002D25E3"/>
    <w:rsid w:val="002D2616"/>
    <w:rsid w:val="002D2752"/>
    <w:rsid w:val="002D31C0"/>
    <w:rsid w:val="002D39EE"/>
    <w:rsid w:val="002D4952"/>
    <w:rsid w:val="002D5039"/>
    <w:rsid w:val="002D5325"/>
    <w:rsid w:val="002D533A"/>
    <w:rsid w:val="002D5CFB"/>
    <w:rsid w:val="002D5E9C"/>
    <w:rsid w:val="002D7352"/>
    <w:rsid w:val="002D7773"/>
    <w:rsid w:val="002D7DAF"/>
    <w:rsid w:val="002E0BAC"/>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2D94"/>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54D"/>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4579"/>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A7730"/>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08C9"/>
    <w:rsid w:val="003C3722"/>
    <w:rsid w:val="003C4D26"/>
    <w:rsid w:val="003C599D"/>
    <w:rsid w:val="003C6A7C"/>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AFC"/>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989"/>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603EE"/>
    <w:rsid w:val="004611C8"/>
    <w:rsid w:val="0046155A"/>
    <w:rsid w:val="00461C88"/>
    <w:rsid w:val="004621A7"/>
    <w:rsid w:val="0046254E"/>
    <w:rsid w:val="00462B3D"/>
    <w:rsid w:val="00462FB1"/>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80D"/>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CF5"/>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7BE"/>
    <w:rsid w:val="005108F7"/>
    <w:rsid w:val="00512FC2"/>
    <w:rsid w:val="00513A12"/>
    <w:rsid w:val="005144A6"/>
    <w:rsid w:val="005145DB"/>
    <w:rsid w:val="00514958"/>
    <w:rsid w:val="00514BDB"/>
    <w:rsid w:val="00514D5C"/>
    <w:rsid w:val="00514F00"/>
    <w:rsid w:val="005150F3"/>
    <w:rsid w:val="0051513C"/>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AB4"/>
    <w:rsid w:val="00555F6C"/>
    <w:rsid w:val="00556068"/>
    <w:rsid w:val="005568FB"/>
    <w:rsid w:val="0055782B"/>
    <w:rsid w:val="00561209"/>
    <w:rsid w:val="005612D1"/>
    <w:rsid w:val="00562067"/>
    <w:rsid w:val="0056459E"/>
    <w:rsid w:val="00564B0D"/>
    <w:rsid w:val="00564DC3"/>
    <w:rsid w:val="005657E5"/>
    <w:rsid w:val="00565D6F"/>
    <w:rsid w:val="00566387"/>
    <w:rsid w:val="005665CA"/>
    <w:rsid w:val="00566A66"/>
    <w:rsid w:val="00567317"/>
    <w:rsid w:val="00570E42"/>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2F5F"/>
    <w:rsid w:val="005932C8"/>
    <w:rsid w:val="00593984"/>
    <w:rsid w:val="0059430C"/>
    <w:rsid w:val="0059560E"/>
    <w:rsid w:val="00595C4B"/>
    <w:rsid w:val="00596617"/>
    <w:rsid w:val="00597300"/>
    <w:rsid w:val="005973DC"/>
    <w:rsid w:val="005976E8"/>
    <w:rsid w:val="0059773D"/>
    <w:rsid w:val="00597E92"/>
    <w:rsid w:val="005A0320"/>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2D7"/>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213"/>
    <w:rsid w:val="005F33AF"/>
    <w:rsid w:val="005F3633"/>
    <w:rsid w:val="005F3781"/>
    <w:rsid w:val="005F37FE"/>
    <w:rsid w:val="005F3C85"/>
    <w:rsid w:val="005F4413"/>
    <w:rsid w:val="005F4527"/>
    <w:rsid w:val="005F59D9"/>
    <w:rsid w:val="005F6655"/>
    <w:rsid w:val="005F6BD8"/>
    <w:rsid w:val="005F76E9"/>
    <w:rsid w:val="00601CC9"/>
    <w:rsid w:val="00602155"/>
    <w:rsid w:val="0060262F"/>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8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2EFA"/>
    <w:rsid w:val="006531F9"/>
    <w:rsid w:val="0065339E"/>
    <w:rsid w:val="00653801"/>
    <w:rsid w:val="006539B5"/>
    <w:rsid w:val="00653F3F"/>
    <w:rsid w:val="00654671"/>
    <w:rsid w:val="00656A95"/>
    <w:rsid w:val="0066251F"/>
    <w:rsid w:val="00662ABE"/>
    <w:rsid w:val="00662FC9"/>
    <w:rsid w:val="00664B3D"/>
    <w:rsid w:val="00665688"/>
    <w:rsid w:val="00665E8C"/>
    <w:rsid w:val="00666995"/>
    <w:rsid w:val="0066757F"/>
    <w:rsid w:val="006701F5"/>
    <w:rsid w:val="006705D5"/>
    <w:rsid w:val="00670B80"/>
    <w:rsid w:val="00670D34"/>
    <w:rsid w:val="00670E38"/>
    <w:rsid w:val="00671D64"/>
    <w:rsid w:val="00672471"/>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1D"/>
    <w:rsid w:val="006833A7"/>
    <w:rsid w:val="00683727"/>
    <w:rsid w:val="006839CA"/>
    <w:rsid w:val="00684304"/>
    <w:rsid w:val="00685A9C"/>
    <w:rsid w:val="00686191"/>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476"/>
    <w:rsid w:val="006A770B"/>
    <w:rsid w:val="006B000C"/>
    <w:rsid w:val="006B02B8"/>
    <w:rsid w:val="006B043A"/>
    <w:rsid w:val="006B075D"/>
    <w:rsid w:val="006B134E"/>
    <w:rsid w:val="006B2832"/>
    <w:rsid w:val="006B2842"/>
    <w:rsid w:val="006B3143"/>
    <w:rsid w:val="006B3A95"/>
    <w:rsid w:val="006B3B78"/>
    <w:rsid w:val="006B402E"/>
    <w:rsid w:val="006B4769"/>
    <w:rsid w:val="006B4823"/>
    <w:rsid w:val="006B48E8"/>
    <w:rsid w:val="006B4DF4"/>
    <w:rsid w:val="006B5829"/>
    <w:rsid w:val="006B5909"/>
    <w:rsid w:val="006B5E48"/>
    <w:rsid w:val="006B72C2"/>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15F"/>
    <w:rsid w:val="006D3AE5"/>
    <w:rsid w:val="006D472F"/>
    <w:rsid w:val="006D5301"/>
    <w:rsid w:val="006D5914"/>
    <w:rsid w:val="006D6005"/>
    <w:rsid w:val="006D6044"/>
    <w:rsid w:val="006D6502"/>
    <w:rsid w:val="006D6B03"/>
    <w:rsid w:val="006D70F1"/>
    <w:rsid w:val="006D7852"/>
    <w:rsid w:val="006D7C26"/>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AC7"/>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273"/>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006"/>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A9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2CA"/>
    <w:rsid w:val="00805AFF"/>
    <w:rsid w:val="00805B03"/>
    <w:rsid w:val="0080608A"/>
    <w:rsid w:val="008078EE"/>
    <w:rsid w:val="00807E74"/>
    <w:rsid w:val="008103FE"/>
    <w:rsid w:val="0081189C"/>
    <w:rsid w:val="008118F8"/>
    <w:rsid w:val="00811981"/>
    <w:rsid w:val="0081245E"/>
    <w:rsid w:val="00812CCD"/>
    <w:rsid w:val="00813357"/>
    <w:rsid w:val="008134FC"/>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79F"/>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2A7"/>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2C14"/>
    <w:rsid w:val="008C32D5"/>
    <w:rsid w:val="008C362C"/>
    <w:rsid w:val="008C3743"/>
    <w:rsid w:val="008C4329"/>
    <w:rsid w:val="008C4610"/>
    <w:rsid w:val="008C4952"/>
    <w:rsid w:val="008C4D97"/>
    <w:rsid w:val="008C5B59"/>
    <w:rsid w:val="008C6B13"/>
    <w:rsid w:val="008C6F17"/>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4FD2"/>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97E"/>
    <w:rsid w:val="00965CF4"/>
    <w:rsid w:val="009700B6"/>
    <w:rsid w:val="00970B7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24A9"/>
    <w:rsid w:val="009934B9"/>
    <w:rsid w:val="0099355E"/>
    <w:rsid w:val="00993749"/>
    <w:rsid w:val="009946FC"/>
    <w:rsid w:val="00994A99"/>
    <w:rsid w:val="00994AE2"/>
    <w:rsid w:val="009952E9"/>
    <w:rsid w:val="00995E59"/>
    <w:rsid w:val="009967F1"/>
    <w:rsid w:val="00996972"/>
    <w:rsid w:val="009969A1"/>
    <w:rsid w:val="00996F69"/>
    <w:rsid w:val="00997FCA"/>
    <w:rsid w:val="009A0C7F"/>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8CD"/>
    <w:rsid w:val="009B7B22"/>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3FE"/>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227"/>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9FD"/>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7C0"/>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3B9"/>
    <w:rsid w:val="00B13594"/>
    <w:rsid w:val="00B13F2D"/>
    <w:rsid w:val="00B143B9"/>
    <w:rsid w:val="00B14853"/>
    <w:rsid w:val="00B14987"/>
    <w:rsid w:val="00B156CA"/>
    <w:rsid w:val="00B15CB4"/>
    <w:rsid w:val="00B15D04"/>
    <w:rsid w:val="00B17351"/>
    <w:rsid w:val="00B17779"/>
    <w:rsid w:val="00B20E9E"/>
    <w:rsid w:val="00B21492"/>
    <w:rsid w:val="00B22AAE"/>
    <w:rsid w:val="00B22AE4"/>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27C"/>
    <w:rsid w:val="00B91779"/>
    <w:rsid w:val="00B91E98"/>
    <w:rsid w:val="00B91EAB"/>
    <w:rsid w:val="00B92AF9"/>
    <w:rsid w:val="00B9467E"/>
    <w:rsid w:val="00B94C9D"/>
    <w:rsid w:val="00B94E76"/>
    <w:rsid w:val="00B94F9D"/>
    <w:rsid w:val="00B95DBC"/>
    <w:rsid w:val="00B95DC8"/>
    <w:rsid w:val="00B9643B"/>
    <w:rsid w:val="00B9728E"/>
    <w:rsid w:val="00BA00DE"/>
    <w:rsid w:val="00BA0263"/>
    <w:rsid w:val="00BA2F3F"/>
    <w:rsid w:val="00BA3200"/>
    <w:rsid w:val="00BA340C"/>
    <w:rsid w:val="00BA345C"/>
    <w:rsid w:val="00BA4763"/>
    <w:rsid w:val="00BA5084"/>
    <w:rsid w:val="00BA54EF"/>
    <w:rsid w:val="00BA5809"/>
    <w:rsid w:val="00BA6114"/>
    <w:rsid w:val="00BA632A"/>
    <w:rsid w:val="00BA7455"/>
    <w:rsid w:val="00BA7676"/>
    <w:rsid w:val="00BA7AC1"/>
    <w:rsid w:val="00BB02B7"/>
    <w:rsid w:val="00BB0C50"/>
    <w:rsid w:val="00BB16F4"/>
    <w:rsid w:val="00BB1FA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0E3E"/>
    <w:rsid w:val="00BE10F1"/>
    <w:rsid w:val="00BE132D"/>
    <w:rsid w:val="00BE1455"/>
    <w:rsid w:val="00BE1A5A"/>
    <w:rsid w:val="00BE22D2"/>
    <w:rsid w:val="00BE231E"/>
    <w:rsid w:val="00BE256F"/>
    <w:rsid w:val="00BE2828"/>
    <w:rsid w:val="00BE2B0A"/>
    <w:rsid w:val="00BE3468"/>
    <w:rsid w:val="00BE37CB"/>
    <w:rsid w:val="00BE42F2"/>
    <w:rsid w:val="00BE45B1"/>
    <w:rsid w:val="00BE469E"/>
    <w:rsid w:val="00BE49A1"/>
    <w:rsid w:val="00BE54DE"/>
    <w:rsid w:val="00BE63E0"/>
    <w:rsid w:val="00BE6AFC"/>
    <w:rsid w:val="00BE70E1"/>
    <w:rsid w:val="00BE7103"/>
    <w:rsid w:val="00BE78C8"/>
    <w:rsid w:val="00BE7F17"/>
    <w:rsid w:val="00BE7FD8"/>
    <w:rsid w:val="00BF0D2F"/>
    <w:rsid w:val="00BF0E36"/>
    <w:rsid w:val="00BF126A"/>
    <w:rsid w:val="00BF1E2A"/>
    <w:rsid w:val="00BF2243"/>
    <w:rsid w:val="00BF2FE2"/>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614"/>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1C6"/>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5356"/>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440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0C3F"/>
    <w:rsid w:val="00CE14C8"/>
    <w:rsid w:val="00CE16C5"/>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5806"/>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6DF3"/>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BB"/>
    <w:rsid w:val="00D73CFD"/>
    <w:rsid w:val="00D74FF0"/>
    <w:rsid w:val="00D757B9"/>
    <w:rsid w:val="00D75B23"/>
    <w:rsid w:val="00D75FEF"/>
    <w:rsid w:val="00D765CA"/>
    <w:rsid w:val="00D76BB1"/>
    <w:rsid w:val="00D773F2"/>
    <w:rsid w:val="00D80624"/>
    <w:rsid w:val="00D80AF2"/>
    <w:rsid w:val="00D82F56"/>
    <w:rsid w:val="00D83241"/>
    <w:rsid w:val="00D833F8"/>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D26"/>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653"/>
    <w:rsid w:val="00DA5C7E"/>
    <w:rsid w:val="00DA5E2A"/>
    <w:rsid w:val="00DA5E70"/>
    <w:rsid w:val="00DA618C"/>
    <w:rsid w:val="00DA6EB6"/>
    <w:rsid w:val="00DA7F6E"/>
    <w:rsid w:val="00DB0721"/>
    <w:rsid w:val="00DB1848"/>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D778E"/>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CCE"/>
    <w:rsid w:val="00E27D0C"/>
    <w:rsid w:val="00E30F53"/>
    <w:rsid w:val="00E311F4"/>
    <w:rsid w:val="00E312C1"/>
    <w:rsid w:val="00E31356"/>
    <w:rsid w:val="00E31D59"/>
    <w:rsid w:val="00E3203C"/>
    <w:rsid w:val="00E32D94"/>
    <w:rsid w:val="00E332E9"/>
    <w:rsid w:val="00E341F3"/>
    <w:rsid w:val="00E3438F"/>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653"/>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A92"/>
    <w:rsid w:val="00E92C8C"/>
    <w:rsid w:val="00E937F7"/>
    <w:rsid w:val="00E93A20"/>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37F"/>
    <w:rsid w:val="00EB4FDF"/>
    <w:rsid w:val="00EB544E"/>
    <w:rsid w:val="00EB638A"/>
    <w:rsid w:val="00EB63C5"/>
    <w:rsid w:val="00EB646B"/>
    <w:rsid w:val="00EB7363"/>
    <w:rsid w:val="00EB7E8B"/>
    <w:rsid w:val="00EC1440"/>
    <w:rsid w:val="00EC16D5"/>
    <w:rsid w:val="00EC1A0A"/>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19F"/>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280"/>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170"/>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27DAF"/>
    <w:rsid w:val="00F30682"/>
    <w:rsid w:val="00F30A3A"/>
    <w:rsid w:val="00F30AF2"/>
    <w:rsid w:val="00F31A12"/>
    <w:rsid w:val="00F31FC9"/>
    <w:rsid w:val="00F326D3"/>
    <w:rsid w:val="00F32EAA"/>
    <w:rsid w:val="00F331F5"/>
    <w:rsid w:val="00F36407"/>
    <w:rsid w:val="00F3684D"/>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6E8"/>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4EE"/>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A0F"/>
    <w:rsid w:val="00FA3F97"/>
    <w:rsid w:val="00FA43EE"/>
    <w:rsid w:val="00FA5527"/>
    <w:rsid w:val="00FA5EBD"/>
    <w:rsid w:val="00FA6690"/>
    <w:rsid w:val="00FA73F2"/>
    <w:rsid w:val="00FB0B08"/>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4D82"/>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953"/>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72DF6"/>
    <w:rPr>
      <w:color w:val="000000"/>
      <w:lang w:val="en-GB" w:eastAsia="ja-JP"/>
    </w:rPr>
  </w:style>
  <w:style w:type="character" w:styleId="Strong">
    <w:name w:val="Strong"/>
    <w:uiPriority w:val="22"/>
    <w:qFormat/>
    <w:rsid w:val="004B2961"/>
    <w:rPr>
      <w:b/>
      <w:bCs/>
    </w:rPr>
  </w:style>
  <w:style w:type="character" w:customStyle="1" w:styleId="normaltextrun">
    <w:name w:val="normaltextrun"/>
    <w:basedOn w:val="DefaultParagraphFont"/>
    <w:rsid w:val="004B2961"/>
  </w:style>
  <w:style w:type="character" w:styleId="UnresolvedMention">
    <w:name w:val="Unresolved Mention"/>
    <w:basedOn w:val="DefaultParagraphFont"/>
    <w:uiPriority w:val="99"/>
    <w:semiHidden/>
    <w:unhideWhenUsed/>
    <w:rsid w:val="00F628A2"/>
    <w:rPr>
      <w:color w:val="605E5C"/>
      <w:shd w:val="clear" w:color="auto" w:fill="E1DFDD"/>
    </w:rPr>
  </w:style>
  <w:style w:type="character" w:styleId="FollowedHyperlink">
    <w:name w:val="FollowedHyperlink"/>
    <w:basedOn w:val="DefaultParagraphFont"/>
    <w:rsid w:val="006E57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038434">
      <w:bodyDiv w:val="1"/>
      <w:marLeft w:val="0"/>
      <w:marRight w:val="0"/>
      <w:marTop w:val="0"/>
      <w:marBottom w:val="0"/>
      <w:divBdr>
        <w:top w:val="none" w:sz="0" w:space="0" w:color="auto"/>
        <w:left w:val="none" w:sz="0" w:space="0" w:color="auto"/>
        <w:bottom w:val="none" w:sz="0" w:space="0" w:color="auto"/>
        <w:right w:val="none" w:sz="0" w:space="0" w:color="auto"/>
      </w:divBdr>
      <w:divsChild>
        <w:div w:id="684602490">
          <w:marLeft w:val="0"/>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682</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AppleUser</cp:lastModifiedBy>
  <cp:revision>8</cp:revision>
  <cp:lastPrinted>2018-08-14T09:59:00Z</cp:lastPrinted>
  <dcterms:created xsi:type="dcterms:W3CDTF">2025-08-12T10:12:00Z</dcterms:created>
  <dcterms:modified xsi:type="dcterms:W3CDTF">2025-08-15T14:49:00Z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