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F7517" w14:textId="77777777" w:rsidR="00982A51" w:rsidRDefault="00982A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02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74"/>
        <w:gridCol w:w="2352"/>
      </w:tblGrid>
      <w:tr w:rsidR="00982A51" w14:paraId="1C948B0C" w14:textId="77777777">
        <w:tc>
          <w:tcPr>
            <w:tcW w:w="6674" w:type="dxa"/>
          </w:tcPr>
          <w:p w14:paraId="1CEBBB70" w14:textId="77777777" w:rsidR="00982A51" w:rsidRDefault="00000000">
            <w:pPr>
              <w:ind w:left="-113"/>
              <w:jc w:val="both"/>
            </w:pPr>
            <w:r>
              <w:rPr>
                <w:b/>
                <w:sz w:val="32"/>
                <w:szCs w:val="32"/>
              </w:rPr>
              <w:t>3GPP TSG RAN Meeting #109</w:t>
            </w:r>
          </w:p>
        </w:tc>
        <w:tc>
          <w:tcPr>
            <w:tcW w:w="2352" w:type="dxa"/>
          </w:tcPr>
          <w:p w14:paraId="1A82877D" w14:textId="77777777" w:rsidR="00982A51" w:rsidRDefault="00000000">
            <w:pPr>
              <w:ind w:right="-115"/>
              <w:jc w:val="both"/>
            </w:pPr>
            <w:r>
              <w:rPr>
                <w:b/>
                <w:sz w:val="32"/>
                <w:szCs w:val="32"/>
              </w:rPr>
              <w:t>RP-251964</w:t>
            </w:r>
          </w:p>
        </w:tc>
      </w:tr>
      <w:tr w:rsidR="00982A51" w14:paraId="68BE9010" w14:textId="77777777">
        <w:tc>
          <w:tcPr>
            <w:tcW w:w="9026" w:type="dxa"/>
            <w:gridSpan w:val="2"/>
          </w:tcPr>
          <w:p w14:paraId="09A70D86" w14:textId="77777777" w:rsidR="00982A51" w:rsidRDefault="00000000">
            <w:pPr>
              <w:ind w:left="-113"/>
              <w:jc w:val="both"/>
            </w:pPr>
            <w:r>
              <w:rPr>
                <w:b/>
                <w:sz w:val="32"/>
                <w:szCs w:val="32"/>
              </w:rPr>
              <w:t>Beijing, China, September 15-18, 2025</w:t>
            </w:r>
          </w:p>
        </w:tc>
      </w:tr>
    </w:tbl>
    <w:p w14:paraId="71A9B377" w14:textId="77777777" w:rsidR="00982A51" w:rsidRDefault="00982A51">
      <w:pPr>
        <w:jc w:val="both"/>
      </w:pPr>
    </w:p>
    <w:tbl>
      <w:tblPr>
        <w:tblStyle w:val="a0"/>
        <w:tblW w:w="9360" w:type="dxa"/>
        <w:tblInd w:w="0" w:type="dxa"/>
        <w:tblBorders>
          <w:top w:val="single" w:sz="4" w:space="0" w:color="000000"/>
          <w:bottom w:val="single" w:sz="4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00982A51" w14:paraId="69DA42C8" w14:textId="77777777" w:rsidTr="00982A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656CD86" w14:textId="77777777" w:rsidR="00982A51" w:rsidRDefault="00000000">
            <w:pPr>
              <w:ind w:left="-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1B1759BC" w14:textId="77777777" w:rsidR="00982A51" w:rsidRDefault="00000000">
            <w:pPr>
              <w:ind w:left="-113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8.2.1.1</w:t>
            </w:r>
          </w:p>
        </w:tc>
      </w:tr>
      <w:tr w:rsidR="00982A51" w14:paraId="109B8963" w14:textId="77777777" w:rsidTr="00982A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540E96A" w14:textId="77777777" w:rsidR="00982A51" w:rsidRDefault="00000000">
            <w:pPr>
              <w:ind w:left="-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564783E3" w14:textId="77777777" w:rsidR="00982A51" w:rsidRDefault="00000000">
            <w:pPr>
              <w:ind w:left="-1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IIT Hyderabad (IITH) and WiSig</w:t>
            </w:r>
          </w:p>
        </w:tc>
      </w:tr>
      <w:tr w:rsidR="00982A51" w14:paraId="68096C76" w14:textId="77777777" w:rsidTr="00982A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9F26059" w14:textId="77777777" w:rsidR="00982A51" w:rsidRDefault="00000000">
            <w:pPr>
              <w:ind w:left="-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226717D1" w14:textId="77777777" w:rsidR="00982A51" w:rsidRDefault="00000000">
            <w:pPr>
              <w:ind w:left="-1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Low-Cost Macro Base Station Options for Upper Mid-Band (6.425–7.125 GHz)</w:t>
            </w:r>
          </w:p>
        </w:tc>
      </w:tr>
      <w:tr w:rsidR="00982A51" w14:paraId="0D900643" w14:textId="77777777" w:rsidTr="00982A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C92EC45" w14:textId="77777777" w:rsidR="00982A51" w:rsidRDefault="00000000">
            <w:pPr>
              <w:ind w:left="-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 for:</w:t>
            </w:r>
          </w:p>
        </w:tc>
        <w:tc>
          <w:tcPr>
            <w:tcW w:w="7659" w:type="dxa"/>
          </w:tcPr>
          <w:p w14:paraId="3B7EE124" w14:textId="77777777" w:rsidR="00982A51" w:rsidRDefault="00000000">
            <w:pPr>
              <w:ind w:left="-1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Discussion</w:t>
            </w:r>
          </w:p>
        </w:tc>
      </w:tr>
    </w:tbl>
    <w:p w14:paraId="694CE632" w14:textId="77777777" w:rsidR="00982A51" w:rsidRDefault="00982A51">
      <w:pPr>
        <w:jc w:val="both"/>
        <w:rPr>
          <w:rFonts w:ascii="Times New Roman" w:eastAsia="Times New Roman" w:hAnsi="Times New Roman" w:cs="Times New Roman"/>
          <w:b/>
        </w:rPr>
      </w:pPr>
    </w:p>
    <w:p w14:paraId="4627EC4C" w14:textId="77777777" w:rsidR="00982A51" w:rsidRDefault="00000000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Abstract</w:t>
      </w:r>
    </w:p>
    <w:p w14:paraId="04A0FB2D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This contribution proposes a study on standardized, </w:t>
      </w:r>
      <w:r>
        <w:rPr>
          <w:rFonts w:ascii="Times New Roman" w:eastAsia="Times New Roman" w:hAnsi="Times New Roman" w:cs="Times New Roman"/>
          <w:b/>
        </w:rPr>
        <w:t>low-cost macro</w:t>
      </w:r>
      <w:r>
        <w:rPr>
          <w:rFonts w:ascii="Times New Roman" w:eastAsia="Times New Roman" w:hAnsi="Times New Roman" w:cs="Times New Roman"/>
        </w:rPr>
        <w:t xml:space="preserve"> base-station architectures for the upper mid-band (6.425–7.125 GHz). The approach combines (i) simplified RU/DU implementations and (ii) </w:t>
      </w:r>
      <w:r>
        <w:rPr>
          <w:rFonts w:ascii="Times New Roman" w:eastAsia="Times New Roman" w:hAnsi="Times New Roman" w:cs="Times New Roman"/>
          <w:b/>
        </w:rPr>
        <w:t>dual-waveform PHY</w:t>
      </w:r>
      <w:r>
        <w:rPr>
          <w:rFonts w:ascii="Times New Roman" w:eastAsia="Times New Roman" w:hAnsi="Times New Roman" w:cs="Times New Roman"/>
        </w:rPr>
        <w:t xml:space="preserve"> (low-PAPR + CP-OFDM on demand) to recover PA back-off, improve energy efficiency, and reduce total cost of ownership—while preserving macro-class EIRP and coverage. The study targets </w:t>
      </w:r>
      <w:r>
        <w:rPr>
          <w:rFonts w:ascii="Times New Roman" w:eastAsia="Times New Roman" w:hAnsi="Times New Roman" w:cs="Times New Roman"/>
          <w:b/>
        </w:rPr>
        <w:t>4×–10× cost reduction</w:t>
      </w:r>
      <w:r>
        <w:rPr>
          <w:rFonts w:ascii="Times New Roman" w:eastAsia="Times New Roman" w:hAnsi="Times New Roman" w:cs="Times New Roman"/>
        </w:rPr>
        <w:t xml:space="preserve"> vs. conventional gNBs at comparable coverage/capacity and enables scalable deployments, particularly for FWA-heavy markets.</w:t>
      </w:r>
    </w:p>
    <w:p w14:paraId="2ED09F7A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pict w14:anchorId="1B45875F">
          <v:rect id="_x0000_i1025" style="width:0;height:1.5pt" o:hralign="center" o:hrstd="t" o:hr="t" fillcolor="#a0a0a0" stroked="f"/>
        </w:pict>
      </w:r>
    </w:p>
    <w:p w14:paraId="1482D2A8" w14:textId="77777777" w:rsidR="00982A51" w:rsidRDefault="00000000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1. Motivation and Context</w:t>
      </w:r>
    </w:p>
    <w:p w14:paraId="79D82782" w14:textId="77777777" w:rsidR="00982A51" w:rsidRDefault="00000000">
      <w:pPr>
        <w:numPr>
          <w:ilvl w:val="0"/>
          <w:numId w:val="1"/>
        </w:numPr>
        <w:jc w:val="both"/>
      </w:pPr>
      <w:r>
        <w:rPr>
          <w:rFonts w:ascii="Times New Roman" w:eastAsia="Times New Roman" w:hAnsi="Times New Roman" w:cs="Times New Roman"/>
        </w:rPr>
        <w:t xml:space="preserve">India is expected to make </w:t>
      </w:r>
      <w:r>
        <w:rPr>
          <w:rFonts w:ascii="Times New Roman" w:eastAsia="Times New Roman" w:hAnsi="Times New Roman" w:cs="Times New Roman"/>
          <w:b/>
        </w:rPr>
        <w:t>6.425–7.125 GHz</w:t>
      </w:r>
      <w:r>
        <w:rPr>
          <w:rFonts w:ascii="Times New Roman" w:eastAsia="Times New Roman" w:hAnsi="Times New Roman" w:cs="Times New Roman"/>
        </w:rPr>
        <w:t xml:space="preserve"> available as a dedicated 6G block (aligned with WRC outcomes). With modest fibre penetration, </w:t>
      </w:r>
      <w:r>
        <w:rPr>
          <w:rFonts w:ascii="Times New Roman" w:eastAsia="Times New Roman" w:hAnsi="Times New Roman" w:cs="Times New Roman"/>
          <w:b/>
        </w:rPr>
        <w:t>Fixed Wireless Access (FWA)</w:t>
      </w:r>
      <w:r>
        <w:rPr>
          <w:rFonts w:ascii="Times New Roman" w:eastAsia="Times New Roman" w:hAnsi="Times New Roman" w:cs="Times New Roman"/>
        </w:rPr>
        <w:t xml:space="preserve"> will remain a primary broadband mode in both urban and rural areas.</w:t>
      </w:r>
    </w:p>
    <w:p w14:paraId="74709412" w14:textId="732F0B49" w:rsidR="00982A51" w:rsidRDefault="00000000">
      <w:pPr>
        <w:numPr>
          <w:ilvl w:val="0"/>
          <w:numId w:val="1"/>
        </w:numPr>
        <w:jc w:val="both"/>
      </w:pPr>
      <w:r>
        <w:rPr>
          <w:rFonts w:ascii="Times New Roman" w:eastAsia="Times New Roman" w:hAnsi="Times New Roman" w:cs="Times New Roman"/>
        </w:rPr>
        <w:t xml:space="preserve">India’s existing </w:t>
      </w:r>
      <w:r>
        <w:rPr>
          <w:rFonts w:ascii="Times New Roman" w:eastAsia="Times New Roman" w:hAnsi="Times New Roman" w:cs="Times New Roman"/>
          <w:b/>
        </w:rPr>
        <w:t>5G mid-band (3.3–3.67 GHz)</w:t>
      </w:r>
      <w:r>
        <w:rPr>
          <w:rFonts w:ascii="Times New Roman" w:eastAsia="Times New Roman" w:hAnsi="Times New Roman" w:cs="Times New Roman"/>
        </w:rPr>
        <w:t xml:space="preserve"> is increasingly congested. Stop-gap alternatives (unlicensed Wi-Fi; Wi-Fi B</w:t>
      </w:r>
      <w:r w:rsidR="00201614">
        <w:rPr>
          <w:rFonts w:ascii="Times New Roman" w:eastAsia="Times New Roman" w:hAnsi="Times New Roman" w:cs="Times New Roman"/>
        </w:rPr>
        <w:t>aseband</w:t>
      </w:r>
      <w:r>
        <w:rPr>
          <w:rFonts w:ascii="Times New Roman" w:eastAsia="Times New Roman" w:hAnsi="Times New Roman" w:cs="Times New Roman"/>
        </w:rPr>
        <w:t xml:space="preserve"> + FR2 mm Wave backhaul with CPE dishes) offer limited standardization, weaker long-term interoperability, and challenging economics at scale.</w:t>
      </w:r>
    </w:p>
    <w:p w14:paraId="1DED5B78" w14:textId="77777777" w:rsidR="00982A51" w:rsidRDefault="00000000">
      <w:pPr>
        <w:numPr>
          <w:ilvl w:val="0"/>
          <w:numId w:val="1"/>
        </w:numPr>
        <w:jc w:val="both"/>
      </w:pPr>
      <w:r>
        <w:rPr>
          <w:rFonts w:ascii="Times New Roman" w:eastAsia="Times New Roman" w:hAnsi="Times New Roman" w:cs="Times New Roman"/>
        </w:rPr>
        <w:t xml:space="preserve">A standardized, macro-class, </w:t>
      </w:r>
      <w:r>
        <w:rPr>
          <w:rFonts w:ascii="Times New Roman" w:eastAsia="Times New Roman" w:hAnsi="Times New Roman" w:cs="Times New Roman"/>
          <w:b/>
        </w:rPr>
        <w:t>lower-cost</w:t>
      </w:r>
      <w:r>
        <w:rPr>
          <w:rFonts w:ascii="Times New Roman" w:eastAsia="Times New Roman" w:hAnsi="Times New Roman" w:cs="Times New Roman"/>
        </w:rPr>
        <w:t xml:space="preserve"> upper-midband solution is needed for rapid, large-scale rollouts.</w:t>
      </w:r>
    </w:p>
    <w:p w14:paraId="35DAD7D9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pict w14:anchorId="55670627">
          <v:rect id="_x0000_i1026" style="width:0;height:1.5pt" o:hralign="center" o:hrstd="t" o:hr="t" fillcolor="#a0a0a0" stroked="f"/>
        </w:pict>
      </w:r>
    </w:p>
    <w:p w14:paraId="27975DBA" w14:textId="77777777" w:rsidR="00982A51" w:rsidRDefault="00000000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2. Objectives</w:t>
      </w:r>
    </w:p>
    <w:p w14:paraId="74F35D64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Define macro-class systems for 6.425–7.125 GHz that:</w:t>
      </w:r>
    </w:p>
    <w:p w14:paraId="3752C7B4" w14:textId="77777777" w:rsidR="00982A51" w:rsidRDefault="00000000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</w:rPr>
        <w:t xml:space="preserve">Achieve </w:t>
      </w:r>
      <w:r>
        <w:rPr>
          <w:rFonts w:ascii="Times New Roman" w:eastAsia="Times New Roman" w:hAnsi="Times New Roman" w:cs="Times New Roman"/>
          <w:b/>
        </w:rPr>
        <w:t>comparable EIRP and coverage</w:t>
      </w:r>
      <w:r>
        <w:rPr>
          <w:rFonts w:ascii="Times New Roman" w:eastAsia="Times New Roman" w:hAnsi="Times New Roman" w:cs="Times New Roman"/>
        </w:rPr>
        <w:t xml:space="preserve"> to today’s macro gNBs (3–4 sectors per site).</w:t>
      </w:r>
    </w:p>
    <w:p w14:paraId="7DC42053" w14:textId="77777777" w:rsidR="00982A51" w:rsidRDefault="00000000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</w:rPr>
        <w:t xml:space="preserve">Deliver </w:t>
      </w:r>
      <w:r>
        <w:rPr>
          <w:rFonts w:ascii="Times New Roman" w:eastAsia="Times New Roman" w:hAnsi="Times New Roman" w:cs="Times New Roman"/>
          <w:b/>
        </w:rPr>
        <w:t>¼–¹⁄₁₀</w:t>
      </w:r>
      <w:r>
        <w:rPr>
          <w:rFonts w:ascii="Times New Roman" w:eastAsia="Times New Roman" w:hAnsi="Times New Roman" w:cs="Times New Roman"/>
        </w:rPr>
        <w:t xml:space="preserve"> the cost (per coverage/capacity) of current macro solutions.</w:t>
      </w:r>
    </w:p>
    <w:p w14:paraId="68190B7B" w14:textId="77777777" w:rsidR="00982A51" w:rsidRDefault="00000000">
      <w:pPr>
        <w:numPr>
          <w:ilvl w:val="0"/>
          <w:numId w:val="2"/>
        </w:numPr>
        <w:jc w:val="both"/>
      </w:pPr>
      <w:r>
        <w:rPr>
          <w:rFonts w:ascii="Times New Roman" w:eastAsia="Times New Roman" w:hAnsi="Times New Roman" w:cs="Times New Roman"/>
        </w:rPr>
        <w:t xml:space="preserve">Use </w:t>
      </w:r>
      <w:r>
        <w:rPr>
          <w:rFonts w:ascii="Times New Roman" w:eastAsia="Times New Roman" w:hAnsi="Times New Roman" w:cs="Times New Roman"/>
          <w:b/>
        </w:rPr>
        <w:t>simplified RU/DU</w:t>
      </w:r>
      <w:r>
        <w:rPr>
          <w:rFonts w:ascii="Times New Roman" w:eastAsia="Times New Roman" w:hAnsi="Times New Roman" w:cs="Times New Roman"/>
        </w:rPr>
        <w:t xml:space="preserve"> designs and a </w:t>
      </w:r>
      <w:r>
        <w:rPr>
          <w:rFonts w:ascii="Times New Roman" w:eastAsia="Times New Roman" w:hAnsi="Times New Roman" w:cs="Times New Roman"/>
          <w:b/>
        </w:rPr>
        <w:t>dual-waveform PHY</w:t>
      </w:r>
      <w:r>
        <w:rPr>
          <w:rFonts w:ascii="Times New Roman" w:eastAsia="Times New Roman" w:hAnsi="Times New Roman" w:cs="Times New Roman"/>
        </w:rPr>
        <w:t xml:space="preserve"> to minimize PA back-off while preserving MU-MIMO and spectral efficiency when needed.</w:t>
      </w:r>
    </w:p>
    <w:p w14:paraId="23DA6D4A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pict w14:anchorId="6C63DA4F">
          <v:rect id="_x0000_i1027" style="width:0;height:1.5pt" o:hralign="center" o:hrstd="t" o:hr="t" fillcolor="#a0a0a0" stroked="f"/>
        </w:pict>
      </w:r>
    </w:p>
    <w:p w14:paraId="0D9F702D" w14:textId="77777777" w:rsidR="00982A51" w:rsidRDefault="00000000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 Scope: What “Low-Cost Macro” Means</w:t>
      </w:r>
    </w:p>
    <w:p w14:paraId="389F1BFB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This work item targets </w:t>
      </w:r>
      <w:r>
        <w:rPr>
          <w:rFonts w:ascii="Times New Roman" w:eastAsia="Times New Roman" w:hAnsi="Times New Roman" w:cs="Times New Roman"/>
          <w:b/>
        </w:rPr>
        <w:t>macro/micro class</w:t>
      </w:r>
      <w:r>
        <w:rPr>
          <w:rFonts w:ascii="Times New Roman" w:eastAsia="Times New Roman" w:hAnsi="Times New Roman" w:cs="Times New Roman"/>
        </w:rPr>
        <w:t xml:space="preserve"> equipment, </w:t>
      </w:r>
      <w:r>
        <w:rPr>
          <w:rFonts w:ascii="Times New Roman" w:eastAsia="Times New Roman" w:hAnsi="Times New Roman" w:cs="Times New Roman"/>
          <w:b/>
        </w:rPr>
        <w:t>not</w:t>
      </w:r>
      <w:r>
        <w:rPr>
          <w:rFonts w:ascii="Times New Roman" w:eastAsia="Times New Roman" w:hAnsi="Times New Roman" w:cs="Times New Roman"/>
        </w:rPr>
        <w:t xml:space="preserve"> small cells:</w:t>
      </w:r>
    </w:p>
    <w:p w14:paraId="4B013769" w14:textId="612F5BD0" w:rsidR="00982A51" w:rsidRDefault="00000000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  <w:b/>
        </w:rPr>
        <w:t>Per-sector RF power:</w:t>
      </w:r>
      <w:r>
        <w:rPr>
          <w:rFonts w:ascii="Times New Roman" w:eastAsia="Times New Roman" w:hAnsi="Times New Roman" w:cs="Times New Roman"/>
        </w:rPr>
        <w:t xml:space="preserve"> ~100–400 W</w:t>
      </w:r>
      <w:r w:rsidR="00786B53">
        <w:rPr>
          <w:rFonts w:ascii="Times New Roman" w:eastAsia="Times New Roman" w:hAnsi="Times New Roman" w:cs="Times New Roman"/>
        </w:rPr>
        <w:t>atts</w:t>
      </w:r>
      <w:r>
        <w:rPr>
          <w:rFonts w:ascii="Times New Roman" w:eastAsia="Times New Roman" w:hAnsi="Times New Roman" w:cs="Times New Roman"/>
        </w:rPr>
        <w:t xml:space="preserve">; </w:t>
      </w:r>
      <w:r>
        <w:rPr>
          <w:rFonts w:ascii="Times New Roman" w:eastAsia="Times New Roman" w:hAnsi="Times New Roman" w:cs="Times New Roman"/>
          <w:b/>
        </w:rPr>
        <w:t>site:</w:t>
      </w:r>
      <w:r>
        <w:rPr>
          <w:rFonts w:ascii="Times New Roman" w:eastAsia="Times New Roman" w:hAnsi="Times New Roman" w:cs="Times New Roman"/>
        </w:rPr>
        <w:t xml:space="preserve"> 3–4 sectors (including virtual/beam sectors).</w:t>
      </w:r>
    </w:p>
    <w:p w14:paraId="08B79F13" w14:textId="77777777" w:rsidR="00982A51" w:rsidRDefault="00000000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  <w:b/>
        </w:rPr>
        <w:lastRenderedPageBreak/>
        <w:t>RU:</w:t>
      </w:r>
      <w:r>
        <w:rPr>
          <w:rFonts w:ascii="Times New Roman" w:eastAsia="Times New Roman" w:hAnsi="Times New Roman" w:cs="Times New Roman"/>
        </w:rPr>
        <w:t xml:space="preserve"> simplified PAs (reduced back-off), improved thermal/mechanical design; a </w:t>
      </w:r>
      <w:r>
        <w:rPr>
          <w:rFonts w:ascii="Times New Roman" w:eastAsia="Times New Roman" w:hAnsi="Times New Roman" w:cs="Times New Roman"/>
          <w:b/>
        </w:rPr>
        <w:t>single RU</w:t>
      </w:r>
      <w:r>
        <w:rPr>
          <w:rFonts w:ascii="Times New Roman" w:eastAsia="Times New Roman" w:hAnsi="Times New Roman" w:cs="Times New Roman"/>
        </w:rPr>
        <w:t xml:space="preserve"> may feed </w:t>
      </w:r>
      <w:r>
        <w:rPr>
          <w:rFonts w:ascii="Times New Roman" w:eastAsia="Times New Roman" w:hAnsi="Times New Roman" w:cs="Times New Roman"/>
          <w:b/>
        </w:rPr>
        <w:t>2–4 sectors/beams</w:t>
      </w:r>
      <w:r>
        <w:rPr>
          <w:rFonts w:ascii="Times New Roman" w:eastAsia="Times New Roman" w:hAnsi="Times New Roman" w:cs="Times New Roman"/>
        </w:rPr>
        <w:t xml:space="preserve"> to lower per-sector cost.</w:t>
      </w:r>
    </w:p>
    <w:p w14:paraId="075E4CE9" w14:textId="77777777" w:rsidR="00982A51" w:rsidRDefault="00000000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  <w:b/>
        </w:rPr>
        <w:t>DU:</w:t>
      </w:r>
      <w:r>
        <w:rPr>
          <w:rFonts w:ascii="Times New Roman" w:eastAsia="Times New Roman" w:hAnsi="Times New Roman" w:cs="Times New Roman"/>
        </w:rPr>
        <w:t xml:space="preserve"> Use a single baseband (PHY) and stack (L2/L3) where possible with simplified scheduler/PHY controls; one DU may drive one RU for </w:t>
      </w:r>
      <w:r>
        <w:rPr>
          <w:rFonts w:ascii="Times New Roman" w:eastAsia="Times New Roman" w:hAnsi="Times New Roman" w:cs="Times New Roman"/>
          <w:b/>
        </w:rPr>
        <w:t>180°–360°</w:t>
      </w:r>
      <w:r>
        <w:rPr>
          <w:rFonts w:ascii="Times New Roman" w:eastAsia="Times New Roman" w:hAnsi="Times New Roman" w:cs="Times New Roman"/>
        </w:rPr>
        <w:t xml:space="preserve"> azimuth coverage utilizing multiple beams/sectors.</w:t>
      </w:r>
    </w:p>
    <w:p w14:paraId="47B9322D" w14:textId="77777777" w:rsidR="00982A51" w:rsidRDefault="00000000">
      <w:pPr>
        <w:numPr>
          <w:ilvl w:val="0"/>
          <w:numId w:val="3"/>
        </w:numPr>
        <w:jc w:val="both"/>
      </w:pPr>
      <w:r>
        <w:rPr>
          <w:rFonts w:ascii="Times New Roman" w:eastAsia="Times New Roman" w:hAnsi="Times New Roman" w:cs="Times New Roman"/>
        </w:rPr>
        <w:t xml:space="preserve">One cost lever is the </w:t>
      </w:r>
      <w:r>
        <w:rPr>
          <w:rFonts w:ascii="Times New Roman" w:eastAsia="Times New Roman" w:hAnsi="Times New Roman" w:cs="Times New Roman"/>
          <w:b/>
        </w:rPr>
        <w:t>PA</w:t>
      </w:r>
      <w:r>
        <w:rPr>
          <w:rFonts w:ascii="Times New Roman" w:eastAsia="Times New Roman" w:hAnsi="Times New Roman" w:cs="Times New Roman"/>
        </w:rPr>
        <w:t>, which in CP-OFDM typically requires ≥8 dB back-off; recovering this margin is important.</w:t>
      </w:r>
    </w:p>
    <w:p w14:paraId="26C6D6A5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pict w14:anchorId="4DBB083A">
          <v:rect id="_x0000_i1028" style="width:0;height:1.5pt" o:hralign="center" o:hrstd="t" o:hr="t" fillcolor="#a0a0a0" stroked="f"/>
        </w:pict>
      </w:r>
    </w:p>
    <w:p w14:paraId="352539CE" w14:textId="77777777" w:rsidR="00982A51" w:rsidRDefault="00000000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 Waveform Strategy and PA Efficiency (Dual-Waveform PHY)</w:t>
      </w:r>
    </w:p>
    <w:p w14:paraId="702760B6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We propose a </w:t>
      </w:r>
      <w:r>
        <w:rPr>
          <w:rFonts w:ascii="Times New Roman" w:eastAsia="Times New Roman" w:hAnsi="Times New Roman" w:cs="Times New Roman"/>
          <w:b/>
        </w:rPr>
        <w:t>dual-waveform</w:t>
      </w:r>
      <w:r>
        <w:rPr>
          <w:rFonts w:ascii="Times New Roman" w:eastAsia="Times New Roman" w:hAnsi="Times New Roman" w:cs="Times New Roman"/>
        </w:rPr>
        <w:t xml:space="preserve"> PHY that defaults to </w:t>
      </w:r>
      <w:r>
        <w:rPr>
          <w:rFonts w:ascii="Times New Roman" w:eastAsia="Times New Roman" w:hAnsi="Times New Roman" w:cs="Times New Roman"/>
          <w:b/>
        </w:rPr>
        <w:t>low-PAPR</w:t>
      </w:r>
      <w:r>
        <w:rPr>
          <w:rFonts w:ascii="Times New Roman" w:eastAsia="Times New Roman" w:hAnsi="Times New Roman" w:cs="Times New Roman"/>
        </w:rPr>
        <w:t xml:space="preserve"> for sync/control/coverage-critical data, and selectively enables </w:t>
      </w:r>
      <w:r>
        <w:rPr>
          <w:rFonts w:ascii="Times New Roman" w:eastAsia="Times New Roman" w:hAnsi="Times New Roman" w:cs="Times New Roman"/>
          <w:b/>
        </w:rPr>
        <w:t>CP-OFDM</w:t>
      </w:r>
      <w:r>
        <w:rPr>
          <w:rFonts w:ascii="Times New Roman" w:eastAsia="Times New Roman" w:hAnsi="Times New Roman" w:cs="Times New Roman"/>
        </w:rPr>
        <w:t xml:space="preserve"> for high-throughput/MU-MIMO:</w:t>
      </w:r>
    </w:p>
    <w:p w14:paraId="31B60DE5" w14:textId="77777777" w:rsidR="00982A51" w:rsidRDefault="00000000">
      <w:pPr>
        <w:numPr>
          <w:ilvl w:val="0"/>
          <w:numId w:val="4"/>
        </w:numPr>
        <w:jc w:val="both"/>
      </w:pPr>
      <w:r>
        <w:rPr>
          <w:rFonts w:ascii="Times New Roman" w:eastAsia="Times New Roman" w:hAnsi="Times New Roman" w:cs="Times New Roman"/>
          <w:b/>
        </w:rPr>
        <w:t>Low-PAPR family (e.g., DFT-s-OFDM including OTFDM variants)</w:t>
      </w:r>
      <w:r>
        <w:rPr>
          <w:rFonts w:ascii="Times New Roman" w:eastAsia="Times New Roman" w:hAnsi="Times New Roman" w:cs="Times New Roman"/>
        </w:rPr>
        <w:t>:</w:t>
      </w:r>
    </w:p>
    <w:p w14:paraId="303FD3B3" w14:textId="77777777" w:rsidR="00982A51" w:rsidRDefault="00000000">
      <w:pPr>
        <w:numPr>
          <w:ilvl w:val="1"/>
          <w:numId w:val="4"/>
        </w:numPr>
        <w:jc w:val="both"/>
      </w:pPr>
      <w:r>
        <w:rPr>
          <w:rFonts w:ascii="Times New Roman" w:eastAsia="Times New Roman" w:hAnsi="Times New Roman" w:cs="Times New Roman"/>
        </w:rPr>
        <w:t xml:space="preserve">Enables near-saturation PA operation for </w:t>
      </w:r>
      <w:r>
        <w:rPr>
          <w:rFonts w:ascii="Times New Roman" w:eastAsia="Times New Roman" w:hAnsi="Times New Roman" w:cs="Times New Roman"/>
          <w:b/>
        </w:rPr>
        <w:t>π/2-BPSK</w:t>
      </w:r>
      <w:r>
        <w:rPr>
          <w:rFonts w:ascii="Times New Roman" w:eastAsia="Times New Roman" w:hAnsi="Times New Roman" w:cs="Times New Roman"/>
        </w:rPr>
        <w:t>, QPSK, low-MCS data, improving link budget and energy efficiency.</w:t>
      </w:r>
    </w:p>
    <w:p w14:paraId="1BA934C6" w14:textId="77777777" w:rsidR="00982A51" w:rsidRDefault="00000000">
      <w:pPr>
        <w:numPr>
          <w:ilvl w:val="1"/>
          <w:numId w:val="4"/>
        </w:numPr>
        <w:jc w:val="both"/>
      </w:pPr>
      <w:r>
        <w:rPr>
          <w:rFonts w:ascii="Times New Roman" w:eastAsia="Times New Roman" w:hAnsi="Times New Roman" w:cs="Times New Roman"/>
        </w:rPr>
        <w:t xml:space="preserve">Flexible DMRS placement, robustness to Doppler, and support for </w:t>
      </w:r>
      <w:r>
        <w:rPr>
          <w:rFonts w:ascii="Times New Roman" w:eastAsia="Times New Roman" w:hAnsi="Times New Roman" w:cs="Times New Roman"/>
          <w:b/>
        </w:rPr>
        <w:t>pre-DFT time-domain multiplexing</w:t>
      </w:r>
      <w:r>
        <w:rPr>
          <w:rFonts w:ascii="Times New Roman" w:eastAsia="Times New Roman" w:hAnsi="Times New Roman" w:cs="Times New Roman"/>
        </w:rPr>
        <w:t>.</w:t>
      </w:r>
    </w:p>
    <w:p w14:paraId="455A52FE" w14:textId="77777777" w:rsidR="00982A51" w:rsidRDefault="00000000">
      <w:pPr>
        <w:numPr>
          <w:ilvl w:val="0"/>
          <w:numId w:val="4"/>
        </w:numPr>
        <w:jc w:val="both"/>
      </w:pPr>
      <w:r>
        <w:rPr>
          <w:rFonts w:ascii="Times New Roman" w:eastAsia="Times New Roman" w:hAnsi="Times New Roman" w:cs="Times New Roman"/>
          <w:b/>
        </w:rPr>
        <w:t>CP-OFDM on demand</w:t>
      </w:r>
      <w:r>
        <w:rPr>
          <w:rFonts w:ascii="Times New Roman" w:eastAsia="Times New Roman" w:hAnsi="Times New Roman" w:cs="Times New Roman"/>
        </w:rPr>
        <w:t xml:space="preserve"> (e.g., PDSCH bursts for MU-MIMO/high MCS):</w:t>
      </w:r>
    </w:p>
    <w:p w14:paraId="352EA38E" w14:textId="77777777" w:rsidR="00982A51" w:rsidRDefault="00000000">
      <w:pPr>
        <w:numPr>
          <w:ilvl w:val="1"/>
          <w:numId w:val="4"/>
        </w:numPr>
        <w:jc w:val="both"/>
      </w:pPr>
      <w:r>
        <w:rPr>
          <w:rFonts w:ascii="Times New Roman" w:eastAsia="Times New Roman" w:hAnsi="Times New Roman" w:cs="Times New Roman"/>
        </w:rPr>
        <w:t>Accepts requisite back-off only when needed to deliver higher spectral efficiency.</w:t>
      </w:r>
    </w:p>
    <w:p w14:paraId="59454AC9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Synchronization channels:</w:t>
      </w:r>
      <w:r>
        <w:rPr>
          <w:rFonts w:ascii="Times New Roman" w:eastAsia="Times New Roman" w:hAnsi="Times New Roman" w:cs="Times New Roman"/>
        </w:rPr>
        <w:t xml:space="preserve"> Map PSS/SSS/PBCH to low-PAPR by default to maximize coverage.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i/>
        </w:rPr>
        <w:t>Alternative (not preferred):</w:t>
      </w:r>
      <w:r>
        <w:rPr>
          <w:rFonts w:ascii="Times New Roman" w:eastAsia="Times New Roman" w:hAnsi="Times New Roman" w:cs="Times New Roman"/>
        </w:rPr>
        <w:t xml:space="preserve"> Keep sync on CP-OFDM; then coverage must be regained via </w:t>
      </w:r>
      <w:r>
        <w:rPr>
          <w:rFonts w:ascii="Times New Roman" w:eastAsia="Times New Roman" w:hAnsi="Times New Roman" w:cs="Times New Roman"/>
          <w:b/>
        </w:rPr>
        <w:t>repetitions</w:t>
      </w:r>
      <w:r>
        <w:rPr>
          <w:rFonts w:ascii="Times New Roman" w:eastAsia="Times New Roman" w:hAnsi="Times New Roman" w:cs="Times New Roman"/>
        </w:rPr>
        <w:t xml:space="preserve"> (NB-IoT-like), which is less energy/cost efficient.</w:t>
      </w:r>
    </w:p>
    <w:p w14:paraId="5252F6CE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Scheduling model with OTFDM-style multiplexing:</w:t>
      </w:r>
    </w:p>
    <w:p w14:paraId="53D32B5B" w14:textId="77777777" w:rsidR="00982A51" w:rsidRDefault="00000000">
      <w:pPr>
        <w:numPr>
          <w:ilvl w:val="0"/>
          <w:numId w:val="5"/>
        </w:numPr>
        <w:jc w:val="both"/>
      </w:pPr>
      <w:r>
        <w:rPr>
          <w:rFonts w:ascii="Times New Roman" w:eastAsia="Times New Roman" w:hAnsi="Times New Roman" w:cs="Times New Roman"/>
        </w:rPr>
        <w:t xml:space="preserve">In a TTI with 14 symbols, time-multiplex </w:t>
      </w:r>
      <w:r>
        <w:rPr>
          <w:rFonts w:ascii="Times New Roman" w:eastAsia="Times New Roman" w:hAnsi="Times New Roman" w:cs="Times New Roman"/>
          <w:b/>
        </w:rPr>
        <w:t>2–4 UEs per symbol</w:t>
      </w:r>
      <w:r>
        <w:rPr>
          <w:rFonts w:ascii="Times New Roman" w:eastAsia="Times New Roman" w:hAnsi="Times New Roman" w:cs="Times New Roman"/>
        </w:rPr>
        <w:t xml:space="preserve">, enabling up to </w:t>
      </w:r>
      <w:r>
        <w:rPr>
          <w:rFonts w:ascii="Times New Roman" w:eastAsia="Times New Roman" w:hAnsi="Times New Roman" w:cs="Times New Roman"/>
          <w:b/>
        </w:rPr>
        <w:t>28–56 scheduled UEs/TTI</w:t>
      </w:r>
      <w:r>
        <w:rPr>
          <w:rFonts w:ascii="Times New Roman" w:eastAsia="Times New Roman" w:hAnsi="Times New Roman" w:cs="Times New Roman"/>
        </w:rPr>
        <w:t xml:space="preserve"> (illustrative).</w:t>
      </w:r>
    </w:p>
    <w:p w14:paraId="673318D3" w14:textId="77777777" w:rsidR="00982A51" w:rsidRDefault="00000000">
      <w:pPr>
        <w:numPr>
          <w:ilvl w:val="0"/>
          <w:numId w:val="5"/>
        </w:numPr>
        <w:jc w:val="both"/>
      </w:pP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b/>
        </w:rPr>
        <w:t>default 2-port DMRS</w:t>
      </w:r>
      <w:r>
        <w:rPr>
          <w:rFonts w:ascii="Times New Roman" w:eastAsia="Times New Roman" w:hAnsi="Times New Roman" w:cs="Times New Roman"/>
        </w:rPr>
        <w:t xml:space="preserve"> (H/V) supports single-layer or 2-layer SU-MIMO without cross-polarization precoding (ports are polarization-separated).</w:t>
      </w:r>
    </w:p>
    <w:p w14:paraId="2E4C3D88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pict w14:anchorId="1B3778E8">
          <v:rect id="_x0000_i1029" style="width:0;height:1.5pt" o:hralign="center" o:hrstd="t" o:hr="t" fillcolor="#a0a0a0" stroked="f"/>
        </w:pict>
      </w:r>
    </w:p>
    <w:p w14:paraId="3DE14CF1" w14:textId="77777777" w:rsidR="00982A51" w:rsidRDefault="00000000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5. Architecture Option A — Low-Cost Split RU (O-RAN 7.2A Compatible)</w:t>
      </w:r>
    </w:p>
    <w:p w14:paraId="07519EC8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 representative low-cost macro architecture (aligned with </w:t>
      </w:r>
      <w:r>
        <w:rPr>
          <w:rFonts w:ascii="Times New Roman" w:eastAsia="Times New Roman" w:hAnsi="Times New Roman" w:cs="Times New Roman"/>
          <w:b/>
        </w:rPr>
        <w:t>O-RAN FH split 7.2A</w:t>
      </w:r>
      <w:r>
        <w:rPr>
          <w:rFonts w:ascii="Times New Roman" w:eastAsia="Times New Roman" w:hAnsi="Times New Roman" w:cs="Times New Roman"/>
        </w:rPr>
        <w:t>):</w:t>
      </w:r>
    </w:p>
    <w:p w14:paraId="61452157" w14:textId="77777777" w:rsidR="00982A51" w:rsidRDefault="00000000">
      <w:pPr>
        <w:numPr>
          <w:ilvl w:val="0"/>
          <w:numId w:val="6"/>
        </w:numPr>
        <w:jc w:val="both"/>
      </w:pPr>
      <w:r>
        <w:rPr>
          <w:rFonts w:ascii="Times New Roman" w:eastAsia="Times New Roman" w:hAnsi="Times New Roman" w:cs="Times New Roman"/>
          <w:b/>
        </w:rPr>
        <w:t>Single RU</w:t>
      </w:r>
      <w:r>
        <w:rPr>
          <w:rFonts w:ascii="Times New Roman" w:eastAsia="Times New Roman" w:hAnsi="Times New Roman" w:cs="Times New Roman"/>
        </w:rPr>
        <w:t xml:space="preserve"> with ≥8 antenna ports (dual-pol H/V) feeding </w:t>
      </w:r>
      <w:r>
        <w:rPr>
          <w:rFonts w:ascii="Times New Roman" w:eastAsia="Times New Roman" w:hAnsi="Times New Roman" w:cs="Times New Roman"/>
          <w:b/>
        </w:rPr>
        <w:t>2–4 sectors/beams</w:t>
      </w:r>
      <w:r>
        <w:rPr>
          <w:rFonts w:ascii="Times New Roman" w:eastAsia="Times New Roman" w:hAnsi="Times New Roman" w:cs="Times New Roman"/>
        </w:rPr>
        <w:t xml:space="preserve"> via external panels.</w:t>
      </w:r>
    </w:p>
    <w:p w14:paraId="341CF9C5" w14:textId="77777777" w:rsidR="00982A51" w:rsidRDefault="00000000">
      <w:pPr>
        <w:numPr>
          <w:ilvl w:val="0"/>
          <w:numId w:val="6"/>
        </w:numPr>
        <w:jc w:val="both"/>
      </w:pPr>
      <w:r>
        <w:rPr>
          <w:rFonts w:ascii="Times New Roman" w:eastAsia="Times New Roman" w:hAnsi="Times New Roman" w:cs="Times New Roman"/>
          <w:b/>
        </w:rPr>
        <w:t>PHY:</w:t>
      </w:r>
      <w:r>
        <w:rPr>
          <w:rFonts w:ascii="Times New Roman" w:eastAsia="Times New Roman" w:hAnsi="Times New Roman" w:cs="Times New Roman"/>
        </w:rPr>
        <w:t xml:space="preserve"> Dual-waveform baseband; low-PAPR by default; </w:t>
      </w:r>
      <w:r>
        <w:rPr>
          <w:rFonts w:ascii="Times New Roman" w:eastAsia="Times New Roman" w:hAnsi="Times New Roman" w:cs="Times New Roman"/>
          <w:b/>
        </w:rPr>
        <w:t>CP-OFDM</w:t>
      </w:r>
      <w:r>
        <w:rPr>
          <w:rFonts w:ascii="Times New Roman" w:eastAsia="Times New Roman" w:hAnsi="Times New Roman" w:cs="Times New Roman"/>
        </w:rPr>
        <w:t xml:space="preserve"> enabled for capacity bursts.</w:t>
      </w:r>
    </w:p>
    <w:p w14:paraId="56A6DB5F" w14:textId="77777777" w:rsidR="00982A51" w:rsidRDefault="00000000">
      <w:pPr>
        <w:numPr>
          <w:ilvl w:val="0"/>
          <w:numId w:val="6"/>
        </w:numPr>
        <w:jc w:val="both"/>
      </w:pPr>
      <w:r>
        <w:rPr>
          <w:rFonts w:ascii="Times New Roman" w:eastAsia="Times New Roman" w:hAnsi="Times New Roman" w:cs="Times New Roman"/>
          <w:b/>
        </w:rPr>
        <w:t>Modes:</w:t>
      </w:r>
    </w:p>
    <w:p w14:paraId="5A3ABF6D" w14:textId="77777777" w:rsidR="00982A51" w:rsidRDefault="00000000">
      <w:pPr>
        <w:numPr>
          <w:ilvl w:val="1"/>
          <w:numId w:val="6"/>
        </w:numPr>
        <w:jc w:val="both"/>
      </w:pPr>
      <w:r>
        <w:rPr>
          <w:rFonts w:ascii="Times New Roman" w:eastAsia="Times New Roman" w:hAnsi="Times New Roman" w:cs="Times New Roman"/>
          <w:b/>
        </w:rPr>
        <w:t>SU-MIMO:</w:t>
      </w:r>
      <w:r>
        <w:rPr>
          <w:rFonts w:ascii="Times New Roman" w:eastAsia="Times New Roman" w:hAnsi="Times New Roman" w:cs="Times New Roman"/>
        </w:rPr>
        <w:t xml:space="preserve"> 1–2 layers via H/V polarization and low PAPR Waveform.</w:t>
      </w:r>
    </w:p>
    <w:p w14:paraId="1ACE925D" w14:textId="77777777" w:rsidR="00982A51" w:rsidRDefault="00000000">
      <w:pPr>
        <w:numPr>
          <w:ilvl w:val="1"/>
          <w:numId w:val="6"/>
        </w:numPr>
        <w:jc w:val="both"/>
      </w:pPr>
      <w:r>
        <w:rPr>
          <w:rFonts w:ascii="Times New Roman" w:eastAsia="Times New Roman" w:hAnsi="Times New Roman" w:cs="Times New Roman"/>
          <w:b/>
        </w:rPr>
        <w:t>MU-MIMO:</w:t>
      </w:r>
      <w:r>
        <w:rPr>
          <w:rFonts w:ascii="Times New Roman" w:eastAsia="Times New Roman" w:hAnsi="Times New Roman" w:cs="Times New Roman"/>
        </w:rPr>
        <w:t xml:space="preserve"> activated with CP-OFDM as needed.</w:t>
      </w:r>
    </w:p>
    <w:p w14:paraId="01D1C47E" w14:textId="77777777" w:rsidR="00982A51" w:rsidRDefault="00000000">
      <w:pPr>
        <w:numPr>
          <w:ilvl w:val="1"/>
          <w:numId w:val="6"/>
        </w:numPr>
        <w:jc w:val="both"/>
      </w:pPr>
      <w:r>
        <w:rPr>
          <w:rFonts w:ascii="Times New Roman" w:eastAsia="Times New Roman" w:hAnsi="Times New Roman" w:cs="Times New Roman"/>
          <w:b/>
        </w:rPr>
        <w:t>CSI:</w:t>
      </w:r>
      <w:r>
        <w:rPr>
          <w:rFonts w:ascii="Times New Roman" w:eastAsia="Times New Roman" w:hAnsi="Times New Roman" w:cs="Times New Roman"/>
        </w:rPr>
        <w:t xml:space="preserve"> CSI-RS/SRS with explicit CSI feedback and/or calibration.</w:t>
      </w:r>
    </w:p>
    <w:p w14:paraId="676BCCEB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lastRenderedPageBreak/>
        <w:pict w14:anchorId="3A261BF9">
          <v:rect id="_x0000_i1030" style="width:0;height:1.5pt" o:hralign="center" o:hrstd="t" o:hr="t" fillcolor="#a0a0a0" stroked="f"/>
        </w:pict>
      </w:r>
    </w:p>
    <w:p w14:paraId="2DA14797" w14:textId="77777777" w:rsidR="00982A51" w:rsidRDefault="00982A51">
      <w:pPr>
        <w:jc w:val="both"/>
        <w:rPr>
          <w:rFonts w:ascii="Times New Roman" w:eastAsia="Times New Roman" w:hAnsi="Times New Roman" w:cs="Times New Roman"/>
          <w:b/>
        </w:rPr>
      </w:pPr>
    </w:p>
    <w:p w14:paraId="1F442BC6" w14:textId="77777777" w:rsidR="00982A51" w:rsidRDefault="00000000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6. Architecture Option B — Upper-Midband Massive MIMO (e.g., 64T/128T)</w:t>
      </w:r>
    </w:p>
    <w:p w14:paraId="154FFC16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For high-port-count systems (64T/64R to 128T/128R), the </w:t>
      </w:r>
      <w:r>
        <w:rPr>
          <w:rFonts w:ascii="Times New Roman" w:eastAsia="Times New Roman" w:hAnsi="Times New Roman" w:cs="Times New Roman"/>
          <w:b/>
        </w:rPr>
        <w:t>same dual-waveform</w:t>
      </w:r>
      <w:r>
        <w:rPr>
          <w:rFonts w:ascii="Times New Roman" w:eastAsia="Times New Roman" w:hAnsi="Times New Roman" w:cs="Times New Roman"/>
        </w:rPr>
        <w:t xml:space="preserve"> principles apply:</w:t>
      </w:r>
    </w:p>
    <w:p w14:paraId="38869177" w14:textId="77777777" w:rsidR="00982A51" w:rsidRDefault="00000000">
      <w:pPr>
        <w:numPr>
          <w:ilvl w:val="0"/>
          <w:numId w:val="7"/>
        </w:numPr>
        <w:jc w:val="both"/>
      </w:pPr>
      <w:r>
        <w:rPr>
          <w:rFonts w:ascii="Times New Roman" w:eastAsia="Times New Roman" w:hAnsi="Times New Roman" w:cs="Times New Roman"/>
        </w:rPr>
        <w:t xml:space="preserve">For low-order modulations, </w:t>
      </w:r>
      <w:r>
        <w:rPr>
          <w:rFonts w:ascii="Times New Roman" w:eastAsia="Times New Roman" w:hAnsi="Times New Roman" w:cs="Times New Roman"/>
          <w:b/>
        </w:rPr>
        <w:t>dimension PAs</w:t>
      </w:r>
      <w:r>
        <w:rPr>
          <w:rFonts w:ascii="Times New Roman" w:eastAsia="Times New Roman" w:hAnsi="Times New Roman" w:cs="Times New Roman"/>
        </w:rPr>
        <w:t xml:space="preserve"> so saturation ≈ average power → </w:t>
      </w:r>
      <w:r>
        <w:rPr>
          <w:rFonts w:ascii="Times New Roman" w:eastAsia="Times New Roman" w:hAnsi="Times New Roman" w:cs="Times New Roman"/>
          <w:b/>
        </w:rPr>
        <w:t>zero/low back-off</w:t>
      </w:r>
      <w:r>
        <w:rPr>
          <w:rFonts w:ascii="Times New Roman" w:eastAsia="Times New Roman" w:hAnsi="Times New Roman" w:cs="Times New Roman"/>
        </w:rPr>
        <w:t>.</w:t>
      </w:r>
    </w:p>
    <w:p w14:paraId="1D8741EC" w14:textId="77777777" w:rsidR="00982A51" w:rsidRDefault="00000000">
      <w:pPr>
        <w:numPr>
          <w:ilvl w:val="0"/>
          <w:numId w:val="7"/>
        </w:numPr>
        <w:jc w:val="both"/>
      </w:pPr>
      <w:r>
        <w:rPr>
          <w:rFonts w:ascii="Times New Roman" w:eastAsia="Times New Roman" w:hAnsi="Times New Roman" w:cs="Times New Roman"/>
        </w:rPr>
        <w:t xml:space="preserve">For higher-order modulations, </w:t>
      </w:r>
      <w:r>
        <w:rPr>
          <w:rFonts w:ascii="Times New Roman" w:eastAsia="Times New Roman" w:hAnsi="Times New Roman" w:cs="Times New Roman"/>
          <w:b/>
        </w:rPr>
        <w:t>selective back-off</w:t>
      </w:r>
      <w:r>
        <w:rPr>
          <w:rFonts w:ascii="Times New Roman" w:eastAsia="Times New Roman" w:hAnsi="Times New Roman" w:cs="Times New Roman"/>
        </w:rPr>
        <w:t xml:space="preserve"> only for capacity-critical traffic.</w:t>
      </w:r>
    </w:p>
    <w:p w14:paraId="68F8BD58" w14:textId="77777777" w:rsidR="00982A51" w:rsidRDefault="00000000">
      <w:pPr>
        <w:numPr>
          <w:ilvl w:val="0"/>
          <w:numId w:val="7"/>
        </w:numPr>
        <w:jc w:val="both"/>
      </w:pPr>
      <w:r>
        <w:rPr>
          <w:rFonts w:ascii="Times New Roman" w:eastAsia="Times New Roman" w:hAnsi="Times New Roman" w:cs="Times New Roman"/>
          <w:b/>
        </w:rPr>
        <w:t>CP-OFDM</w:t>
      </w:r>
      <w:r>
        <w:rPr>
          <w:rFonts w:ascii="Times New Roman" w:eastAsia="Times New Roman" w:hAnsi="Times New Roman" w:cs="Times New Roman"/>
        </w:rPr>
        <w:t xml:space="preserve"> is used tactically (MU-MIMO, high spectral-efficiency bursts); </w:t>
      </w:r>
      <w:r>
        <w:rPr>
          <w:rFonts w:ascii="Times New Roman" w:eastAsia="Times New Roman" w:hAnsi="Times New Roman" w:cs="Times New Roman"/>
          <w:b/>
        </w:rPr>
        <w:t>low-PAPR</w:t>
      </w:r>
      <w:r>
        <w:rPr>
          <w:rFonts w:ascii="Times New Roman" w:eastAsia="Times New Roman" w:hAnsi="Times New Roman" w:cs="Times New Roman"/>
        </w:rPr>
        <w:t xml:space="preserve"> maximizes coverage/energy efficiency otherwise.</w:t>
      </w:r>
    </w:p>
    <w:p w14:paraId="2984C52B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This yields a tunable </w:t>
      </w:r>
      <w:r>
        <w:rPr>
          <w:rFonts w:ascii="Times New Roman" w:eastAsia="Times New Roman" w:hAnsi="Times New Roman" w:cs="Times New Roman"/>
          <w:b/>
        </w:rPr>
        <w:t>coverage–capacity–cost</w:t>
      </w:r>
      <w:r>
        <w:rPr>
          <w:rFonts w:ascii="Times New Roman" w:eastAsia="Times New Roman" w:hAnsi="Times New Roman" w:cs="Times New Roman"/>
        </w:rPr>
        <w:t xml:space="preserve"> trade-off while preserving macro-class performance.</w:t>
      </w:r>
    </w:p>
    <w:p w14:paraId="658CC12F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pict w14:anchorId="630BE211">
          <v:rect id="_x0000_i1031" style="width:0;height:1.5pt" o:hralign="center" o:hrstd="t" o:hr="t" fillcolor="#a0a0a0" stroked="f"/>
        </w:pict>
      </w:r>
    </w:p>
    <w:p w14:paraId="63DC1B9D" w14:textId="77777777" w:rsidR="00982A51" w:rsidRDefault="00000000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7. Architecture Option C — Single-RU, 360° Coverage Massive MIMO</w:t>
      </w:r>
    </w:p>
    <w:p w14:paraId="0E1C3353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To avoid the cost of multiple sectorized RUs, deploy a </w:t>
      </w:r>
      <w:r>
        <w:rPr>
          <w:rFonts w:ascii="Times New Roman" w:eastAsia="Times New Roman" w:hAnsi="Times New Roman" w:cs="Times New Roman"/>
          <w:b/>
        </w:rPr>
        <w:t>single RU with integrated 360° antenna</w:t>
      </w:r>
      <w:r>
        <w:rPr>
          <w:rFonts w:ascii="Times New Roman" w:eastAsia="Times New Roman" w:hAnsi="Times New Roman" w:cs="Times New Roman"/>
        </w:rPr>
        <w:t xml:space="preserve"> (e.g., cylindrical array or azimuthal panels within the RU chassis):</w:t>
      </w:r>
    </w:p>
    <w:p w14:paraId="6AE9B018" w14:textId="77777777" w:rsidR="00982A51" w:rsidRDefault="00000000">
      <w:pPr>
        <w:numPr>
          <w:ilvl w:val="0"/>
          <w:numId w:val="8"/>
        </w:numPr>
        <w:jc w:val="both"/>
      </w:pPr>
      <w:r>
        <w:rPr>
          <w:rFonts w:ascii="Times New Roman" w:eastAsia="Times New Roman" w:hAnsi="Times New Roman" w:cs="Times New Roman"/>
        </w:rPr>
        <w:t xml:space="preserve">Re-purposes available antenna ports for </w:t>
      </w:r>
      <w:r>
        <w:rPr>
          <w:rFonts w:ascii="Times New Roman" w:eastAsia="Times New Roman" w:hAnsi="Times New Roman" w:cs="Times New Roman"/>
          <w:b/>
        </w:rPr>
        <w:t>site-wide coverage</w:t>
      </w:r>
      <w:r>
        <w:rPr>
          <w:rFonts w:ascii="Times New Roman" w:eastAsia="Times New Roman" w:hAnsi="Times New Roman" w:cs="Times New Roman"/>
        </w:rPr>
        <w:t xml:space="preserve">; TDD reciprocity calibration and massive-MIMO processing are </w:t>
      </w:r>
      <w:r>
        <w:rPr>
          <w:rFonts w:ascii="Times New Roman" w:eastAsia="Times New Roman" w:hAnsi="Times New Roman" w:cs="Times New Roman"/>
          <w:b/>
        </w:rPr>
        <w:t>built-in</w:t>
      </w:r>
      <w:r>
        <w:rPr>
          <w:rFonts w:ascii="Times New Roman" w:eastAsia="Times New Roman" w:hAnsi="Times New Roman" w:cs="Times New Roman"/>
        </w:rPr>
        <w:t>.</w:t>
      </w:r>
    </w:p>
    <w:p w14:paraId="22158AB9" w14:textId="77777777" w:rsidR="00982A51" w:rsidRDefault="00000000">
      <w:pPr>
        <w:numPr>
          <w:ilvl w:val="0"/>
          <w:numId w:val="8"/>
        </w:numPr>
        <w:jc w:val="both"/>
      </w:pPr>
      <w:r>
        <w:rPr>
          <w:rFonts w:ascii="Times New Roman" w:eastAsia="Times New Roman" w:hAnsi="Times New Roman" w:cs="Times New Roman"/>
        </w:rPr>
        <w:t xml:space="preserve">Combined with low-PAPR, </w:t>
      </w:r>
      <w:r>
        <w:rPr>
          <w:rFonts w:ascii="Times New Roman" w:eastAsia="Times New Roman" w:hAnsi="Times New Roman" w:cs="Times New Roman"/>
          <w:b/>
        </w:rPr>
        <w:t>recovers PA back-off</w:t>
      </w:r>
      <w:r>
        <w:rPr>
          <w:rFonts w:ascii="Times New Roman" w:eastAsia="Times New Roman" w:hAnsi="Times New Roman" w:cs="Times New Roman"/>
        </w:rPr>
        <w:t xml:space="preserve">, increasing effective EIRP; a </w:t>
      </w:r>
      <w:r>
        <w:rPr>
          <w:rFonts w:ascii="Times New Roman" w:eastAsia="Times New Roman" w:hAnsi="Times New Roman" w:cs="Times New Roman"/>
          <w:b/>
        </w:rPr>
        <w:t>single DU–single RU</w:t>
      </w:r>
      <w:r>
        <w:rPr>
          <w:rFonts w:ascii="Times New Roman" w:eastAsia="Times New Roman" w:hAnsi="Times New Roman" w:cs="Times New Roman"/>
        </w:rPr>
        <w:t xml:space="preserve"> can cover </w:t>
      </w:r>
      <w:r>
        <w:rPr>
          <w:rFonts w:ascii="Times New Roman" w:eastAsia="Times New Roman" w:hAnsi="Times New Roman" w:cs="Times New Roman"/>
          <w:b/>
        </w:rPr>
        <w:t>360°</w:t>
      </w:r>
      <w:r>
        <w:rPr>
          <w:rFonts w:ascii="Times New Roman" w:eastAsia="Times New Roman" w:hAnsi="Times New Roman" w:cs="Times New Roman"/>
        </w:rPr>
        <w:t xml:space="preserve"> with sufficient control-channel capacity for the target load.</w:t>
      </w:r>
    </w:p>
    <w:p w14:paraId="2F779461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pict w14:anchorId="59EC925F">
          <v:rect id="_x0000_i1032" style="width:0;height:1.5pt" o:hralign="center" o:hrstd="t" o:hr="t" fillcolor="#a0a0a0" stroked="f"/>
        </w:pict>
      </w:r>
    </w:p>
    <w:p w14:paraId="1984176C" w14:textId="77777777" w:rsidR="00982A51" w:rsidRDefault="00000000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8. Spectrum Efficiency and Uplink Options</w:t>
      </w:r>
    </w:p>
    <w:p w14:paraId="7B8336F7" w14:textId="77777777" w:rsidR="00982A51" w:rsidRDefault="00000000">
      <w:pPr>
        <w:numPr>
          <w:ilvl w:val="0"/>
          <w:numId w:val="9"/>
        </w:numPr>
        <w:jc w:val="both"/>
      </w:pPr>
      <w:r>
        <w:rPr>
          <w:rFonts w:ascii="Times New Roman" w:eastAsia="Times New Roman" w:hAnsi="Times New Roman" w:cs="Times New Roman"/>
          <w:b/>
        </w:rPr>
        <w:t>Dynamic waveform switching</w:t>
      </w:r>
      <w:r>
        <w:rPr>
          <w:rFonts w:ascii="Times New Roman" w:eastAsia="Times New Roman" w:hAnsi="Times New Roman" w:cs="Times New Roman"/>
        </w:rPr>
        <w:t xml:space="preserve"> per service/latency/throughput need.</w:t>
      </w:r>
    </w:p>
    <w:p w14:paraId="73E08C6D" w14:textId="77777777" w:rsidR="00982A51" w:rsidRDefault="00000000">
      <w:pPr>
        <w:numPr>
          <w:ilvl w:val="0"/>
          <w:numId w:val="9"/>
        </w:numPr>
        <w:jc w:val="both"/>
      </w:pPr>
      <w:r>
        <w:rPr>
          <w:rFonts w:ascii="Times New Roman" w:eastAsia="Times New Roman" w:hAnsi="Times New Roman" w:cs="Times New Roman"/>
          <w:b/>
        </w:rPr>
        <w:t>Feature selectivity:</w:t>
      </w:r>
      <w:r>
        <w:rPr>
          <w:rFonts w:ascii="Times New Roman" w:eastAsia="Times New Roman" w:hAnsi="Times New Roman" w:cs="Times New Roman"/>
        </w:rPr>
        <w:t xml:space="preserve"> DMRS/CSI-RS/PDSCH activation tuned to coverage and load.</w:t>
      </w:r>
    </w:p>
    <w:p w14:paraId="0878249E" w14:textId="77777777" w:rsidR="00982A51" w:rsidRDefault="00000000">
      <w:pPr>
        <w:numPr>
          <w:ilvl w:val="0"/>
          <w:numId w:val="9"/>
        </w:numPr>
        <w:jc w:val="both"/>
      </w:pPr>
      <w:r>
        <w:rPr>
          <w:rFonts w:ascii="Times New Roman" w:eastAsia="Times New Roman" w:hAnsi="Times New Roman" w:cs="Times New Roman"/>
          <w:b/>
        </w:rPr>
        <w:t>Uplink:</w:t>
      </w:r>
      <w:r>
        <w:rPr>
          <w:rFonts w:ascii="Times New Roman" w:eastAsia="Times New Roman" w:hAnsi="Times New Roman" w:cs="Times New Roman"/>
        </w:rPr>
        <w:t xml:space="preserve"> 1Tx/2Tx UE options extend reach for rooftop/pole-mounted CPEs; </w:t>
      </w:r>
      <w:r>
        <w:rPr>
          <w:rFonts w:ascii="Times New Roman" w:eastAsia="Times New Roman" w:hAnsi="Times New Roman" w:cs="Times New Roman"/>
          <w:b/>
        </w:rPr>
        <w:t>dual-waveform UL</w:t>
      </w:r>
      <w:r>
        <w:rPr>
          <w:rFonts w:ascii="Times New Roman" w:eastAsia="Times New Roman" w:hAnsi="Times New Roman" w:cs="Times New Roman"/>
        </w:rPr>
        <w:t xml:space="preserve"> (as already in 5G) can be optimized for 6G to balance SU/MU-MIMO against robustness.</w:t>
      </w:r>
    </w:p>
    <w:p w14:paraId="04216DFC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pict w14:anchorId="63B82B70">
          <v:rect id="_x0000_i1033" style="width:0;height:1.5pt" o:hralign="center" o:hrstd="t" o:hr="t" fillcolor="#a0a0a0" stroked="f"/>
        </w:pict>
      </w:r>
    </w:p>
    <w:p w14:paraId="118512F3" w14:textId="77777777" w:rsidR="00982A51" w:rsidRDefault="00000000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9. Multi-RAT Spectrum Sharing</w:t>
      </w:r>
    </w:p>
    <w:p w14:paraId="3934A2CF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Where 6G coexists with 5G in the same band:</w:t>
      </w:r>
    </w:p>
    <w:p w14:paraId="3356B152" w14:textId="77777777" w:rsidR="00982A51" w:rsidRDefault="00000000">
      <w:pPr>
        <w:numPr>
          <w:ilvl w:val="0"/>
          <w:numId w:val="10"/>
        </w:numPr>
        <w:jc w:val="both"/>
      </w:pPr>
      <w:r>
        <w:rPr>
          <w:rFonts w:ascii="Times New Roman" w:eastAsia="Times New Roman" w:hAnsi="Times New Roman" w:cs="Times New Roman"/>
        </w:rPr>
        <w:t xml:space="preserve">Use </w:t>
      </w:r>
      <w:r>
        <w:rPr>
          <w:rFonts w:ascii="Times New Roman" w:eastAsia="Times New Roman" w:hAnsi="Times New Roman" w:cs="Times New Roman"/>
          <w:b/>
        </w:rPr>
        <w:t>CP-OFDM</w:t>
      </w:r>
      <w:r>
        <w:rPr>
          <w:rFonts w:ascii="Times New Roman" w:eastAsia="Times New Roman" w:hAnsi="Times New Roman" w:cs="Times New Roman"/>
        </w:rPr>
        <w:t xml:space="preserve"> to maintain full </w:t>
      </w:r>
      <w:r>
        <w:rPr>
          <w:rFonts w:ascii="Times New Roman" w:eastAsia="Times New Roman" w:hAnsi="Times New Roman" w:cs="Times New Roman"/>
          <w:b/>
        </w:rPr>
        <w:t>spectrum-sharing compatibility</w:t>
      </w:r>
      <w:r>
        <w:rPr>
          <w:rFonts w:ascii="Times New Roman" w:eastAsia="Times New Roman" w:hAnsi="Times New Roman" w:cs="Times New Roman"/>
        </w:rPr>
        <w:t xml:space="preserve"> with legacy 5G.</w:t>
      </w:r>
    </w:p>
    <w:p w14:paraId="0DA99CFE" w14:textId="4A5545F3" w:rsidR="00982A51" w:rsidRDefault="00000000" w:rsidP="00AA225C">
      <w:pPr>
        <w:numPr>
          <w:ilvl w:val="0"/>
          <w:numId w:val="10"/>
        </w:numPr>
        <w:jc w:val="both"/>
      </w:pPr>
      <w:r>
        <w:rPr>
          <w:rFonts w:ascii="Times New Roman" w:eastAsia="Times New Roman" w:hAnsi="Times New Roman" w:cs="Times New Roman"/>
          <w:b/>
        </w:rPr>
        <w:t>Dual-mode 5G/6G RUs</w:t>
      </w:r>
      <w:r>
        <w:rPr>
          <w:rFonts w:ascii="Times New Roman" w:eastAsia="Times New Roman" w:hAnsi="Times New Roman" w:cs="Times New Roman"/>
        </w:rPr>
        <w:t>: extend 6G coverage with low-PAPR for static/FWA users while serving legacy 5G traffic with CP-OFDM.</w:t>
      </w:r>
    </w:p>
    <w:p w14:paraId="3EF863E9" w14:textId="77777777" w:rsidR="00982A51" w:rsidRDefault="00000000">
      <w:pPr>
        <w:jc w:val="both"/>
        <w:rPr>
          <w:rFonts w:ascii="Times New Roman" w:eastAsia="Times New Roman" w:hAnsi="Times New Roman" w:cs="Times New Roman"/>
        </w:rPr>
      </w:pPr>
      <w:r>
        <w:pict w14:anchorId="2B675B3A">
          <v:rect id="_x0000_i1034" style="width:0;height:1.5pt" o:hralign="center" o:hrstd="t" o:hr="t" fillcolor="#a0a0a0" stroked="f"/>
        </w:pict>
      </w:r>
    </w:p>
    <w:p w14:paraId="422FAFE6" w14:textId="13D430F8" w:rsidR="00982A51" w:rsidRPr="00A20289" w:rsidRDefault="00000000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Propos</w:t>
      </w:r>
      <w:r w:rsidR="00A20289">
        <w:rPr>
          <w:rFonts w:ascii="Times New Roman" w:eastAsia="Times New Roman" w:hAnsi="Times New Roman" w:cs="Times New Roman"/>
          <w:b/>
        </w:rPr>
        <w:t xml:space="preserve">al: </w:t>
      </w:r>
      <w:r>
        <w:rPr>
          <w:rFonts w:ascii="Times New Roman" w:eastAsia="Times New Roman" w:hAnsi="Times New Roman" w:cs="Times New Roman"/>
        </w:rPr>
        <w:t xml:space="preserve">We propose that </w:t>
      </w:r>
      <w:r>
        <w:rPr>
          <w:rFonts w:ascii="Times New Roman" w:eastAsia="Times New Roman" w:hAnsi="Times New Roman" w:cs="Times New Roman"/>
          <w:b/>
        </w:rPr>
        <w:t>RAN Plenary</w:t>
      </w:r>
      <w:r>
        <w:rPr>
          <w:rFonts w:ascii="Times New Roman" w:eastAsia="Times New Roman" w:hAnsi="Times New Roman" w:cs="Times New Roman"/>
        </w:rPr>
        <w:t xml:space="preserve"> initiate an SI on </w:t>
      </w:r>
      <w:r>
        <w:rPr>
          <w:rFonts w:ascii="Times New Roman" w:eastAsia="Times New Roman" w:hAnsi="Times New Roman" w:cs="Times New Roman"/>
          <w:b/>
        </w:rPr>
        <w:t>“Low-Cost Macro for Upper Mid-Band (6.425–7.125 GHz)”</w:t>
      </w:r>
      <w:r>
        <w:rPr>
          <w:rFonts w:ascii="Times New Roman" w:eastAsia="Times New Roman" w:hAnsi="Times New Roman" w:cs="Times New Roman"/>
        </w:rPr>
        <w:t xml:space="preserve"> </w:t>
      </w:r>
    </w:p>
    <w:p w14:paraId="2B5EB263" w14:textId="41699209" w:rsidR="00982A51" w:rsidRDefault="00982A51">
      <w:pPr>
        <w:jc w:val="both"/>
        <w:rPr>
          <w:rFonts w:ascii="Times New Roman" w:eastAsia="Times New Roman" w:hAnsi="Times New Roman" w:cs="Times New Roman"/>
        </w:rPr>
      </w:pPr>
    </w:p>
    <w:p w14:paraId="5CF76E0B" w14:textId="77777777" w:rsidR="00982A51" w:rsidRDefault="00982A51">
      <w:pPr>
        <w:jc w:val="both"/>
      </w:pPr>
    </w:p>
    <w:sectPr w:rsidR="00982A51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50740"/>
    <w:multiLevelType w:val="multilevel"/>
    <w:tmpl w:val="95A2CB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0F10266"/>
    <w:multiLevelType w:val="multilevel"/>
    <w:tmpl w:val="4262F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30ED43D4"/>
    <w:multiLevelType w:val="multilevel"/>
    <w:tmpl w:val="BD2E28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393D1EE1"/>
    <w:multiLevelType w:val="multilevel"/>
    <w:tmpl w:val="CEF893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3D8B2B1C"/>
    <w:multiLevelType w:val="multilevel"/>
    <w:tmpl w:val="F5DA34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415770FA"/>
    <w:multiLevelType w:val="multilevel"/>
    <w:tmpl w:val="F842C4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42BC5F4B"/>
    <w:multiLevelType w:val="multilevel"/>
    <w:tmpl w:val="0310EF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45B16524"/>
    <w:multiLevelType w:val="multilevel"/>
    <w:tmpl w:val="DED6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4D8E099F"/>
    <w:multiLevelType w:val="multilevel"/>
    <w:tmpl w:val="B22853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576F028F"/>
    <w:multiLevelType w:val="multilevel"/>
    <w:tmpl w:val="C1B242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6C891ADC"/>
    <w:multiLevelType w:val="multilevel"/>
    <w:tmpl w:val="5DD2D1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6D1176E3"/>
    <w:multiLevelType w:val="multilevel"/>
    <w:tmpl w:val="F11696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838223358">
    <w:abstractNumId w:val="11"/>
  </w:num>
  <w:num w:numId="2" w16cid:durableId="446586820">
    <w:abstractNumId w:val="1"/>
  </w:num>
  <w:num w:numId="3" w16cid:durableId="1339425444">
    <w:abstractNumId w:val="2"/>
  </w:num>
  <w:num w:numId="4" w16cid:durableId="1729376178">
    <w:abstractNumId w:val="6"/>
  </w:num>
  <w:num w:numId="5" w16cid:durableId="1782988584">
    <w:abstractNumId w:val="9"/>
  </w:num>
  <w:num w:numId="6" w16cid:durableId="933056603">
    <w:abstractNumId w:val="4"/>
  </w:num>
  <w:num w:numId="7" w16cid:durableId="1393845999">
    <w:abstractNumId w:val="0"/>
  </w:num>
  <w:num w:numId="8" w16cid:durableId="388961354">
    <w:abstractNumId w:val="3"/>
  </w:num>
  <w:num w:numId="9" w16cid:durableId="2002731544">
    <w:abstractNumId w:val="8"/>
  </w:num>
  <w:num w:numId="10" w16cid:durableId="1483540641">
    <w:abstractNumId w:val="10"/>
  </w:num>
  <w:num w:numId="11" w16cid:durableId="779296014">
    <w:abstractNumId w:val="5"/>
  </w:num>
  <w:num w:numId="12" w16cid:durableId="15574702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A51"/>
    <w:rsid w:val="00052205"/>
    <w:rsid w:val="00201614"/>
    <w:rsid w:val="002A24F7"/>
    <w:rsid w:val="00365324"/>
    <w:rsid w:val="006E054C"/>
    <w:rsid w:val="00786B53"/>
    <w:rsid w:val="00811B5E"/>
    <w:rsid w:val="00982A51"/>
    <w:rsid w:val="00A20289"/>
    <w:rsid w:val="00AA225C"/>
    <w:rsid w:val="00BA35EF"/>
    <w:rsid w:val="00EB560E"/>
    <w:rsid w:val="00EF27C1"/>
    <w:rsid w:val="00F1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CFD4C"/>
  <w15:docId w15:val="{04D893A4-085C-45DD-B3F0-0D0B6A0D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5103</Characters>
  <Application>Microsoft Office Word</Application>
  <DocSecurity>0</DocSecurity>
  <Lines>42</Lines>
  <Paragraphs>11</Paragraphs>
  <ScaleCrop>false</ScaleCrop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kiran kumar kuchi</cp:lastModifiedBy>
  <cp:revision>2</cp:revision>
  <dcterms:created xsi:type="dcterms:W3CDTF">2025-09-03T14:46:00Z</dcterms:created>
  <dcterms:modified xsi:type="dcterms:W3CDTF">2025-09-03T14:46:00Z</dcterms:modified>
</cp:coreProperties>
</file>