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D0" w:rsidRDefault="008F03D0" w:rsidP="008F03D0">
      <w:pPr>
        <w:overflowPunct/>
        <w:autoSpaceDE/>
        <w:adjustRightInd/>
        <w:snapToGrid w:val="0"/>
        <w:spacing w:after="120"/>
        <w:rPr>
          <w:rFonts w:eastAsia="宋体"/>
          <w:b/>
          <w:sz w:val="21"/>
          <w:szCs w:val="21"/>
          <w:u w:val="single"/>
          <w:lang w:eastAsia="zh-CN"/>
        </w:rPr>
      </w:pPr>
      <w:bookmarkStart w:id="0" w:name="_GoBack"/>
      <w:r>
        <w:rPr>
          <w:rFonts w:eastAsia="宋体"/>
          <w:b/>
          <w:sz w:val="21"/>
          <w:szCs w:val="21"/>
          <w:u w:val="single"/>
        </w:rPr>
        <w:t>Issue 1-1-a</w:t>
      </w:r>
      <w:bookmarkEnd w:id="0"/>
      <w:r>
        <w:rPr>
          <w:rFonts w:eastAsia="宋体"/>
          <w:b/>
          <w:sz w:val="21"/>
          <w:szCs w:val="21"/>
          <w:u w:val="single"/>
        </w:rPr>
        <w:t>: How to specify requirements for “with time window based with eventInstanceCount-r19” if option 2 in Issue 1-1-1 is supported?</w:t>
      </w:r>
    </w:p>
    <w:p w:rsidR="008F03D0" w:rsidRDefault="008F03D0" w:rsidP="008F03D0">
      <w:pPr>
        <w:snapToGrid w:val="0"/>
        <w:spacing w:after="120"/>
        <w:rPr>
          <w:rFonts w:eastAsia="等线"/>
          <w:sz w:val="21"/>
          <w:szCs w:val="21"/>
          <w:highlight w:val="green"/>
          <w:lang w:val="en-US" w:eastAsia="zh-CN"/>
        </w:rPr>
      </w:pPr>
      <w:r>
        <w:rPr>
          <w:rFonts w:eastAsia="等线"/>
          <w:sz w:val="21"/>
          <w:szCs w:val="21"/>
          <w:highlight w:val="green"/>
          <w:lang w:val="en-US" w:eastAsia="zh-CN"/>
        </w:rPr>
        <w:t>Agreement:</w:t>
      </w:r>
    </w:p>
    <w:p w:rsidR="008F03D0" w:rsidRDefault="008F03D0" w:rsidP="008F03D0">
      <w:pPr>
        <w:snapToGrid w:val="0"/>
        <w:spacing w:after="120"/>
        <w:ind w:leftChars="100" w:left="200"/>
        <w:rPr>
          <w:sz w:val="21"/>
          <w:szCs w:val="21"/>
          <w:highlight w:val="green"/>
          <w:lang w:eastAsia="en-US"/>
        </w:rPr>
      </w:pPr>
      <w:r>
        <w:rPr>
          <w:sz w:val="21"/>
          <w:szCs w:val="21"/>
          <w:highlight w:val="green"/>
        </w:rPr>
        <w:t>For the window-based solution:</w:t>
      </w:r>
    </w:p>
    <w:p w:rsidR="008F03D0" w:rsidRDefault="008F03D0" w:rsidP="008F03D0">
      <w:pPr>
        <w:snapToGrid w:val="0"/>
        <w:spacing w:after="120"/>
        <w:ind w:leftChars="100" w:left="200"/>
        <w:rPr>
          <w:bCs/>
          <w:iCs/>
          <w:noProof/>
          <w:sz w:val="21"/>
          <w:szCs w:val="21"/>
          <w:highlight w:val="green"/>
          <w:lang w:val="en-US"/>
        </w:rPr>
      </w:pPr>
      <w:r>
        <w:rPr>
          <w:bCs/>
          <w:noProof/>
          <w:sz w:val="21"/>
          <w:szCs w:val="21"/>
          <w:highlight w:val="green"/>
          <w:lang w:val="en-US"/>
        </w:rPr>
        <w:t xml:space="preserve">if </w:t>
      </w:r>
      <w:r>
        <w:rPr>
          <w:bCs/>
          <w:iCs/>
          <w:noProof/>
          <w:sz w:val="21"/>
          <w:szCs w:val="21"/>
          <w:highlight w:val="green"/>
          <w:lang w:val="en-US"/>
        </w:rPr>
        <w:t xml:space="preserve">eventDetectionTimeWindowLength-r19 </w:t>
      </w:r>
      <w:r>
        <w:rPr>
          <w:bCs/>
          <w:noProof/>
          <w:sz w:val="21"/>
          <w:szCs w:val="21"/>
          <w:highlight w:val="green"/>
          <w:lang w:val="en-US"/>
        </w:rPr>
        <w:t>is provided</w:t>
      </w:r>
      <w:r>
        <w:rPr>
          <w:sz w:val="21"/>
          <w:szCs w:val="21"/>
          <w:highlight w:val="green"/>
        </w:rPr>
        <w:t>, the event triggered measurement reporting delay shall be no larger than (</w:t>
      </w:r>
      <w:r>
        <w:rPr>
          <w:bCs/>
          <w:iCs/>
          <w:noProof/>
          <w:sz w:val="21"/>
          <w:szCs w:val="21"/>
          <w:highlight w:val="green"/>
          <w:lang w:val="en-US"/>
        </w:rPr>
        <w:t>eventInstanceCount-r19 + L) * T</w:t>
      </w:r>
      <w:r>
        <w:rPr>
          <w:bCs/>
          <w:iCs/>
          <w:noProof/>
          <w:sz w:val="21"/>
          <w:szCs w:val="21"/>
          <w:highlight w:val="green"/>
          <w:vertAlign w:val="subscript"/>
          <w:lang w:val="en-US"/>
        </w:rPr>
        <w:t xml:space="preserve">L1-meas_basic </w:t>
      </w:r>
      <w:r>
        <w:rPr>
          <w:bCs/>
          <w:iCs/>
          <w:noProof/>
          <w:sz w:val="21"/>
          <w:szCs w:val="21"/>
          <w:highlight w:val="green"/>
          <w:lang w:val="en-US"/>
        </w:rPr>
        <w:t>+</w:t>
      </w:r>
      <w:r>
        <w:rPr>
          <w:rFonts w:eastAsia="PMingLiU" w:cstheme="minorHAnsi"/>
          <w:sz w:val="21"/>
          <w:szCs w:val="21"/>
          <w:highlight w:val="green"/>
          <w:lang w:val="en-US"/>
        </w:rPr>
        <w:t xml:space="preserve"> </w:t>
      </w:r>
      <w:r>
        <w:rPr>
          <w:rFonts w:eastAsia="PMingLiU" w:cstheme="minorHAnsi"/>
          <w:sz w:val="21"/>
          <w:szCs w:val="21"/>
          <w:highlight w:val="green"/>
        </w:rPr>
        <w:t>T</w:t>
      </w:r>
      <w:r>
        <w:rPr>
          <w:rFonts w:eastAsia="PMingLiU" w:cstheme="minorHAnsi"/>
          <w:sz w:val="21"/>
          <w:szCs w:val="21"/>
          <w:highlight w:val="green"/>
          <w:vertAlign w:val="subscript"/>
        </w:rPr>
        <w:t>first UL channel</w:t>
      </w:r>
    </w:p>
    <w:p w:rsidR="008F03D0" w:rsidRDefault="008F03D0" w:rsidP="008F03D0">
      <w:pPr>
        <w:snapToGrid w:val="0"/>
        <w:spacing w:after="120"/>
        <w:ind w:leftChars="200" w:left="400"/>
        <w:rPr>
          <w:bCs/>
          <w:iCs/>
          <w:noProof/>
          <w:sz w:val="21"/>
          <w:szCs w:val="21"/>
          <w:highlight w:val="green"/>
          <w:lang w:val="en-US" w:eastAsia="zh-CN"/>
        </w:rPr>
      </w:pPr>
      <w:r>
        <w:rPr>
          <w:bCs/>
          <w:iCs/>
          <w:noProof/>
          <w:sz w:val="21"/>
          <w:szCs w:val="21"/>
          <w:highlight w:val="green"/>
          <w:lang w:val="en-US" w:eastAsia="zh-CN"/>
        </w:rPr>
        <w:t>- eventInstanceCount-r19 is configured by NW</w:t>
      </w:r>
    </w:p>
    <w:p w:rsidR="008F03D0" w:rsidRDefault="008F03D0" w:rsidP="008F03D0">
      <w:pPr>
        <w:snapToGrid w:val="0"/>
        <w:spacing w:after="120"/>
        <w:ind w:leftChars="200" w:left="400"/>
        <w:rPr>
          <w:bCs/>
          <w:iCs/>
          <w:noProof/>
          <w:sz w:val="21"/>
          <w:szCs w:val="21"/>
          <w:highlight w:val="green"/>
          <w:lang w:val="en-US"/>
        </w:rPr>
      </w:pPr>
      <w:r>
        <w:rPr>
          <w:bCs/>
          <w:iCs/>
          <w:noProof/>
          <w:sz w:val="21"/>
          <w:szCs w:val="21"/>
          <w:highlight w:val="green"/>
          <w:lang w:val="en-US" w:eastAsia="zh-CN"/>
        </w:rPr>
        <w:t xml:space="preserve">- L is the number of measurement instances which do not meet the condtion of the event after the counter is started, L does not exceed </w:t>
      </w:r>
      <w:r>
        <w:rPr>
          <w:bCs/>
          <w:iCs/>
          <w:noProof/>
          <w:sz w:val="21"/>
          <w:szCs w:val="21"/>
          <w:highlight w:val="green"/>
          <w:lang w:val="en-US"/>
        </w:rPr>
        <w:t>eventInstanceCount-r19</w:t>
      </w:r>
    </w:p>
    <w:p w:rsidR="008F03D0" w:rsidRDefault="008F03D0" w:rsidP="008F03D0">
      <w:pPr>
        <w:snapToGrid w:val="0"/>
        <w:spacing w:after="120"/>
        <w:ind w:leftChars="400" w:left="800"/>
        <w:rPr>
          <w:bCs/>
          <w:iCs/>
          <w:noProof/>
          <w:sz w:val="21"/>
          <w:szCs w:val="21"/>
          <w:highlight w:val="green"/>
          <w:u w:val="single"/>
          <w:lang w:val="en-US" w:eastAsia="zh-CN"/>
        </w:rPr>
      </w:pPr>
      <w:r>
        <w:rPr>
          <w:bCs/>
          <w:iCs/>
          <w:noProof/>
          <w:sz w:val="21"/>
          <w:szCs w:val="21"/>
          <w:highlight w:val="green"/>
          <w:u w:val="single"/>
          <w:lang w:val="en-US"/>
        </w:rPr>
        <w:t>Note: the wording for L definition can be further refined.</w:t>
      </w:r>
    </w:p>
    <w:p w:rsidR="008F03D0" w:rsidRDefault="008F03D0" w:rsidP="008F03D0">
      <w:pPr>
        <w:snapToGrid w:val="0"/>
        <w:spacing w:after="120"/>
        <w:ind w:leftChars="200" w:left="400"/>
        <w:rPr>
          <w:bCs/>
          <w:iCs/>
          <w:noProof/>
          <w:sz w:val="21"/>
          <w:szCs w:val="21"/>
          <w:highlight w:val="green"/>
          <w:lang w:val="en-US" w:eastAsia="en-US"/>
        </w:rPr>
      </w:pPr>
      <w:r>
        <w:rPr>
          <w:bCs/>
          <w:iCs/>
          <w:noProof/>
          <w:sz w:val="21"/>
          <w:szCs w:val="21"/>
          <w:highlight w:val="green"/>
          <w:lang w:val="en-US"/>
        </w:rPr>
        <w:t>- T</w:t>
      </w:r>
      <w:r>
        <w:rPr>
          <w:bCs/>
          <w:iCs/>
          <w:noProof/>
          <w:sz w:val="21"/>
          <w:szCs w:val="21"/>
          <w:highlight w:val="green"/>
          <w:vertAlign w:val="subscript"/>
          <w:lang w:val="en-US"/>
        </w:rPr>
        <w:t xml:space="preserve">L1-meas_basic </w:t>
      </w:r>
      <w:r>
        <w:rPr>
          <w:bCs/>
          <w:iCs/>
          <w:noProof/>
          <w:sz w:val="21"/>
          <w:szCs w:val="21"/>
          <w:highlight w:val="green"/>
          <w:lang w:val="en-US"/>
        </w:rPr>
        <w:t>is the L1 measurement period which agreed in without window-based soltuion, in details, it is the maximum of L1-RSRP measurement periods on the beams corresponding to the event</w:t>
      </w:r>
    </w:p>
    <w:p w:rsidR="008F03D0" w:rsidRDefault="008F03D0" w:rsidP="008F03D0">
      <w:pPr>
        <w:snapToGrid w:val="0"/>
        <w:spacing w:after="120"/>
        <w:ind w:leftChars="100" w:left="200"/>
        <w:rPr>
          <w:bCs/>
          <w:iCs/>
          <w:noProof/>
          <w:sz w:val="21"/>
          <w:szCs w:val="21"/>
          <w:highlight w:val="green"/>
          <w:u w:val="single"/>
          <w:lang w:val="en-US"/>
        </w:rPr>
      </w:pPr>
      <w:r>
        <w:rPr>
          <w:bCs/>
          <w:iCs/>
          <w:noProof/>
          <w:sz w:val="21"/>
          <w:szCs w:val="21"/>
          <w:highlight w:val="green"/>
          <w:lang w:val="en-US" w:eastAsia="zh-CN"/>
        </w:rPr>
        <w:t xml:space="preserve">The above requriement is applicable when </w:t>
      </w:r>
      <w:r>
        <w:rPr>
          <w:bCs/>
          <w:iCs/>
          <w:noProof/>
          <w:sz w:val="21"/>
          <w:szCs w:val="21"/>
          <w:highlight w:val="green"/>
          <w:lang w:val="en-US"/>
        </w:rPr>
        <w:t xml:space="preserve">eventDetectionTimeWindowLength-r19 is not less than </w:t>
      </w:r>
      <w:r>
        <w:rPr>
          <w:sz w:val="21"/>
          <w:szCs w:val="21"/>
          <w:highlight w:val="green"/>
        </w:rPr>
        <w:t>(</w:t>
      </w:r>
      <w:r>
        <w:rPr>
          <w:bCs/>
          <w:iCs/>
          <w:noProof/>
          <w:sz w:val="21"/>
          <w:szCs w:val="21"/>
          <w:highlight w:val="green"/>
          <w:lang w:val="en-US"/>
        </w:rPr>
        <w:t>eventInstanceCount-r19 + L-1) * T</w:t>
      </w:r>
      <w:r>
        <w:rPr>
          <w:bCs/>
          <w:iCs/>
          <w:noProof/>
          <w:sz w:val="21"/>
          <w:szCs w:val="21"/>
          <w:highlight w:val="green"/>
          <w:vertAlign w:val="subscript"/>
          <w:lang w:val="en-US"/>
        </w:rPr>
        <w:t xml:space="preserve">L1-meas_basic </w:t>
      </w:r>
      <w:r>
        <w:rPr>
          <w:bCs/>
          <w:iCs/>
          <w:noProof/>
          <w:sz w:val="21"/>
          <w:szCs w:val="21"/>
          <w:highlight w:val="green"/>
          <w:lang w:val="en-US"/>
        </w:rPr>
        <w:t xml:space="preserve">, </w:t>
      </w:r>
      <w:r>
        <w:rPr>
          <w:bCs/>
          <w:iCs/>
          <w:noProof/>
          <w:sz w:val="21"/>
          <w:szCs w:val="21"/>
          <w:highlight w:val="green"/>
          <w:u w:val="single"/>
          <w:lang w:val="en-US"/>
        </w:rPr>
        <w:t xml:space="preserve">and no requirement </w:t>
      </w:r>
      <w:r>
        <w:rPr>
          <w:bCs/>
          <w:iCs/>
          <w:noProof/>
          <w:sz w:val="21"/>
          <w:szCs w:val="21"/>
          <w:highlight w:val="green"/>
          <w:u w:val="single"/>
          <w:lang w:val="en-US" w:eastAsia="zh-CN"/>
        </w:rPr>
        <w:t xml:space="preserve">when </w:t>
      </w:r>
      <w:r>
        <w:rPr>
          <w:bCs/>
          <w:iCs/>
          <w:noProof/>
          <w:sz w:val="21"/>
          <w:szCs w:val="21"/>
          <w:highlight w:val="green"/>
          <w:u w:val="single"/>
          <w:lang w:val="en-US"/>
        </w:rPr>
        <w:t xml:space="preserve">eventDetectionTimeWindowLength-r19 is less than </w:t>
      </w:r>
      <w:r>
        <w:rPr>
          <w:sz w:val="21"/>
          <w:szCs w:val="21"/>
          <w:highlight w:val="green"/>
          <w:u w:val="single"/>
        </w:rPr>
        <w:t>(</w:t>
      </w:r>
      <w:r>
        <w:rPr>
          <w:bCs/>
          <w:iCs/>
          <w:noProof/>
          <w:sz w:val="21"/>
          <w:szCs w:val="21"/>
          <w:highlight w:val="green"/>
          <w:u w:val="single"/>
          <w:lang w:val="en-US"/>
        </w:rPr>
        <w:t>eventInstanceCount-r19 + L</w:t>
      </w:r>
      <w:r>
        <w:rPr>
          <w:bCs/>
          <w:iCs/>
          <w:noProof/>
          <w:sz w:val="21"/>
          <w:szCs w:val="21"/>
          <w:highlight w:val="green"/>
          <w:lang w:val="en-US"/>
        </w:rPr>
        <w:t>-1</w:t>
      </w:r>
      <w:r>
        <w:rPr>
          <w:bCs/>
          <w:iCs/>
          <w:noProof/>
          <w:sz w:val="21"/>
          <w:szCs w:val="21"/>
          <w:highlight w:val="green"/>
          <w:u w:val="single"/>
          <w:lang w:val="en-US"/>
        </w:rPr>
        <w:t>) * T</w:t>
      </w:r>
      <w:r>
        <w:rPr>
          <w:bCs/>
          <w:iCs/>
          <w:noProof/>
          <w:sz w:val="21"/>
          <w:szCs w:val="21"/>
          <w:highlight w:val="green"/>
          <w:u w:val="single"/>
          <w:vertAlign w:val="subscript"/>
          <w:lang w:val="en-US"/>
        </w:rPr>
        <w:t>L1-meas_basic</w:t>
      </w:r>
      <w:r>
        <w:rPr>
          <w:bCs/>
          <w:iCs/>
          <w:noProof/>
          <w:sz w:val="21"/>
          <w:szCs w:val="21"/>
          <w:highlight w:val="green"/>
          <w:u w:val="single"/>
          <w:lang w:val="en-US"/>
        </w:rPr>
        <w:t>.</w:t>
      </w:r>
    </w:p>
    <w:p w:rsidR="008F03D0" w:rsidRDefault="008F03D0" w:rsidP="008F03D0">
      <w:pPr>
        <w:snapToGrid w:val="0"/>
        <w:spacing w:after="120"/>
        <w:ind w:leftChars="100" w:left="200"/>
        <w:rPr>
          <w:bCs/>
          <w:iCs/>
          <w:noProof/>
          <w:sz w:val="21"/>
          <w:szCs w:val="21"/>
          <w:lang w:val="en-US"/>
        </w:rPr>
      </w:pPr>
      <w:r>
        <w:rPr>
          <w:bCs/>
          <w:iCs/>
          <w:noProof/>
          <w:sz w:val="21"/>
          <w:szCs w:val="21"/>
          <w:highlight w:val="green"/>
          <w:lang w:val="en-US"/>
        </w:rPr>
        <w:t>Send the LS capturing the RAN4 agreements to RAN1/2, and the action requested from RAN4 to RAN1/2 is to take RAN4 agreements into account.</w:t>
      </w:r>
    </w:p>
    <w:p w:rsidR="00F45812" w:rsidRPr="008F03D0" w:rsidRDefault="00F45812">
      <w:pPr>
        <w:rPr>
          <w:lang w:val="en-US"/>
        </w:rPr>
      </w:pPr>
    </w:p>
    <w:sectPr w:rsidR="00F45812" w:rsidRPr="008F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F3" w:rsidRDefault="00F337F3" w:rsidP="008F03D0">
      <w:pPr>
        <w:spacing w:after="0"/>
      </w:pPr>
      <w:r>
        <w:separator/>
      </w:r>
    </w:p>
  </w:endnote>
  <w:endnote w:type="continuationSeparator" w:id="0">
    <w:p w:rsidR="00F337F3" w:rsidRDefault="00F337F3" w:rsidP="008F0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F3" w:rsidRDefault="00F337F3" w:rsidP="008F03D0">
      <w:pPr>
        <w:spacing w:after="0"/>
      </w:pPr>
      <w:r>
        <w:separator/>
      </w:r>
    </w:p>
  </w:footnote>
  <w:footnote w:type="continuationSeparator" w:id="0">
    <w:p w:rsidR="00F337F3" w:rsidRDefault="00F337F3" w:rsidP="008F03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A3"/>
    <w:rsid w:val="001D31A3"/>
    <w:rsid w:val="008F03D0"/>
    <w:rsid w:val="00F337F3"/>
    <w:rsid w:val="00F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B317A-2CDB-499D-863B-144E77B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D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cs="Times New Roman"/>
      <w:kern w:val="0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3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jc w:val="center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8F0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3D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8F0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HP Inc.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Yang</dc:creator>
  <cp:keywords/>
  <dc:description/>
  <cp:lastModifiedBy>Shan Yang</cp:lastModifiedBy>
  <cp:revision>2</cp:revision>
  <dcterms:created xsi:type="dcterms:W3CDTF">2025-08-28T04:44:00Z</dcterms:created>
  <dcterms:modified xsi:type="dcterms:W3CDTF">2025-08-28T04:44:00Z</dcterms:modified>
</cp:coreProperties>
</file>