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440"/>
          <w:tab w:val="right" w:pos="13323"/>
        </w:tabs>
        <w:spacing w:after="0"/>
        <w:rPr>
          <w:rFonts w:hint="default" w:ascii="Arial" w:hAnsi="Arial" w:eastAsia="宋体" w:cs="Arial"/>
          <w:b/>
          <w:color w:val="auto"/>
          <w:sz w:val="24"/>
          <w:szCs w:val="24"/>
          <w:lang w:val="en-US" w:eastAsia="zh-CN"/>
        </w:rPr>
      </w:pPr>
      <w:r>
        <w:rPr>
          <w:rFonts w:ascii="Arial" w:hAnsi="Arial" w:eastAsia="MS Mincho" w:cs="Arial"/>
          <w:b/>
          <w:color w:val="auto"/>
          <w:sz w:val="24"/>
          <w:szCs w:val="24"/>
        </w:rPr>
        <w:t>3GPP</w:t>
      </w:r>
      <w:r>
        <w:rPr>
          <w:rFonts w:hint="eastAsia" w:ascii="Arial" w:hAnsi="Arial" w:eastAsia="宋体" w:cs="Arial"/>
          <w:b/>
          <w:color w:val="auto"/>
          <w:sz w:val="24"/>
          <w:szCs w:val="24"/>
          <w:lang w:val="en-US" w:eastAsia="zh-CN"/>
        </w:rPr>
        <w:t xml:space="preserve"> </w:t>
      </w:r>
      <w:r>
        <w:rPr>
          <w:rFonts w:ascii="Arial" w:hAnsi="Arial" w:eastAsia="MS Mincho" w:cs="Arial"/>
          <w:b/>
          <w:color w:val="auto"/>
          <w:sz w:val="24"/>
          <w:szCs w:val="24"/>
        </w:rPr>
        <w:t>TSG-RAN WG4 Meeting #</w:t>
      </w:r>
      <w:r>
        <w:rPr>
          <w:rFonts w:hint="eastAsia" w:ascii="Arial" w:hAnsi="Arial" w:eastAsia="宋体" w:cs="Arial"/>
          <w:b/>
          <w:color w:val="auto"/>
          <w:sz w:val="24"/>
          <w:szCs w:val="24"/>
          <w:lang w:val="en-US" w:eastAsia="zh-CN"/>
        </w:rPr>
        <w:t>116</w:t>
      </w:r>
      <w:r>
        <w:rPr>
          <w:rFonts w:ascii="Arial" w:hAnsi="Arial" w:eastAsia="MS Mincho" w:cs="Arial"/>
          <w:b/>
          <w:color w:val="auto"/>
          <w:sz w:val="24"/>
          <w:szCs w:val="24"/>
        </w:rPr>
        <w:tab/>
      </w:r>
      <w:r>
        <w:rPr>
          <w:rFonts w:ascii="Arial" w:hAnsi="Arial" w:eastAsia="MS Mincho" w:cs="Arial"/>
          <w:b/>
          <w:color w:val="auto"/>
          <w:sz w:val="24"/>
          <w:szCs w:val="24"/>
        </w:rPr>
        <w:t>R4-2</w:t>
      </w:r>
      <w:r>
        <w:rPr>
          <w:rFonts w:hint="eastAsia" w:ascii="Arial" w:hAnsi="Arial" w:eastAsia="宋体" w:cs="Arial"/>
          <w:b/>
          <w:color w:val="auto"/>
          <w:sz w:val="24"/>
          <w:szCs w:val="24"/>
          <w:lang w:val="en-US" w:eastAsia="zh-CN"/>
        </w:rPr>
        <w:t>51xxxx</w:t>
      </w:r>
    </w:p>
    <w:p>
      <w:pPr>
        <w:pStyle w:val="36"/>
        <w:tabs>
          <w:tab w:val="right" w:pos="9781"/>
          <w:tab w:val="right" w:pos="13323"/>
        </w:tabs>
        <w:spacing w:before="60" w:after="60"/>
        <w:outlineLvl w:val="0"/>
        <w:rPr>
          <w:rFonts w:eastAsia="宋体" w:cs="Arial"/>
          <w:color w:val="auto"/>
          <w:sz w:val="24"/>
          <w:szCs w:val="24"/>
          <w:highlight w:val="green"/>
          <w:lang w:eastAsia="zh-CN"/>
        </w:rPr>
      </w:pPr>
      <w:r>
        <w:rPr>
          <w:rFonts w:ascii="Arial" w:hAnsi="Arial"/>
          <w:b/>
          <w:sz w:val="24"/>
          <w:lang w:val="en-US" w:eastAsia="sv-SE"/>
        </w:rPr>
        <w:t>Bengaluru, India, A</w:t>
      </w:r>
      <w:r>
        <w:rPr>
          <w:rFonts w:hint="eastAsia" w:ascii="Arial" w:hAnsi="Arial"/>
          <w:b/>
          <w:sz w:val="24"/>
          <w:lang w:val="en-US" w:eastAsia="zh-CN"/>
        </w:rPr>
        <w:t>u</w:t>
      </w:r>
      <w:r>
        <w:rPr>
          <w:rFonts w:ascii="Arial" w:hAnsi="Arial"/>
          <w:b/>
          <w:sz w:val="24"/>
          <w:lang w:val="en-US" w:eastAsia="sv-SE"/>
        </w:rPr>
        <w:t>gust 25-29</w:t>
      </w:r>
      <w:r>
        <w:rPr>
          <w:rFonts w:hint="eastAsia" w:ascii="Arial" w:hAnsi="Arial" w:eastAsia="宋体" w:cs="Arial"/>
          <w:b/>
          <w:sz w:val="24"/>
          <w:szCs w:val="24"/>
          <w:lang w:eastAsia="zh-CN"/>
        </w:rPr>
        <w:t>, 2025</w:t>
      </w:r>
    </w:p>
    <w:p>
      <w:pPr>
        <w:tabs>
          <w:tab w:val="right" w:pos="10440"/>
          <w:tab w:val="right" w:pos="13323"/>
        </w:tabs>
        <w:spacing w:after="240" w:afterLines="100"/>
        <w:rPr>
          <w:rFonts w:ascii="Arial" w:hAnsi="Arial" w:cs="Arial"/>
          <w:b/>
          <w:color w:val="auto"/>
          <w:sz w:val="24"/>
          <w:szCs w:val="24"/>
          <w:lang w:val="en-US" w:eastAsia="zh-CN"/>
        </w:rPr>
      </w:pPr>
    </w:p>
    <w:p>
      <w:pPr>
        <w:tabs>
          <w:tab w:val="left" w:pos="1985"/>
        </w:tabs>
        <w:jc w:val="both"/>
        <w:rPr>
          <w:rFonts w:ascii="Arial" w:hAnsi="Arial" w:cs="Arial"/>
          <w:b/>
          <w:color w:val="auto"/>
          <w:sz w:val="22"/>
          <w:lang w:val="en-US" w:eastAsia="zh-CN"/>
        </w:rPr>
      </w:pPr>
      <w:r>
        <w:rPr>
          <w:rFonts w:ascii="Arial" w:hAnsi="Arial" w:cs="Arial"/>
          <w:b/>
          <w:color w:val="auto"/>
          <w:sz w:val="22"/>
        </w:rPr>
        <w:t xml:space="preserve">Title: </w:t>
      </w:r>
      <w:r>
        <w:rPr>
          <w:rFonts w:ascii="Arial" w:hAnsi="Arial" w:cs="Arial"/>
          <w:b/>
          <w:color w:val="auto"/>
          <w:sz w:val="22"/>
        </w:rPr>
        <w:tab/>
      </w:r>
      <w:r>
        <w:rPr>
          <w:rFonts w:hint="eastAsia" w:ascii="Arial" w:hAnsi="Arial" w:cs="Arial"/>
          <w:color w:val="auto"/>
          <w:sz w:val="22"/>
          <w:lang w:val="en-US" w:eastAsia="zh-CN"/>
        </w:rPr>
        <w:t>WF on RRM requirements for NR_ATG_enh</w:t>
      </w:r>
    </w:p>
    <w:p>
      <w:pPr>
        <w:tabs>
          <w:tab w:val="left" w:pos="1985"/>
        </w:tabs>
        <w:jc w:val="both"/>
        <w:rPr>
          <w:rFonts w:hint="default" w:ascii="Arial" w:hAnsi="Arial" w:cs="Arial"/>
          <w:color w:val="auto"/>
          <w:sz w:val="22"/>
          <w:lang w:val="en-US" w:eastAsia="zh-CN"/>
        </w:rPr>
      </w:pPr>
      <w:r>
        <w:rPr>
          <w:rFonts w:ascii="Arial" w:hAnsi="Arial" w:cs="Arial"/>
          <w:b/>
          <w:color w:val="auto"/>
          <w:sz w:val="22"/>
        </w:rPr>
        <w:t>Agenda Item:</w:t>
      </w:r>
      <w:r>
        <w:rPr>
          <w:rFonts w:ascii="Arial" w:hAnsi="Arial" w:cs="Arial"/>
          <w:b/>
          <w:color w:val="auto"/>
          <w:sz w:val="22"/>
        </w:rPr>
        <w:tab/>
      </w:r>
      <w:r>
        <w:rPr>
          <w:rFonts w:hint="eastAsia" w:ascii="Arial" w:hAnsi="Arial" w:cs="Arial"/>
          <w:color w:val="auto"/>
          <w:sz w:val="22"/>
          <w:lang w:val="en-US" w:eastAsia="zh-CN"/>
        </w:rPr>
        <w:t>7.8.1</w:t>
      </w:r>
    </w:p>
    <w:p>
      <w:pPr>
        <w:tabs>
          <w:tab w:val="left" w:pos="1985"/>
        </w:tabs>
        <w:jc w:val="both"/>
        <w:rPr>
          <w:rFonts w:hint="default" w:ascii="Arial" w:hAnsi="Arial" w:eastAsia="宋体" w:cs="Arial"/>
          <w:color w:val="auto"/>
          <w:sz w:val="22"/>
          <w:lang w:val="en-US" w:eastAsia="zh-CN"/>
        </w:rPr>
      </w:pPr>
      <w:r>
        <w:rPr>
          <w:rFonts w:ascii="Arial" w:hAnsi="Arial" w:cs="Arial"/>
          <w:b/>
          <w:color w:val="auto"/>
          <w:sz w:val="22"/>
        </w:rPr>
        <w:t xml:space="preserve">Source: </w:t>
      </w:r>
      <w:r>
        <w:rPr>
          <w:rFonts w:ascii="Arial" w:hAnsi="Arial" w:cs="Arial"/>
          <w:b/>
          <w:color w:val="auto"/>
          <w:sz w:val="22"/>
        </w:rPr>
        <w:tab/>
      </w:r>
      <w:r>
        <w:rPr>
          <w:rFonts w:hint="eastAsia" w:ascii="Arial" w:hAnsi="Arial" w:cs="Arial" w:eastAsiaTheme="minorEastAsia"/>
          <w:color w:val="auto"/>
          <w:sz w:val="22"/>
          <w:lang w:val="en-US" w:eastAsia="zh-CN"/>
        </w:rPr>
        <w:t>CMCC, ZTE Corporation</w:t>
      </w:r>
      <w:bookmarkStart w:id="1" w:name="_GoBack"/>
      <w:bookmarkEnd w:id="1"/>
    </w:p>
    <w:p>
      <w:pPr>
        <w:tabs>
          <w:tab w:val="left" w:pos="1985"/>
        </w:tabs>
        <w:jc w:val="both"/>
        <w:rPr>
          <w:rFonts w:ascii="Arial" w:hAnsi="Arial" w:cs="Arial"/>
          <w:b/>
          <w:color w:val="auto"/>
          <w:sz w:val="22"/>
          <w:lang w:eastAsia="zh-CN"/>
        </w:rPr>
      </w:pPr>
      <w:r>
        <w:rPr>
          <w:rFonts w:ascii="Arial" w:hAnsi="Arial" w:cs="Arial"/>
          <w:b/>
          <w:color w:val="auto"/>
          <w:sz w:val="22"/>
        </w:rPr>
        <w:t>Document for:</w:t>
      </w:r>
      <w:r>
        <w:rPr>
          <w:rFonts w:ascii="Arial" w:hAnsi="Arial" w:cs="Arial"/>
          <w:b/>
          <w:color w:val="auto"/>
          <w:sz w:val="22"/>
        </w:rPr>
        <w:tab/>
      </w:r>
      <w:r>
        <w:rPr>
          <w:rFonts w:ascii="Arial" w:hAnsi="Arial" w:cs="Arial"/>
          <w:color w:val="auto"/>
          <w:sz w:val="22"/>
          <w:lang w:eastAsia="zh-CN"/>
        </w:rPr>
        <w:t>Approval</w:t>
      </w:r>
    </w:p>
    <w:p>
      <w:pPr>
        <w:pStyle w:val="2"/>
        <w:rPr>
          <w:rFonts w:eastAsia="宋体"/>
          <w:color w:val="auto"/>
          <w:lang w:val="en-US" w:eastAsia="zh-CN"/>
        </w:rPr>
      </w:pPr>
      <w:r>
        <w:rPr>
          <w:color w:val="auto"/>
        </w:rPr>
        <w:t xml:space="preserve">&lt;Topic </w:t>
      </w:r>
      <w:r>
        <w:rPr>
          <w:rFonts w:hint="eastAsia" w:eastAsia="宋体"/>
          <w:color w:val="auto"/>
          <w:lang w:val="en-US" w:eastAsia="zh-CN"/>
        </w:rPr>
        <w:t>1</w:t>
      </w:r>
      <w:r>
        <w:rPr>
          <w:color w:val="auto"/>
        </w:rPr>
        <w:t>&gt;</w:t>
      </w:r>
      <w:r>
        <w:rPr>
          <w:rFonts w:hint="eastAsia" w:eastAsia="宋体"/>
          <w:color w:val="auto"/>
          <w:lang w:val="en-US" w:eastAsia="zh-CN"/>
        </w:rPr>
        <w:t xml:space="preserve"> RRM core requirement</w:t>
      </w:r>
    </w:p>
    <w:p>
      <w:pPr>
        <w:rPr>
          <w:rFonts w:hint="default" w:ascii="Times New Roman" w:hAnsi="Times New Roman" w:cs="Times New Roman"/>
          <w:b/>
          <w:color w:val="auto"/>
          <w:u w:val="single"/>
          <w:lang w:val="en-US" w:eastAsia="zh-CN"/>
        </w:rPr>
      </w:pPr>
      <w:r>
        <w:rPr>
          <w:rFonts w:hint="default" w:ascii="Times New Roman" w:hAnsi="Times New Roman" w:cs="Times New Roman"/>
          <w:b/>
          <w:color w:val="auto"/>
          <w:u w:val="single"/>
          <w:lang w:val="en-US" w:eastAsia="zh-CN"/>
        </w:rPr>
        <w:t>Issue 1-1-</w:t>
      </w:r>
      <w:r>
        <w:rPr>
          <w:rFonts w:hint="eastAsia" w:ascii="Times New Roman" w:hAnsi="Times New Roman" w:cs="Times New Roman"/>
          <w:b/>
          <w:color w:val="auto"/>
          <w:u w:val="single"/>
          <w:lang w:val="en-US" w:eastAsia="zh-CN"/>
        </w:rPr>
        <w:t>1</w:t>
      </w:r>
      <w:r>
        <w:rPr>
          <w:rFonts w:hint="default" w:ascii="Times New Roman" w:hAnsi="Times New Roman" w:cs="Times New Roman"/>
          <w:b/>
          <w:color w:val="auto"/>
          <w:u w:val="single"/>
          <w:lang w:val="en-US" w:eastAsia="zh-CN"/>
        </w:rPr>
        <w:t>: UE Beam Type capability signaling</w:t>
      </w:r>
    </w:p>
    <w:p>
      <w:pPr>
        <w:pStyle w:val="72"/>
        <w:numPr>
          <w:ilvl w:val="0"/>
          <w:numId w:val="1"/>
        </w:numPr>
        <w:overflowPunct/>
        <w:autoSpaceDE/>
        <w:autoSpaceDN/>
        <w:adjustRightInd/>
        <w:spacing w:after="120"/>
        <w:ind w:left="720" w:firstLineChars="0"/>
        <w:textAlignment w:val="auto"/>
        <w:rPr>
          <w:rFonts w:eastAsia="宋体"/>
          <w:b/>
          <w:bCs/>
          <w:color w:val="auto"/>
          <w:szCs w:val="24"/>
          <w:lang w:eastAsia="zh-CN"/>
        </w:rPr>
      </w:pPr>
      <w:r>
        <w:rPr>
          <w:rFonts w:hint="eastAsia" w:eastAsia="宋体"/>
          <w:b/>
          <w:bCs/>
          <w:color w:val="auto"/>
          <w:szCs w:val="24"/>
          <w:lang w:val="en-US" w:eastAsia="zh-CN"/>
        </w:rPr>
        <w:t>Background: Agreement in RAN4#115</w:t>
      </w:r>
    </w:p>
    <w:tbl>
      <w:tblPr>
        <w:tblStyle w:val="44"/>
        <w:tblW w:w="14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828"/>
        <w:gridCol w:w="854"/>
        <w:gridCol w:w="1161"/>
        <w:gridCol w:w="1323"/>
        <w:gridCol w:w="1439"/>
        <w:gridCol w:w="646"/>
        <w:gridCol w:w="1077"/>
        <w:gridCol w:w="1000"/>
        <w:gridCol w:w="1392"/>
        <w:gridCol w:w="144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17" w:type="dxa"/>
            <w:shd w:val="clear" w:color="auto" w:fill="auto"/>
          </w:tcPr>
          <w:p>
            <w:pPr>
              <w:keepNext/>
              <w:keepLines/>
              <w:jc w:val="center"/>
              <w:rPr>
                <w:rFonts w:ascii="Arial" w:hAnsi="Arial" w:cs="Arial"/>
                <w:b/>
                <w:color w:val="auto"/>
                <w:sz w:val="18"/>
              </w:rPr>
            </w:pPr>
            <w:r>
              <w:rPr>
                <w:rFonts w:ascii="Arial" w:hAnsi="Arial" w:cs="Arial"/>
                <w:b/>
                <w:color w:val="auto"/>
                <w:sz w:val="18"/>
              </w:rPr>
              <w:t>Feature group</w:t>
            </w:r>
          </w:p>
        </w:tc>
        <w:tc>
          <w:tcPr>
            <w:tcW w:w="1828" w:type="dxa"/>
            <w:shd w:val="clear" w:color="auto" w:fill="auto"/>
          </w:tcPr>
          <w:p>
            <w:pPr>
              <w:keepNext/>
              <w:keepLines/>
              <w:jc w:val="center"/>
              <w:rPr>
                <w:rFonts w:ascii="Arial" w:hAnsi="Arial" w:cs="Arial"/>
                <w:b/>
                <w:color w:val="auto"/>
                <w:sz w:val="18"/>
              </w:rPr>
            </w:pPr>
            <w:r>
              <w:rPr>
                <w:rFonts w:ascii="Arial" w:hAnsi="Arial" w:cs="Arial"/>
                <w:b/>
                <w:color w:val="auto"/>
                <w:sz w:val="18"/>
              </w:rPr>
              <w:t>Components</w:t>
            </w:r>
          </w:p>
          <w:p>
            <w:pPr>
              <w:keepNext/>
              <w:keepLines/>
              <w:jc w:val="center"/>
              <w:rPr>
                <w:rFonts w:ascii="Arial" w:hAnsi="Arial" w:cs="Arial"/>
                <w:b/>
                <w:color w:val="auto"/>
                <w:sz w:val="18"/>
              </w:rPr>
            </w:pPr>
          </w:p>
        </w:tc>
        <w:tc>
          <w:tcPr>
            <w:tcW w:w="854" w:type="dxa"/>
            <w:shd w:val="clear" w:color="auto" w:fill="auto"/>
          </w:tcPr>
          <w:p>
            <w:pPr>
              <w:keepNext/>
              <w:keepLines/>
              <w:jc w:val="center"/>
              <w:rPr>
                <w:rFonts w:ascii="Arial" w:hAnsi="Arial" w:cs="Arial"/>
                <w:b/>
                <w:color w:val="auto"/>
                <w:sz w:val="18"/>
              </w:rPr>
            </w:pPr>
            <w:r>
              <w:rPr>
                <w:rFonts w:ascii="Arial" w:hAnsi="Arial" w:cs="Arial"/>
                <w:b/>
                <w:color w:val="auto"/>
                <w:sz w:val="18"/>
              </w:rPr>
              <w:t>Prerequisite feature groups</w:t>
            </w:r>
          </w:p>
        </w:tc>
        <w:tc>
          <w:tcPr>
            <w:tcW w:w="1161" w:type="dxa"/>
            <w:shd w:val="clear" w:color="auto" w:fill="auto"/>
          </w:tcPr>
          <w:p>
            <w:pPr>
              <w:keepNext/>
              <w:keepLines/>
              <w:jc w:val="center"/>
              <w:rPr>
                <w:rFonts w:ascii="Arial" w:hAnsi="Arial" w:cs="Arial"/>
                <w:b/>
                <w:color w:val="auto"/>
                <w:sz w:val="18"/>
              </w:rPr>
            </w:pPr>
            <w:r>
              <w:rPr>
                <w:rFonts w:ascii="Arial" w:hAnsi="Arial" w:cs="Arial"/>
                <w:b/>
                <w:color w:val="auto"/>
                <w:sz w:val="18"/>
              </w:rPr>
              <w:t>Need for the gNB to know if the feature is supported</w:t>
            </w:r>
          </w:p>
        </w:tc>
        <w:tc>
          <w:tcPr>
            <w:tcW w:w="1323" w:type="dxa"/>
            <w:shd w:val="clear" w:color="auto" w:fill="auto"/>
          </w:tcPr>
          <w:p>
            <w:pPr>
              <w:keepNext/>
              <w:keepLines/>
              <w:jc w:val="center"/>
              <w:rPr>
                <w:rFonts w:ascii="Arial" w:hAnsi="Arial" w:cs="Arial"/>
                <w:b/>
                <w:color w:val="auto"/>
                <w:sz w:val="18"/>
              </w:rPr>
            </w:pPr>
            <w:r>
              <w:rPr>
                <w:rFonts w:ascii="Arial" w:hAnsi="Arial" w:eastAsia="Gulim" w:cs="Arial"/>
                <w:b/>
                <w:color w:val="auto"/>
                <w:sz w:val="18"/>
              </w:rPr>
              <w:t xml:space="preserve">Applicable to </w:t>
            </w:r>
            <w:r>
              <w:rPr>
                <w:rFonts w:ascii="Arial" w:hAnsi="Arial" w:cs="Arial"/>
                <w:b/>
                <w:color w:val="auto"/>
                <w:sz w:val="18"/>
              </w:rPr>
              <w:t>the capability signalling exchange between UEs (V2X WI only)”.</w:t>
            </w:r>
          </w:p>
        </w:tc>
        <w:tc>
          <w:tcPr>
            <w:tcW w:w="1439" w:type="dxa"/>
          </w:tcPr>
          <w:p>
            <w:pPr>
              <w:keepNext/>
              <w:keepLines/>
              <w:rPr>
                <w:rFonts w:ascii="Arial" w:hAnsi="Arial" w:cs="Arial"/>
                <w:b/>
                <w:color w:val="auto"/>
                <w:sz w:val="18"/>
              </w:rPr>
            </w:pPr>
            <w:r>
              <w:rPr>
                <w:rFonts w:ascii="Arial" w:hAnsi="Arial" w:cs="Arial"/>
                <w:b/>
                <w:color w:val="auto"/>
                <w:sz w:val="18"/>
              </w:rPr>
              <w:t>Consequence if the feature is not supported by the UE</w:t>
            </w:r>
          </w:p>
        </w:tc>
        <w:tc>
          <w:tcPr>
            <w:tcW w:w="646" w:type="dxa"/>
            <w:shd w:val="clear" w:color="auto" w:fill="auto"/>
          </w:tcPr>
          <w:p>
            <w:pPr>
              <w:keepNext/>
              <w:keepLines/>
              <w:rPr>
                <w:rFonts w:ascii="Arial" w:hAnsi="Arial" w:cs="Arial"/>
                <w:b/>
                <w:color w:val="auto"/>
                <w:sz w:val="18"/>
              </w:rPr>
            </w:pPr>
            <w:r>
              <w:rPr>
                <w:rFonts w:ascii="Arial" w:hAnsi="Arial" w:cs="Arial"/>
                <w:b/>
                <w:color w:val="auto"/>
                <w:sz w:val="18"/>
              </w:rPr>
              <w:t>Type</w:t>
            </w:r>
          </w:p>
        </w:tc>
        <w:tc>
          <w:tcPr>
            <w:tcW w:w="1077" w:type="dxa"/>
            <w:shd w:val="clear" w:color="auto" w:fill="auto"/>
          </w:tcPr>
          <w:p>
            <w:pPr>
              <w:keepNext/>
              <w:keepLines/>
              <w:jc w:val="center"/>
              <w:rPr>
                <w:rFonts w:ascii="Arial" w:hAnsi="Arial" w:cs="Arial"/>
                <w:b/>
                <w:color w:val="auto"/>
                <w:sz w:val="18"/>
              </w:rPr>
            </w:pPr>
            <w:r>
              <w:rPr>
                <w:rFonts w:ascii="Arial" w:hAnsi="Arial" w:cs="Arial"/>
                <w:b/>
                <w:color w:val="auto"/>
                <w:sz w:val="18"/>
              </w:rPr>
              <w:t>Need of FDD/TDD differentiation</w:t>
            </w:r>
          </w:p>
        </w:tc>
        <w:tc>
          <w:tcPr>
            <w:tcW w:w="1000" w:type="dxa"/>
            <w:shd w:val="clear" w:color="auto" w:fill="auto"/>
          </w:tcPr>
          <w:p>
            <w:pPr>
              <w:keepNext/>
              <w:keepLines/>
              <w:jc w:val="center"/>
              <w:rPr>
                <w:rFonts w:ascii="Arial" w:hAnsi="Arial" w:cs="Arial"/>
                <w:b/>
                <w:color w:val="auto"/>
                <w:sz w:val="18"/>
              </w:rPr>
            </w:pPr>
            <w:r>
              <w:rPr>
                <w:rFonts w:ascii="Arial" w:hAnsi="Arial" w:cs="Arial"/>
                <w:b/>
                <w:color w:val="auto"/>
                <w:sz w:val="18"/>
              </w:rPr>
              <w:t>Need of FR1/FR2 differentiation</w:t>
            </w:r>
          </w:p>
        </w:tc>
        <w:tc>
          <w:tcPr>
            <w:tcW w:w="1392" w:type="dxa"/>
          </w:tcPr>
          <w:p>
            <w:pPr>
              <w:keepNext/>
              <w:keepLines/>
              <w:jc w:val="center"/>
              <w:rPr>
                <w:rFonts w:ascii="Arial" w:hAnsi="Arial" w:cs="Arial"/>
                <w:b/>
                <w:color w:val="auto"/>
                <w:sz w:val="18"/>
              </w:rPr>
            </w:pPr>
            <w:r>
              <w:rPr>
                <w:rFonts w:ascii="Arial" w:hAnsi="Arial" w:cs="Arial"/>
                <w:b/>
                <w:color w:val="auto"/>
                <w:sz w:val="18"/>
              </w:rPr>
              <w:t>Capability interpretation for mixture of FDD/TDD and/or FR1/FR2</w:t>
            </w:r>
          </w:p>
        </w:tc>
        <w:tc>
          <w:tcPr>
            <w:tcW w:w="1446" w:type="dxa"/>
            <w:shd w:val="clear" w:color="auto" w:fill="auto"/>
          </w:tcPr>
          <w:p>
            <w:pPr>
              <w:keepNext/>
              <w:keepLines/>
              <w:jc w:val="center"/>
              <w:rPr>
                <w:rFonts w:ascii="Arial" w:hAnsi="Arial" w:cs="Arial"/>
                <w:b/>
                <w:color w:val="auto"/>
                <w:sz w:val="18"/>
              </w:rPr>
            </w:pPr>
            <w:r>
              <w:rPr>
                <w:rFonts w:ascii="Arial" w:hAnsi="Arial" w:cs="Arial"/>
                <w:b/>
                <w:color w:val="auto"/>
                <w:sz w:val="18"/>
              </w:rPr>
              <w:t>Note</w:t>
            </w:r>
          </w:p>
        </w:tc>
        <w:tc>
          <w:tcPr>
            <w:tcW w:w="1216" w:type="dxa"/>
            <w:shd w:val="clear" w:color="auto" w:fill="auto"/>
          </w:tcPr>
          <w:p>
            <w:pPr>
              <w:keepNext/>
              <w:keepLines/>
              <w:jc w:val="center"/>
              <w:rPr>
                <w:rFonts w:ascii="Arial" w:hAnsi="Arial" w:cs="Arial"/>
                <w:b/>
                <w:color w:val="auto"/>
                <w:sz w:val="18"/>
              </w:rPr>
            </w:pPr>
            <w:r>
              <w:rPr>
                <w:rFonts w:ascii="Arial" w:hAnsi="Arial" w:cs="Arial"/>
                <w:b/>
                <w:color w:val="auto"/>
                <w:sz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7" w:type="dxa"/>
            <w:shd w:val="clear" w:color="auto" w:fill="auto"/>
          </w:tcPr>
          <w:p>
            <w:pPr>
              <w:keepNext/>
              <w:keepLines/>
              <w:rPr>
                <w:rFonts w:ascii="Arial" w:hAnsi="Arial" w:cs="Arial"/>
                <w:color w:val="auto"/>
                <w:sz w:val="18"/>
                <w:lang w:val="en-US"/>
              </w:rPr>
            </w:pPr>
            <w:r>
              <w:rPr>
                <w:rFonts w:ascii="Arial" w:hAnsi="Arial" w:cs="Arial" w:eastAsiaTheme="minorEastAsia"/>
                <w:color w:val="auto"/>
                <w:sz w:val="18"/>
                <w:szCs w:val="18"/>
                <w:lang w:val="en-US" w:eastAsia="zh-CN"/>
              </w:rPr>
              <w:t>Rx beam</w:t>
            </w:r>
            <w:r>
              <w:rPr>
                <w:rFonts w:hint="eastAsia" w:ascii="Arial" w:hAnsi="Arial" w:cs="Arial" w:eastAsiaTheme="minorEastAsia"/>
                <w:color w:val="auto"/>
                <w:sz w:val="18"/>
                <w:szCs w:val="18"/>
                <w:lang w:val="en-US" w:eastAsia="zh-CN"/>
              </w:rPr>
              <w:t xml:space="preserve"> Type</w:t>
            </w:r>
          </w:p>
        </w:tc>
        <w:tc>
          <w:tcPr>
            <w:tcW w:w="1828" w:type="dxa"/>
            <w:shd w:val="clear" w:color="auto" w:fill="auto"/>
          </w:tcPr>
          <w:p>
            <w:pPr>
              <w:keepNext/>
              <w:keepLines/>
              <w:rPr>
                <w:rFonts w:ascii="Arial" w:hAnsi="Arial" w:cs="Arial"/>
                <w:color w:val="auto"/>
                <w:sz w:val="18"/>
              </w:rPr>
            </w:pPr>
            <w:r>
              <w:rPr>
                <w:rFonts w:hint="eastAsia" w:ascii="Arial" w:hAnsi="Arial" w:cs="Arial"/>
                <w:color w:val="auto"/>
                <w:sz w:val="18"/>
              </w:rPr>
              <w:t xml:space="preserve">Indicates whether the UE supports one common Rx beam </w:t>
            </w:r>
            <w:r>
              <w:rPr>
                <w:rFonts w:hint="eastAsia" w:ascii="Arial" w:hAnsi="Arial" w:cs="Arial"/>
                <w:color w:val="auto"/>
                <w:sz w:val="18"/>
                <w:lang w:val="en-US" w:eastAsia="zh-CN"/>
              </w:rPr>
              <w:t xml:space="preserve">or </w:t>
            </w:r>
            <w:r>
              <w:rPr>
                <w:rFonts w:hint="eastAsia" w:ascii="Arial" w:hAnsi="Arial" w:cs="Arial"/>
                <w:color w:val="auto"/>
                <w:sz w:val="18"/>
              </w:rPr>
              <w:t>two simultaneous separate Rx beams</w:t>
            </w:r>
            <w:r>
              <w:rPr>
                <w:rFonts w:hint="eastAsia" w:ascii="Arial" w:hAnsi="Arial" w:cs="Arial"/>
                <w:color w:val="auto"/>
                <w:sz w:val="18"/>
                <w:lang w:val="en-US" w:eastAsia="zh-CN"/>
              </w:rPr>
              <w:t xml:space="preserve"> </w:t>
            </w:r>
            <w:r>
              <w:rPr>
                <w:rFonts w:hint="eastAsia" w:ascii="Arial" w:hAnsi="Arial" w:cs="Arial"/>
                <w:color w:val="auto"/>
                <w:sz w:val="18"/>
              </w:rPr>
              <w:t>when UE capable of antennaArrayType-r18 on both PCC and SCC.</w:t>
            </w:r>
          </w:p>
        </w:tc>
        <w:tc>
          <w:tcPr>
            <w:tcW w:w="854" w:type="dxa"/>
            <w:shd w:val="clear" w:color="auto" w:fill="auto"/>
          </w:tcPr>
          <w:p>
            <w:pPr>
              <w:keepNext/>
              <w:keepLines/>
              <w:jc w:val="center"/>
              <w:rPr>
                <w:rFonts w:ascii="Arial" w:hAnsi="Arial" w:cs="Arial"/>
                <w:b/>
                <w:color w:val="auto"/>
                <w:sz w:val="18"/>
              </w:rPr>
            </w:pPr>
          </w:p>
        </w:tc>
        <w:tc>
          <w:tcPr>
            <w:tcW w:w="1161" w:type="dxa"/>
            <w:shd w:val="clear" w:color="auto" w:fill="auto"/>
          </w:tcPr>
          <w:p>
            <w:pPr>
              <w:keepNext/>
              <w:keepLines/>
              <w:jc w:val="center"/>
              <w:rPr>
                <w:rFonts w:ascii="Arial" w:hAnsi="Arial" w:eastAsia="宋体" w:cs="Arial"/>
                <w:color w:val="auto"/>
                <w:sz w:val="18"/>
                <w:lang w:val="en-US" w:eastAsia="zh-CN"/>
              </w:rPr>
            </w:pPr>
            <w:r>
              <w:rPr>
                <w:rFonts w:hint="eastAsia" w:ascii="Arial" w:hAnsi="Arial" w:eastAsia="宋体" w:cs="Arial"/>
                <w:color w:val="auto"/>
                <w:sz w:val="18"/>
                <w:lang w:val="en-US" w:eastAsia="zh-CN"/>
              </w:rPr>
              <w:t>yes</w:t>
            </w:r>
          </w:p>
        </w:tc>
        <w:tc>
          <w:tcPr>
            <w:tcW w:w="1323" w:type="dxa"/>
            <w:shd w:val="clear" w:color="auto" w:fill="auto"/>
          </w:tcPr>
          <w:p>
            <w:pPr>
              <w:keepNext/>
              <w:keepLines/>
              <w:jc w:val="center"/>
              <w:rPr>
                <w:rFonts w:ascii="Arial" w:hAnsi="Arial" w:eastAsia="宋体" w:cs="Arial"/>
                <w:b/>
                <w:color w:val="auto"/>
                <w:sz w:val="18"/>
                <w:lang w:val="en-US" w:eastAsia="zh-CN"/>
              </w:rPr>
            </w:pPr>
            <w:r>
              <w:rPr>
                <w:rFonts w:hint="eastAsia" w:ascii="Arial" w:hAnsi="Arial" w:eastAsia="宋体" w:cs="Arial"/>
                <w:color w:val="auto"/>
                <w:sz w:val="18"/>
                <w:lang w:val="en-US" w:eastAsia="zh-CN"/>
              </w:rPr>
              <w:t>N/A</w:t>
            </w:r>
          </w:p>
        </w:tc>
        <w:tc>
          <w:tcPr>
            <w:tcW w:w="1439" w:type="dxa"/>
          </w:tcPr>
          <w:p>
            <w:pPr>
              <w:keepNext/>
              <w:keepLines/>
              <w:rPr>
                <w:rFonts w:ascii="Arial" w:hAnsi="Arial" w:cs="Arial"/>
                <w:color w:val="auto"/>
                <w:sz w:val="18"/>
              </w:rPr>
            </w:pPr>
            <w:r>
              <w:rPr>
                <w:rFonts w:ascii="Arial" w:hAnsi="Arial" w:cs="Arial"/>
                <w:color w:val="auto"/>
                <w:sz w:val="18"/>
                <w:szCs w:val="18"/>
              </w:rPr>
              <w:t xml:space="preserve">If UE does not support the capability, network does not know ATG UE’s </w:t>
            </w:r>
            <w:r>
              <w:rPr>
                <w:rFonts w:hint="eastAsia" w:ascii="Arial" w:hAnsi="Arial" w:eastAsia="宋体" w:cs="Arial"/>
                <w:color w:val="auto"/>
                <w:sz w:val="18"/>
                <w:szCs w:val="18"/>
                <w:lang w:val="en-US" w:eastAsia="zh-CN"/>
              </w:rPr>
              <w:t>reception capability</w:t>
            </w:r>
            <w:r>
              <w:rPr>
                <w:rFonts w:ascii="Arial" w:hAnsi="Arial" w:cs="Arial"/>
                <w:color w:val="auto"/>
                <w:sz w:val="18"/>
                <w:szCs w:val="18"/>
              </w:rPr>
              <w:t>.</w:t>
            </w:r>
          </w:p>
        </w:tc>
        <w:tc>
          <w:tcPr>
            <w:tcW w:w="646" w:type="dxa"/>
            <w:shd w:val="clear" w:color="auto" w:fill="auto"/>
          </w:tcPr>
          <w:p>
            <w:pPr>
              <w:keepNext/>
              <w:keepLines/>
              <w:rPr>
                <w:rFonts w:ascii="Arial" w:hAnsi="Arial" w:eastAsia="宋体" w:cs="Arial"/>
                <w:color w:val="auto"/>
                <w:sz w:val="18"/>
                <w:lang w:val="en-US" w:eastAsia="zh-CN"/>
              </w:rPr>
            </w:pPr>
            <w:r>
              <w:rPr>
                <w:rFonts w:hint="eastAsia" w:ascii="Arial" w:hAnsi="Arial" w:eastAsia="宋体" w:cs="Arial"/>
                <w:color w:val="auto"/>
                <w:sz w:val="18"/>
                <w:lang w:val="en-US" w:eastAsia="zh-CN"/>
              </w:rPr>
              <w:t>Per BC</w:t>
            </w:r>
          </w:p>
        </w:tc>
        <w:tc>
          <w:tcPr>
            <w:tcW w:w="1077" w:type="dxa"/>
            <w:shd w:val="clear" w:color="auto" w:fill="auto"/>
          </w:tcPr>
          <w:p>
            <w:pPr>
              <w:keepNext/>
              <w:keepLines/>
              <w:jc w:val="center"/>
              <w:rPr>
                <w:rFonts w:ascii="Arial" w:hAnsi="Arial" w:eastAsia="宋体" w:cs="Arial"/>
                <w:color w:val="auto"/>
                <w:sz w:val="18"/>
                <w:lang w:val="en-US" w:eastAsia="zh-CN"/>
              </w:rPr>
            </w:pPr>
            <w:r>
              <w:rPr>
                <w:rFonts w:hint="eastAsia" w:ascii="Arial" w:hAnsi="Arial" w:eastAsia="宋体" w:cs="Arial"/>
                <w:color w:val="auto"/>
                <w:sz w:val="18"/>
                <w:lang w:val="en-US" w:eastAsia="zh-CN"/>
              </w:rPr>
              <w:t>No</w:t>
            </w:r>
          </w:p>
        </w:tc>
        <w:tc>
          <w:tcPr>
            <w:tcW w:w="1000" w:type="dxa"/>
            <w:shd w:val="clear" w:color="auto" w:fill="auto"/>
          </w:tcPr>
          <w:p>
            <w:pPr>
              <w:keepNext/>
              <w:keepLines/>
              <w:jc w:val="center"/>
              <w:rPr>
                <w:rFonts w:ascii="Arial" w:hAnsi="Arial" w:eastAsia="宋体" w:cs="Arial"/>
                <w:color w:val="auto"/>
                <w:sz w:val="18"/>
                <w:lang w:val="en-US" w:eastAsia="zh-CN"/>
              </w:rPr>
            </w:pPr>
            <w:r>
              <w:rPr>
                <w:rFonts w:hint="eastAsia" w:ascii="Arial" w:hAnsi="Arial" w:eastAsia="宋体" w:cs="Arial"/>
                <w:color w:val="auto"/>
                <w:sz w:val="18"/>
                <w:lang w:val="en-US" w:eastAsia="zh-CN"/>
              </w:rPr>
              <w:t>FR1 only</w:t>
            </w:r>
          </w:p>
        </w:tc>
        <w:tc>
          <w:tcPr>
            <w:tcW w:w="1392" w:type="dxa"/>
          </w:tcPr>
          <w:p>
            <w:pPr>
              <w:keepNext/>
              <w:keepLines/>
              <w:jc w:val="center"/>
              <w:rPr>
                <w:rFonts w:ascii="Arial" w:hAnsi="Arial" w:eastAsia="宋体" w:cs="Arial"/>
                <w:b/>
                <w:color w:val="auto"/>
                <w:sz w:val="18"/>
                <w:lang w:val="en-US" w:eastAsia="zh-CN"/>
              </w:rPr>
            </w:pPr>
            <w:r>
              <w:rPr>
                <w:rFonts w:hint="eastAsia" w:ascii="Arial" w:hAnsi="Arial" w:eastAsia="宋体" w:cs="Arial"/>
                <w:color w:val="auto"/>
                <w:sz w:val="18"/>
                <w:lang w:val="en-US" w:eastAsia="zh-CN"/>
              </w:rPr>
              <w:t>N/A</w:t>
            </w:r>
          </w:p>
        </w:tc>
        <w:tc>
          <w:tcPr>
            <w:tcW w:w="1446" w:type="dxa"/>
            <w:shd w:val="clear" w:color="auto" w:fill="auto"/>
          </w:tcPr>
          <w:p>
            <w:pPr>
              <w:keepNext/>
              <w:keepLines/>
              <w:jc w:val="center"/>
              <w:rPr>
                <w:rFonts w:ascii="Arial" w:hAnsi="Arial" w:cs="Arial"/>
                <w:b/>
                <w:color w:val="auto"/>
                <w:sz w:val="18"/>
                <w:lang w:val="en-US"/>
              </w:rPr>
            </w:pPr>
            <w:r>
              <w:rPr>
                <w:rFonts w:hint="eastAsia" w:ascii="Arial" w:hAnsi="Arial" w:eastAsia="宋体" w:cs="Arial"/>
                <w:color w:val="auto"/>
                <w:sz w:val="18"/>
                <w:lang w:val="en-US" w:eastAsia="zh-CN"/>
              </w:rPr>
              <w:t>This UE feature is applicable only for inter-band CA band combination(s) in Table [TBD] in TS 38.101-1.</w:t>
            </w:r>
          </w:p>
        </w:tc>
        <w:tc>
          <w:tcPr>
            <w:tcW w:w="1216" w:type="dxa"/>
            <w:shd w:val="clear" w:color="auto" w:fill="auto"/>
          </w:tcPr>
          <w:p>
            <w:pPr>
              <w:keepNext/>
              <w:keepLines/>
              <w:jc w:val="center"/>
              <w:rPr>
                <w:rFonts w:ascii="Arial" w:hAnsi="Arial" w:cs="Arial"/>
                <w:color w:val="auto"/>
                <w:sz w:val="18"/>
              </w:rPr>
            </w:pPr>
            <w:r>
              <w:rPr>
                <w:rFonts w:hint="eastAsia" w:ascii="Arial" w:hAnsi="Arial" w:cs="Arial"/>
                <w:color w:val="auto"/>
                <w:sz w:val="18"/>
              </w:rPr>
              <w:t>Conditional mandatory for UEs supporting antennaArrayType-r18 on each band of the supported Band combination</w:t>
            </w:r>
          </w:p>
        </w:tc>
      </w:tr>
    </w:tbl>
    <w:p>
      <w:pPr>
        <w:spacing w:after="120"/>
        <w:rPr>
          <w:rFonts w:hint="eastAsia"/>
          <w:sz w:val="21"/>
          <w:szCs w:val="21"/>
          <w:highlight w:val="green"/>
          <w:lang w:val="en-US" w:eastAsia="zh-CN"/>
        </w:rPr>
      </w:pPr>
      <w:bookmarkStart w:id="0" w:name="OLE_LINK8"/>
    </w:p>
    <w:p>
      <w:pPr>
        <w:spacing w:after="120"/>
        <w:rPr>
          <w:sz w:val="21"/>
          <w:szCs w:val="21"/>
          <w:highlight w:val="green"/>
          <w:lang w:val="en-US" w:eastAsia="zh-CN"/>
        </w:rPr>
      </w:pPr>
      <w:r>
        <w:rPr>
          <w:rFonts w:hint="eastAsia"/>
          <w:sz w:val="21"/>
          <w:szCs w:val="21"/>
          <w:highlight w:val="green"/>
          <w:lang w:val="en-US" w:eastAsia="zh-CN"/>
        </w:rPr>
        <w:t>A</w:t>
      </w:r>
      <w:r>
        <w:rPr>
          <w:sz w:val="21"/>
          <w:szCs w:val="21"/>
          <w:highlight w:val="green"/>
          <w:lang w:val="en-US" w:eastAsia="zh-CN"/>
        </w:rPr>
        <w:t>greement:</w:t>
      </w:r>
    </w:p>
    <w:p>
      <w:pPr>
        <w:pStyle w:val="72"/>
        <w:numPr>
          <w:ilvl w:val="0"/>
          <w:numId w:val="1"/>
        </w:numPr>
        <w:tabs>
          <w:tab w:val="left" w:pos="0"/>
          <w:tab w:val="clear" w:pos="-420"/>
        </w:tabs>
        <w:spacing w:after="120"/>
        <w:ind w:left="720" w:leftChars="0"/>
        <w:contextualSpacing w:val="0"/>
        <w:rPr>
          <w:rFonts w:eastAsia="宋体"/>
          <w:b/>
          <w:bCs/>
          <w:sz w:val="21"/>
          <w:szCs w:val="21"/>
          <w:highlight w:val="green"/>
        </w:rPr>
      </w:pPr>
      <w:r>
        <w:rPr>
          <w:rFonts w:eastAsia="宋体"/>
          <w:sz w:val="21"/>
          <w:szCs w:val="21"/>
          <w:highlight w:val="green"/>
        </w:rPr>
        <w:t>Update the Note column of Rel-19 ATG UE feature ‘Rx beam Type’ to Rel-19 UE feature list</w:t>
      </w:r>
    </w:p>
    <w:p>
      <w:pPr>
        <w:pStyle w:val="72"/>
        <w:numPr>
          <w:ilvl w:val="0"/>
          <w:numId w:val="0"/>
        </w:numPr>
        <w:overflowPunct/>
        <w:autoSpaceDE/>
        <w:autoSpaceDN/>
        <w:adjustRightInd/>
        <w:spacing w:after="120"/>
        <w:textAlignment w:val="auto"/>
        <w:rPr>
          <w:rFonts w:eastAsia="宋体"/>
          <w:b/>
          <w:bCs/>
          <w:color w:val="auto"/>
          <w:szCs w:val="24"/>
          <w:lang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700"/>
        <w:gridCol w:w="774"/>
        <w:gridCol w:w="1395"/>
        <w:gridCol w:w="1339"/>
        <w:gridCol w:w="929"/>
        <w:gridCol w:w="954"/>
        <w:gridCol w:w="1173"/>
        <w:gridCol w:w="970"/>
        <w:gridCol w:w="1188"/>
        <w:gridCol w:w="1188"/>
        <w:gridCol w:w="1157"/>
        <w:gridCol w:w="117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999"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Features</w:t>
            </w:r>
          </w:p>
        </w:tc>
        <w:tc>
          <w:tcPr>
            <w:tcW w:w="700"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Index</w:t>
            </w:r>
          </w:p>
        </w:tc>
        <w:tc>
          <w:tcPr>
            <w:tcW w:w="774"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Feature group</w:t>
            </w:r>
          </w:p>
        </w:tc>
        <w:tc>
          <w:tcPr>
            <w:tcW w:w="1395" w:type="dxa"/>
            <w:shd w:val="clear" w:color="auto" w:fill="auto"/>
          </w:tcPr>
          <w:p>
            <w:pPr>
              <w:keepNext/>
              <w:keepLines/>
              <w:overflowPunct w:val="0"/>
              <w:autoSpaceDE w:val="0"/>
              <w:autoSpaceDN w:val="0"/>
              <w:adjustRightInd w:val="0"/>
              <w:jc w:val="center"/>
              <w:textAlignment w:val="baseline"/>
              <w:rPr>
                <w:rFonts w:ascii="Arial" w:hAnsi="Arial" w:cs="Arial"/>
                <w:b/>
                <w:color w:val="auto"/>
                <w:sz w:val="18"/>
              </w:rPr>
            </w:pPr>
            <w:r>
              <w:rPr>
                <w:rFonts w:ascii="Arial" w:hAnsi="Arial" w:eastAsia="Times New Roman" w:cs="Arial"/>
                <w:b/>
                <w:color w:val="auto"/>
                <w:sz w:val="18"/>
              </w:rPr>
              <w:t>Components</w:t>
            </w:r>
          </w:p>
          <w:p>
            <w:pPr>
              <w:keepNext/>
              <w:keepLines/>
              <w:overflowPunct w:val="0"/>
              <w:autoSpaceDE w:val="0"/>
              <w:autoSpaceDN w:val="0"/>
              <w:adjustRightInd w:val="0"/>
              <w:jc w:val="center"/>
              <w:textAlignment w:val="baseline"/>
              <w:rPr>
                <w:rFonts w:ascii="Arial" w:hAnsi="Arial" w:cs="Arial"/>
                <w:b/>
                <w:color w:val="auto"/>
                <w:sz w:val="18"/>
              </w:rPr>
            </w:pPr>
          </w:p>
        </w:tc>
        <w:tc>
          <w:tcPr>
            <w:tcW w:w="1339"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Prerequisite feature groups</w:t>
            </w:r>
          </w:p>
        </w:tc>
        <w:tc>
          <w:tcPr>
            <w:tcW w:w="929"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Need for the gNB to know if the feature is supported</w:t>
            </w:r>
          </w:p>
        </w:tc>
        <w:tc>
          <w:tcPr>
            <w:tcW w:w="954"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Gulim" w:cs="Arial"/>
                <w:b/>
                <w:color w:val="auto"/>
                <w:sz w:val="18"/>
              </w:rPr>
              <w:t xml:space="preserve">Applicable to </w:t>
            </w:r>
            <w:r>
              <w:rPr>
                <w:rFonts w:ascii="Arial" w:hAnsi="Arial" w:eastAsia="Times New Roman" w:cs="Arial"/>
                <w:b/>
                <w:color w:val="auto"/>
                <w:sz w:val="18"/>
              </w:rPr>
              <w:t>the capability signalling exchange between UEs (V2X WI only)”.</w:t>
            </w:r>
          </w:p>
        </w:tc>
        <w:tc>
          <w:tcPr>
            <w:tcW w:w="1173" w:type="dxa"/>
          </w:tcPr>
          <w:p>
            <w:pPr>
              <w:keepNext/>
              <w:keepLines/>
              <w:rPr>
                <w:rFonts w:ascii="Arial" w:hAnsi="Arial" w:cs="Arial"/>
                <w:b/>
                <w:color w:val="auto"/>
                <w:sz w:val="18"/>
              </w:rPr>
            </w:pPr>
            <w:r>
              <w:rPr>
                <w:rFonts w:ascii="Arial" w:hAnsi="Arial" w:cs="Arial"/>
                <w:b/>
                <w:color w:val="auto"/>
                <w:sz w:val="18"/>
              </w:rPr>
              <w:t>Consequence if the feature is not supported by the UE</w:t>
            </w:r>
          </w:p>
        </w:tc>
        <w:tc>
          <w:tcPr>
            <w:tcW w:w="970" w:type="dxa"/>
            <w:shd w:val="clear" w:color="auto" w:fill="auto"/>
          </w:tcPr>
          <w:p>
            <w:pPr>
              <w:keepNext/>
              <w:keepLines/>
              <w:rPr>
                <w:rFonts w:ascii="Arial" w:hAnsi="Arial" w:cs="Arial"/>
                <w:b/>
                <w:color w:val="auto"/>
                <w:sz w:val="18"/>
              </w:rPr>
            </w:pPr>
            <w:r>
              <w:rPr>
                <w:rFonts w:ascii="Arial" w:hAnsi="Arial" w:cs="Arial"/>
                <w:b/>
                <w:color w:val="auto"/>
                <w:sz w:val="18"/>
              </w:rPr>
              <w:t>Type</w:t>
            </w:r>
          </w:p>
          <w:p>
            <w:pPr>
              <w:keepNext/>
              <w:keepLines/>
              <w:rPr>
                <w:rFonts w:ascii="Arial" w:hAnsi="Arial" w:cs="Arial"/>
                <w:b/>
                <w:color w:val="auto"/>
                <w:sz w:val="18"/>
              </w:rPr>
            </w:pPr>
            <w:r>
              <w:rPr>
                <w:rFonts w:ascii="Arial" w:hAnsi="Arial" w:cs="Arial"/>
                <w:b/>
                <w:color w:val="auto"/>
                <w:sz w:val="18"/>
              </w:rPr>
              <w:t>(the ‘type’ definition from UE features should be based on the granularity of 1) Per UE or 2) Per Band or 3) Per BC or 4) Per FS or 5) Per FSPC)</w:t>
            </w:r>
          </w:p>
        </w:tc>
        <w:tc>
          <w:tcPr>
            <w:tcW w:w="1188"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Need of FDD/TDD differentiation</w:t>
            </w:r>
          </w:p>
        </w:tc>
        <w:tc>
          <w:tcPr>
            <w:tcW w:w="1188"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Need of FR1/FR2 differentiation</w:t>
            </w:r>
          </w:p>
        </w:tc>
        <w:tc>
          <w:tcPr>
            <w:tcW w:w="1157" w:type="dxa"/>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Capability interpretation for mixture of FDD/TDD and/or FR1/FR2</w:t>
            </w:r>
          </w:p>
        </w:tc>
        <w:tc>
          <w:tcPr>
            <w:tcW w:w="1174"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Note</w:t>
            </w:r>
          </w:p>
        </w:tc>
        <w:tc>
          <w:tcPr>
            <w:tcW w:w="1676"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auto"/>
                <w:sz w:val="18"/>
              </w:rPr>
            </w:pPr>
            <w:r>
              <w:rPr>
                <w:rFonts w:ascii="Arial" w:hAnsi="Arial" w:eastAsia="Times New Roman" w:cs="Arial"/>
                <w:b/>
                <w:color w:val="auto"/>
                <w:sz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dxa"/>
            <w:shd w:val="clear" w:color="auto" w:fill="auto"/>
          </w:tcPr>
          <w:p>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 xml:space="preserve">48. </w:t>
            </w:r>
            <w:r>
              <w:rPr>
                <w:rFonts w:ascii="Arial" w:hAnsi="Arial" w:cs="Arial" w:eastAsiaTheme="minorEastAsia"/>
                <w:sz w:val="18"/>
                <w:szCs w:val="18"/>
              </w:rPr>
              <w:t>NR_ATG_enh</w:t>
            </w:r>
          </w:p>
          <w:p>
            <w:pPr>
              <w:keepNext/>
              <w:keepLines/>
              <w:overflowPunct w:val="0"/>
              <w:autoSpaceDE w:val="0"/>
              <w:autoSpaceDN w:val="0"/>
              <w:adjustRightInd w:val="0"/>
              <w:textAlignment w:val="baseline"/>
              <w:rPr>
                <w:rFonts w:ascii="Arial" w:hAnsi="Arial" w:cs="Arial" w:eastAsiaTheme="minorEastAsia"/>
                <w:sz w:val="18"/>
                <w:szCs w:val="18"/>
              </w:rPr>
            </w:pPr>
          </w:p>
        </w:tc>
        <w:tc>
          <w:tcPr>
            <w:tcW w:w="700" w:type="dxa"/>
            <w:shd w:val="clear" w:color="auto" w:fill="auto"/>
          </w:tcPr>
          <w:p>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48-1</w:t>
            </w:r>
          </w:p>
        </w:tc>
        <w:tc>
          <w:tcPr>
            <w:tcW w:w="774" w:type="dxa"/>
            <w:shd w:val="clear" w:color="auto" w:fill="auto"/>
          </w:tcPr>
          <w:p>
            <w:pPr>
              <w:keepNext/>
              <w:keepLines/>
              <w:overflowPunct w:val="0"/>
              <w:autoSpaceDE w:val="0"/>
              <w:autoSpaceDN w:val="0"/>
              <w:adjustRightInd w:val="0"/>
              <w:textAlignment w:val="baseline"/>
              <w:rPr>
                <w:rFonts w:ascii="Arial" w:hAnsi="Arial" w:cs="Arial"/>
                <w:sz w:val="18"/>
              </w:rPr>
            </w:pPr>
            <w:r>
              <w:rPr>
                <w:rFonts w:ascii="Arial" w:hAnsi="Arial" w:cs="Arial" w:eastAsiaTheme="minorEastAsia"/>
                <w:sz w:val="18"/>
                <w:szCs w:val="18"/>
              </w:rPr>
              <w:t>Rx beam</w:t>
            </w:r>
            <w:r>
              <w:rPr>
                <w:rFonts w:hint="eastAsia" w:ascii="Arial" w:hAnsi="Arial" w:cs="Arial" w:eastAsiaTheme="minorEastAsia"/>
                <w:sz w:val="18"/>
                <w:szCs w:val="18"/>
              </w:rPr>
              <w:t xml:space="preserve"> Type</w:t>
            </w:r>
          </w:p>
        </w:tc>
        <w:tc>
          <w:tcPr>
            <w:tcW w:w="1395" w:type="dxa"/>
            <w:shd w:val="clear" w:color="auto" w:fill="auto"/>
          </w:tcPr>
          <w:p>
            <w:pPr>
              <w:keepNext/>
              <w:keepLines/>
              <w:overflowPunct w:val="0"/>
              <w:autoSpaceDE w:val="0"/>
              <w:autoSpaceDN w:val="0"/>
              <w:adjustRightInd w:val="0"/>
              <w:textAlignment w:val="baseline"/>
              <w:rPr>
                <w:rFonts w:ascii="Arial" w:hAnsi="Arial" w:cs="Arial"/>
                <w:sz w:val="18"/>
              </w:rPr>
            </w:pPr>
            <w:r>
              <w:rPr>
                <w:rFonts w:hint="eastAsia" w:ascii="Arial" w:hAnsi="Arial" w:cs="Arial"/>
                <w:sz w:val="18"/>
              </w:rPr>
              <w:t>Indicates whether the UE supports one common Rx beam or two simultaneous separate Rx beams when UE capable of antennaArrayType-r18 on both PCC and SCC.</w:t>
            </w:r>
          </w:p>
        </w:tc>
        <w:tc>
          <w:tcPr>
            <w:tcW w:w="1339"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sz w:val="18"/>
              </w:rPr>
            </w:pPr>
          </w:p>
        </w:tc>
        <w:tc>
          <w:tcPr>
            <w:tcW w:w="929" w:type="dxa"/>
            <w:shd w:val="clear" w:color="auto" w:fill="auto"/>
          </w:tcPr>
          <w:p>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yes</w:t>
            </w:r>
          </w:p>
        </w:tc>
        <w:tc>
          <w:tcPr>
            <w:tcW w:w="954" w:type="dxa"/>
            <w:shd w:val="clear" w:color="auto" w:fill="auto"/>
          </w:tcPr>
          <w:p>
            <w:pPr>
              <w:keepNext/>
              <w:keepLines/>
              <w:overflowPunct w:val="0"/>
              <w:autoSpaceDE w:val="0"/>
              <w:autoSpaceDN w:val="0"/>
              <w:adjustRightInd w:val="0"/>
              <w:jc w:val="center"/>
              <w:textAlignment w:val="baseline"/>
              <w:rPr>
                <w:rFonts w:ascii="Arial" w:hAnsi="Arial" w:eastAsia="Gulim" w:cs="Arial"/>
                <w:b/>
                <w:sz w:val="18"/>
              </w:rPr>
            </w:pPr>
            <w:r>
              <w:rPr>
                <w:rFonts w:hint="eastAsia" w:ascii="Arial" w:hAnsi="Arial" w:cs="Arial"/>
                <w:sz w:val="18"/>
              </w:rPr>
              <w:t>N/A</w:t>
            </w:r>
          </w:p>
        </w:tc>
        <w:tc>
          <w:tcPr>
            <w:tcW w:w="1173" w:type="dxa"/>
          </w:tcPr>
          <w:p>
            <w:pPr>
              <w:keepNext/>
              <w:keepLines/>
              <w:rPr>
                <w:rFonts w:ascii="Arial" w:hAnsi="Arial" w:cs="Arial"/>
                <w:sz w:val="18"/>
              </w:rPr>
            </w:pPr>
            <w:r>
              <w:rPr>
                <w:rFonts w:ascii="Arial" w:hAnsi="Arial" w:cs="Arial"/>
                <w:sz w:val="18"/>
                <w:szCs w:val="18"/>
              </w:rPr>
              <w:t xml:space="preserve">If UE does not support the capability, network does not know ATG UE’s </w:t>
            </w:r>
            <w:r>
              <w:rPr>
                <w:rFonts w:hint="eastAsia" w:ascii="Arial" w:hAnsi="Arial" w:cs="Arial"/>
                <w:sz w:val="18"/>
                <w:szCs w:val="18"/>
              </w:rPr>
              <w:t>reception capability</w:t>
            </w:r>
            <w:r>
              <w:rPr>
                <w:rFonts w:ascii="Arial" w:hAnsi="Arial" w:cs="Arial"/>
                <w:sz w:val="18"/>
                <w:szCs w:val="18"/>
              </w:rPr>
              <w:t>.</w:t>
            </w:r>
          </w:p>
        </w:tc>
        <w:tc>
          <w:tcPr>
            <w:tcW w:w="970" w:type="dxa"/>
            <w:shd w:val="clear" w:color="auto" w:fill="auto"/>
          </w:tcPr>
          <w:p>
            <w:pPr>
              <w:keepNext/>
              <w:keepLines/>
              <w:rPr>
                <w:rFonts w:ascii="Arial" w:hAnsi="Arial" w:cs="Arial"/>
                <w:sz w:val="18"/>
              </w:rPr>
            </w:pPr>
            <w:r>
              <w:rPr>
                <w:rFonts w:hint="eastAsia" w:ascii="Arial" w:hAnsi="Arial" w:cs="Arial"/>
                <w:sz w:val="18"/>
              </w:rPr>
              <w:t>Per BC</w:t>
            </w:r>
          </w:p>
        </w:tc>
        <w:tc>
          <w:tcPr>
            <w:tcW w:w="1188" w:type="dxa"/>
            <w:shd w:val="clear" w:color="auto" w:fill="auto"/>
          </w:tcPr>
          <w:p>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No</w:t>
            </w:r>
          </w:p>
        </w:tc>
        <w:tc>
          <w:tcPr>
            <w:tcW w:w="1188" w:type="dxa"/>
            <w:shd w:val="clear" w:color="auto" w:fill="auto"/>
          </w:tcPr>
          <w:p>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FR1 only</w:t>
            </w:r>
          </w:p>
        </w:tc>
        <w:tc>
          <w:tcPr>
            <w:tcW w:w="1157" w:type="dxa"/>
          </w:tcPr>
          <w:p>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N/A</w:t>
            </w:r>
          </w:p>
        </w:tc>
        <w:tc>
          <w:tcPr>
            <w:tcW w:w="1174"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 xml:space="preserve">This UE feature is applicable only for inter-band CA band combination(s) in Table </w:t>
            </w:r>
            <w:r>
              <w:rPr>
                <w:rFonts w:hint="eastAsia" w:ascii="Arial" w:hAnsi="Arial" w:cs="Arial"/>
                <w:sz w:val="18"/>
                <w:highlight w:val="none"/>
              </w:rPr>
              <w:t xml:space="preserve">5.2J.1A.2 </w:t>
            </w:r>
            <w:r>
              <w:rPr>
                <w:rFonts w:hint="eastAsia" w:ascii="Arial" w:hAnsi="Arial" w:cs="Arial"/>
                <w:sz w:val="18"/>
              </w:rPr>
              <w:t>in TS 38.101-1.</w:t>
            </w:r>
          </w:p>
        </w:tc>
        <w:tc>
          <w:tcPr>
            <w:tcW w:w="1676" w:type="dxa"/>
            <w:shd w:val="clear" w:color="auto" w:fill="auto"/>
          </w:tcPr>
          <w:p>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Conditional mandatory for UEs supporting antennaArrayType-r18 on each band of the supported Band combination</w:t>
            </w:r>
          </w:p>
        </w:tc>
      </w:tr>
      <w:bookmarkEnd w:id="0"/>
    </w:tbl>
    <w:p>
      <w:pPr>
        <w:snapToGrid w:val="0"/>
        <w:spacing w:after="120"/>
        <w:rPr>
          <w:b/>
          <w:u w:val="single"/>
          <w:lang w:val="en-US" w:eastAsia="zh-CN"/>
        </w:rPr>
        <w:sectPr>
          <w:footnotePr>
            <w:numRestart w:val="eachSect"/>
          </w:footnotePr>
          <w:pgSz w:w="16840" w:h="11907" w:orient="landscape"/>
          <w:pgMar w:top="720" w:right="720" w:bottom="720" w:left="720" w:header="680" w:footer="567" w:gutter="0"/>
          <w:cols w:space="720" w:num="1"/>
          <w:docGrid w:linePitch="272" w:charSpace="0"/>
        </w:sectPr>
      </w:pPr>
    </w:p>
    <w:p>
      <w:pPr>
        <w:spacing w:after="120"/>
        <w:rPr>
          <w:b/>
          <w:sz w:val="21"/>
          <w:szCs w:val="21"/>
          <w:u w:val="single"/>
          <w:lang w:val="en-US" w:eastAsia="zh-CN"/>
        </w:rPr>
      </w:pPr>
      <w:r>
        <w:rPr>
          <w:b/>
          <w:sz w:val="21"/>
          <w:szCs w:val="21"/>
          <w:u w:val="single"/>
          <w:lang w:val="en-US" w:eastAsia="zh-CN"/>
        </w:rPr>
        <w:t>Issue 1-2-1: Sharing factor between L1 measurement and RRM measurement - effective non-overlapping duration</w:t>
      </w:r>
    </w:p>
    <w:p>
      <w:pPr>
        <w:rPr>
          <w:rFonts w:eastAsia="宋体"/>
          <w:sz w:val="21"/>
          <w:szCs w:val="21"/>
          <w:highlight w:val="green"/>
          <w:lang w:eastAsia="zh-CN"/>
        </w:rPr>
      </w:pPr>
      <w:r>
        <w:rPr>
          <w:rFonts w:hint="eastAsia" w:eastAsia="宋体"/>
          <w:sz w:val="21"/>
          <w:szCs w:val="21"/>
          <w:highlight w:val="green"/>
          <w:lang w:eastAsia="zh-CN"/>
        </w:rPr>
        <w:t>A</w:t>
      </w:r>
      <w:r>
        <w:rPr>
          <w:rFonts w:eastAsia="宋体"/>
          <w:sz w:val="21"/>
          <w:szCs w:val="21"/>
          <w:highlight w:val="green"/>
          <w:lang w:eastAsia="zh-CN"/>
        </w:rPr>
        <w:t>greement:</w:t>
      </w:r>
    </w:p>
    <w:p>
      <w:pPr>
        <w:pStyle w:val="72"/>
        <w:numPr>
          <w:ilvl w:val="0"/>
          <w:numId w:val="1"/>
        </w:numPr>
        <w:tabs>
          <w:tab w:val="left" w:pos="0"/>
          <w:tab w:val="clear" w:pos="-420"/>
        </w:tabs>
        <w:spacing w:after="120"/>
        <w:ind w:left="720" w:leftChars="0"/>
        <w:contextualSpacing w:val="0"/>
        <w:rPr>
          <w:bCs/>
          <w:sz w:val="21"/>
          <w:szCs w:val="21"/>
          <w:highlight w:val="green"/>
          <w:lang w:eastAsia="ko-KR" w:bidi="ar"/>
        </w:rPr>
      </w:pPr>
      <w:r>
        <w:rPr>
          <w:sz w:val="21"/>
          <w:szCs w:val="21"/>
          <w:highlight w:val="green"/>
        </w:rPr>
        <w:t>Remove this ‘L1-RSs fully-overlapped by intra-frequency SMTC occasions are not overlapped with any of the effective L3-RSs symbols’ case from R18.</w:t>
      </w:r>
    </w:p>
    <w:p>
      <w:pPr>
        <w:snapToGrid w:val="0"/>
        <w:spacing w:after="120"/>
        <w:rPr>
          <w:b/>
          <w:u w:val="single"/>
          <w:lang w:val="en-US" w:eastAsia="zh-CN"/>
        </w:rPr>
      </w:pPr>
    </w:p>
    <w:p>
      <w:pPr>
        <w:spacing w:after="120"/>
        <w:rPr>
          <w:b/>
          <w:sz w:val="21"/>
          <w:szCs w:val="21"/>
          <w:u w:val="single"/>
          <w:lang w:val="en-US" w:eastAsia="zh-CN"/>
        </w:rPr>
      </w:pPr>
      <w:r>
        <w:rPr>
          <w:b/>
          <w:sz w:val="21"/>
          <w:szCs w:val="21"/>
          <w:u w:val="single"/>
          <w:lang w:val="en-US" w:eastAsia="zh-CN"/>
        </w:rPr>
        <w:t>Issue 1-2-2: Sharing factor between L1 measurement and RRM measurement - CSI-RS based L3 measurement</w:t>
      </w:r>
    </w:p>
    <w:p>
      <w:pPr>
        <w:spacing w:after="120"/>
        <w:ind w:left="0" w:leftChars="0"/>
        <w:rPr>
          <w:sz w:val="21"/>
          <w:szCs w:val="21"/>
          <w:highlight w:val="green"/>
          <w:lang w:val="en-US" w:eastAsia="zh-CN"/>
        </w:rPr>
      </w:pPr>
      <w:r>
        <w:rPr>
          <w:rFonts w:hint="eastAsia"/>
          <w:sz w:val="21"/>
          <w:szCs w:val="21"/>
          <w:highlight w:val="green"/>
          <w:lang w:val="en-US" w:eastAsia="zh-CN"/>
        </w:rPr>
        <w:t>A</w:t>
      </w:r>
      <w:r>
        <w:rPr>
          <w:sz w:val="21"/>
          <w:szCs w:val="21"/>
          <w:highlight w:val="green"/>
          <w:lang w:val="en-US" w:eastAsia="zh-CN"/>
        </w:rPr>
        <w:t>greement:</w:t>
      </w:r>
    </w:p>
    <w:p>
      <w:pPr>
        <w:pStyle w:val="72"/>
        <w:numPr>
          <w:ilvl w:val="0"/>
          <w:numId w:val="1"/>
        </w:numPr>
        <w:tabs>
          <w:tab w:val="left" w:pos="0"/>
          <w:tab w:val="clear" w:pos="-420"/>
        </w:tabs>
        <w:spacing w:after="120"/>
        <w:ind w:left="720" w:leftChars="0"/>
        <w:contextualSpacing w:val="0"/>
        <w:rPr>
          <w:rFonts w:eastAsia="宋体"/>
          <w:sz w:val="21"/>
          <w:szCs w:val="21"/>
          <w:highlight w:val="green"/>
        </w:rPr>
      </w:pPr>
      <w:r>
        <w:rPr>
          <w:sz w:val="21"/>
          <w:szCs w:val="21"/>
          <w:highlight w:val="green"/>
        </w:rPr>
        <w:t>For CSI-RS based intra-frequency L3 measurement</w:t>
      </w:r>
    </w:p>
    <w:p>
      <w:pPr>
        <w:pStyle w:val="72"/>
        <w:ind w:left="1500"/>
        <w:rPr>
          <w:rFonts w:eastAsia="等线"/>
          <w:sz w:val="21"/>
          <w:szCs w:val="21"/>
          <w:highlight w:val="green"/>
        </w:rPr>
      </w:pPr>
      <w:r>
        <w:rPr>
          <w:rFonts w:eastAsia="等线"/>
          <w:sz w:val="21"/>
          <w:szCs w:val="21"/>
          <w:highlight w:val="green"/>
        </w:rPr>
        <w:t>the K</w:t>
      </w:r>
      <w:r>
        <w:rPr>
          <w:rFonts w:eastAsia="Yu Mincho Light"/>
          <w:sz w:val="21"/>
          <w:szCs w:val="21"/>
          <w:highlight w:val="green"/>
          <w:vertAlign w:val="subscript"/>
        </w:rPr>
        <w:t>layer1_measurement</w:t>
      </w:r>
      <w:r>
        <w:rPr>
          <w:rFonts w:eastAsia="等线"/>
          <w:sz w:val="21"/>
          <w:szCs w:val="21"/>
          <w:highlight w:val="green"/>
        </w:rPr>
        <w:t xml:space="preserve"> shall be defined as:</w:t>
      </w:r>
    </w:p>
    <w:p>
      <w:pPr>
        <w:pStyle w:val="72"/>
        <w:numPr>
          <w:ilvl w:val="2"/>
          <w:numId w:val="1"/>
        </w:numPr>
        <w:tabs>
          <w:tab w:val="left" w:pos="0"/>
        </w:tabs>
        <w:spacing w:after="120"/>
        <w:ind w:left="1860"/>
        <w:contextualSpacing w:val="0"/>
        <w:rPr>
          <w:rFonts w:eastAsia="宋体"/>
          <w:sz w:val="21"/>
          <w:szCs w:val="21"/>
          <w:highlight w:val="green"/>
        </w:rPr>
      </w:pPr>
      <w:r>
        <w:rPr>
          <w:rFonts w:eastAsia="宋体"/>
          <w:sz w:val="21"/>
          <w:szCs w:val="21"/>
          <w:highlight w:val="green"/>
        </w:rPr>
        <w:t xml:space="preserve">For </w:t>
      </w:r>
      <w:r>
        <w:rPr>
          <w:rFonts w:eastAsia="Times New Roman"/>
          <w:sz w:val="21"/>
          <w:szCs w:val="21"/>
          <w:highlight w:val="green"/>
        </w:rPr>
        <w:t>UE capable of [antennaArrayType-r1</w:t>
      </w:r>
      <w:r>
        <w:rPr>
          <w:rFonts w:eastAsia="宋体"/>
          <w:sz w:val="21"/>
          <w:szCs w:val="21"/>
          <w:highlight w:val="green"/>
        </w:rPr>
        <w:t>8] on the measured carrier</w:t>
      </w:r>
    </w:p>
    <w:p>
      <w:pPr>
        <w:pStyle w:val="72"/>
        <w:numPr>
          <w:ilvl w:val="2"/>
          <w:numId w:val="1"/>
        </w:numPr>
        <w:tabs>
          <w:tab w:val="left" w:pos="0"/>
        </w:tabs>
        <w:spacing w:after="120"/>
        <w:ind w:left="1860"/>
        <w:contextualSpacing w:val="0"/>
        <w:rPr>
          <w:rFonts w:eastAsia="Yu Mincho Light"/>
          <w:sz w:val="21"/>
          <w:szCs w:val="21"/>
          <w:highlight w:val="green"/>
        </w:rPr>
      </w:pPr>
      <w:r>
        <w:rPr>
          <w:rFonts w:eastAsia="Yu Mincho Light"/>
          <w:sz w:val="21"/>
          <w:szCs w:val="21"/>
          <w:highlight w:val="green"/>
        </w:rPr>
        <w:t>K</w:t>
      </w:r>
      <w:r>
        <w:rPr>
          <w:rFonts w:eastAsia="Yu Mincho Light"/>
          <w:sz w:val="21"/>
          <w:szCs w:val="21"/>
          <w:highlight w:val="green"/>
          <w:vertAlign w:val="subscript"/>
        </w:rPr>
        <w:t>layer1_measurement</w:t>
      </w:r>
      <w:r>
        <w:rPr>
          <w:rFonts w:eastAsia="Yu Mincho Light"/>
          <w:sz w:val="21"/>
          <w:szCs w:val="21"/>
          <w:highlight w:val="green"/>
        </w:rPr>
        <w:t xml:space="preserve">=1, </w:t>
      </w:r>
    </w:p>
    <w:p>
      <w:pPr>
        <w:spacing w:after="120"/>
        <w:ind w:left="1984"/>
        <w:rPr>
          <w:sz w:val="21"/>
          <w:szCs w:val="21"/>
          <w:highlight w:val="green"/>
          <w:lang w:val="en-US" w:eastAsia="zh-CN"/>
        </w:rPr>
      </w:pPr>
      <w:r>
        <w:rPr>
          <w:rFonts w:eastAsia="宋体"/>
          <w:sz w:val="21"/>
          <w:szCs w:val="21"/>
          <w:highlight w:val="green"/>
          <w:lang w:val="en-US" w:eastAsia="zh-CN"/>
        </w:rPr>
        <w:t>If the measured carrier is the SCC with servingcellMO configured, and the network indication [skippingSCCneighbourCellMeas] is set to [‘enable’] to UE,</w:t>
      </w:r>
    </w:p>
    <w:p>
      <w:pPr>
        <w:spacing w:after="120"/>
        <w:ind w:left="1984"/>
        <w:rPr>
          <w:sz w:val="21"/>
          <w:szCs w:val="21"/>
          <w:highlight w:val="green"/>
          <w:lang w:val="en-US" w:eastAsia="zh-CN"/>
        </w:rPr>
      </w:pPr>
      <w:r>
        <w:rPr>
          <w:rFonts w:eastAsia="宋体"/>
          <w:sz w:val="21"/>
          <w:szCs w:val="21"/>
          <w:highlight w:val="green"/>
          <w:lang w:val="en-US" w:eastAsia="zh-CN"/>
        </w:rPr>
        <w:t>Otherwise,</w:t>
      </w:r>
    </w:p>
    <w:p>
      <w:pPr>
        <w:spacing w:after="120"/>
        <w:ind w:left="2268"/>
        <w:contextualSpacing/>
        <w:rPr>
          <w:rFonts w:eastAsia="Yu Mincho Light"/>
          <w:sz w:val="21"/>
          <w:szCs w:val="21"/>
          <w:highlight w:val="green"/>
          <w:lang w:val="en-US" w:eastAsia="zh-CN"/>
        </w:rPr>
      </w:pPr>
      <w:r>
        <w:rPr>
          <w:rFonts w:eastAsia="Yu Mincho Light"/>
          <w:sz w:val="21"/>
          <w:szCs w:val="21"/>
          <w:highlight w:val="green"/>
          <w:lang w:val="en-US" w:eastAsia="zh-CN"/>
        </w:rPr>
        <w:t>If inter-band carrier aggregation within FR1 is configured, and</w:t>
      </w:r>
    </w:p>
    <w:p>
      <w:pPr>
        <w:spacing w:after="120"/>
        <w:ind w:left="2268"/>
        <w:contextualSpacing/>
        <w:rPr>
          <w:rFonts w:eastAsia="Yu Mincho Light"/>
          <w:sz w:val="21"/>
          <w:szCs w:val="21"/>
          <w:highlight w:val="green"/>
          <w:lang w:val="en-US" w:eastAsia="zh-CN"/>
        </w:rPr>
      </w:pPr>
      <w:r>
        <w:rPr>
          <w:rFonts w:eastAsia="Yu Mincho Light"/>
          <w:sz w:val="21"/>
          <w:szCs w:val="21"/>
          <w:highlight w:val="green"/>
          <w:lang w:val="en-US" w:eastAsia="zh-CN"/>
        </w:rPr>
        <w:t>UE not capable of antennaArrayType-r18 on the other serving carrier, or UE capable of antennaArrayType-r18 on the other serving carrier and [UE support two simultaneous separate Rx beams]</w:t>
      </w:r>
    </w:p>
    <w:p>
      <w:pPr>
        <w:spacing w:after="120"/>
        <w:ind w:left="2551"/>
        <w:rPr>
          <w:rFonts w:eastAsia="Yu Mincho Light"/>
          <w:sz w:val="21"/>
          <w:szCs w:val="21"/>
          <w:highlight w:val="green"/>
          <w:lang w:val="en-US" w:eastAsia="zh-CN"/>
        </w:rPr>
      </w:pPr>
      <w:r>
        <w:rPr>
          <w:rFonts w:eastAsia="宋体"/>
          <w:sz w:val="21"/>
          <w:szCs w:val="21"/>
          <w:highlight w:val="green"/>
          <w:lang w:val="en-US" w:eastAsia="zh-CN"/>
        </w:rPr>
        <w:t xml:space="preserve">-   </w:t>
      </w:r>
      <w:r>
        <w:rPr>
          <w:rFonts w:eastAsia="Yu Mincho Light"/>
          <w:sz w:val="21"/>
          <w:szCs w:val="21"/>
          <w:highlight w:val="green"/>
          <w:lang w:val="en-US" w:eastAsia="zh-CN"/>
        </w:rPr>
        <w:t xml:space="preserve">if all of the reference signals configured for RLM, BFD, CBD or L1-RSRP for beam reporting </w:t>
      </w:r>
      <w:r>
        <w:rPr>
          <w:rFonts w:eastAsia="Yu Mincho Light"/>
          <w:b/>
          <w:sz w:val="21"/>
          <w:szCs w:val="21"/>
          <w:highlight w:val="green"/>
          <w:lang w:val="en-US" w:eastAsia="zh-CN"/>
        </w:rPr>
        <w:t xml:space="preserve">on one serving cell </w:t>
      </w:r>
      <w:r>
        <w:rPr>
          <w:rFonts w:eastAsia="Yu Mincho Light"/>
          <w:sz w:val="21"/>
          <w:szCs w:val="21"/>
          <w:highlight w:val="green"/>
          <w:lang w:val="en-US" w:eastAsia="zh-CN"/>
        </w:rPr>
        <w:t>outside measurement gap are not fully overlapped by intra-frequency SMTC occasions</w:t>
      </w:r>
      <w:r>
        <w:rPr>
          <w:rFonts w:eastAsia="宋体"/>
          <w:sz w:val="21"/>
          <w:szCs w:val="21"/>
          <w:highlight w:val="green"/>
          <w:lang w:val="en-US" w:eastAsia="zh-CN"/>
        </w:rPr>
        <w:t xml:space="preserve"> or </w:t>
      </w:r>
      <w:r>
        <w:rPr>
          <w:rFonts w:eastAsia="宋体"/>
          <w:b/>
          <w:sz w:val="21"/>
          <w:szCs w:val="21"/>
          <w:highlight w:val="green"/>
          <w:lang w:val="en-US" w:eastAsia="zh-CN"/>
        </w:rPr>
        <w:t xml:space="preserve">CSI-RSs </w:t>
      </w:r>
      <w:r>
        <w:rPr>
          <w:b/>
          <w:sz w:val="21"/>
          <w:szCs w:val="21"/>
          <w:highlight w:val="green"/>
          <w:lang w:val="en-US" w:eastAsia="zh-CN"/>
        </w:rPr>
        <w:t>occasion</w:t>
      </w:r>
      <w:r>
        <w:rPr>
          <w:rFonts w:eastAsia="宋体"/>
          <w:b/>
          <w:sz w:val="21"/>
          <w:szCs w:val="21"/>
          <w:highlight w:val="green"/>
          <w:lang w:val="en-US" w:eastAsia="zh-CN"/>
        </w:rPr>
        <w:t>s</w:t>
      </w:r>
      <w:r>
        <w:rPr>
          <w:rFonts w:eastAsia="宋体"/>
          <w:sz w:val="21"/>
          <w:szCs w:val="21"/>
          <w:highlight w:val="green"/>
          <w:lang w:val="en-US" w:eastAsia="zh-CN"/>
        </w:rPr>
        <w:t xml:space="preserve"> </w:t>
      </w:r>
      <w:r>
        <w:rPr>
          <w:rFonts w:eastAsia="Yu Mincho Light"/>
          <w:sz w:val="21"/>
          <w:szCs w:val="21"/>
          <w:highlight w:val="green"/>
          <w:lang w:val="en-US" w:eastAsia="zh-CN"/>
        </w:rPr>
        <w:t>of same serving cell</w:t>
      </w:r>
    </w:p>
    <w:p>
      <w:pPr>
        <w:spacing w:after="120"/>
        <w:ind w:left="2551"/>
        <w:rPr>
          <w:rFonts w:eastAsia="Yu Mincho Light"/>
          <w:sz w:val="21"/>
          <w:szCs w:val="21"/>
          <w:highlight w:val="green"/>
          <w:lang w:val="en-US" w:eastAsia="zh-CN"/>
        </w:rPr>
      </w:pPr>
      <w:r>
        <w:rPr>
          <w:rFonts w:eastAsia="Yu Mincho Light"/>
          <w:sz w:val="21"/>
          <w:szCs w:val="21"/>
          <w:highlight w:val="green"/>
          <w:lang w:val="en-US" w:eastAsia="zh-CN"/>
        </w:rPr>
        <w:t xml:space="preserve">Otherwise, </w:t>
      </w:r>
    </w:p>
    <w:p>
      <w:pPr>
        <w:spacing w:after="120"/>
        <w:ind w:left="2551"/>
        <w:rPr>
          <w:sz w:val="21"/>
          <w:szCs w:val="21"/>
          <w:highlight w:val="green"/>
          <w:lang w:eastAsia="zh-CN"/>
        </w:rPr>
      </w:pPr>
      <w:r>
        <w:rPr>
          <w:rFonts w:eastAsia="宋体"/>
          <w:sz w:val="21"/>
          <w:szCs w:val="21"/>
          <w:highlight w:val="green"/>
          <w:lang w:val="en-US" w:eastAsia="zh-CN"/>
        </w:rPr>
        <w:t xml:space="preserve">-   </w:t>
      </w:r>
      <w:r>
        <w:rPr>
          <w:rFonts w:eastAsia="Yu Mincho Light"/>
          <w:sz w:val="21"/>
          <w:szCs w:val="21"/>
          <w:highlight w:val="green"/>
          <w:lang w:val="en-US" w:eastAsia="zh-CN"/>
        </w:rPr>
        <w:t>if all of the reference signals configured for RLM, BFD, CBD or L1-RSRP for beam reporting outside measurement gap are not fully overlapped by intra-frequency SMTC occasions</w:t>
      </w:r>
      <w:r>
        <w:rPr>
          <w:rFonts w:eastAsia="宋体"/>
          <w:sz w:val="21"/>
          <w:szCs w:val="21"/>
          <w:highlight w:val="green"/>
          <w:lang w:val="en-US" w:eastAsia="zh-CN"/>
        </w:rPr>
        <w:t xml:space="preserve"> and </w:t>
      </w:r>
      <w:r>
        <w:rPr>
          <w:rFonts w:eastAsia="宋体"/>
          <w:b/>
          <w:sz w:val="21"/>
          <w:szCs w:val="21"/>
          <w:highlight w:val="green"/>
          <w:lang w:val="en-US" w:eastAsia="zh-CN"/>
        </w:rPr>
        <w:t xml:space="preserve">CSI-RSs </w:t>
      </w:r>
      <w:r>
        <w:rPr>
          <w:b/>
          <w:sz w:val="21"/>
          <w:szCs w:val="21"/>
          <w:highlight w:val="green"/>
          <w:lang w:val="en-US" w:eastAsia="zh-CN"/>
        </w:rPr>
        <w:t>occasions</w:t>
      </w:r>
      <w:r>
        <w:rPr>
          <w:rFonts w:eastAsia="宋体"/>
          <w:sz w:val="21"/>
          <w:szCs w:val="21"/>
          <w:highlight w:val="green"/>
          <w:lang w:val="en-US" w:eastAsia="zh-CN"/>
        </w:rPr>
        <w:t>.</w:t>
      </w:r>
    </w:p>
    <w:p>
      <w:pPr>
        <w:pStyle w:val="72"/>
        <w:numPr>
          <w:ilvl w:val="0"/>
          <w:numId w:val="1"/>
        </w:numPr>
        <w:tabs>
          <w:tab w:val="left" w:pos="0"/>
          <w:tab w:val="clear" w:pos="-420"/>
        </w:tabs>
        <w:spacing w:after="120"/>
        <w:ind w:left="720" w:leftChars="0"/>
        <w:contextualSpacing w:val="0"/>
        <w:rPr>
          <w:rFonts w:eastAsia="宋体"/>
          <w:sz w:val="21"/>
          <w:szCs w:val="21"/>
          <w:highlight w:val="green"/>
        </w:rPr>
      </w:pPr>
      <w:r>
        <w:rPr>
          <w:sz w:val="21"/>
          <w:szCs w:val="21"/>
          <w:highlight w:val="green"/>
        </w:rPr>
        <w:t>For CSI-RS based inter-frequency L3 measurement in ATG, no need to consider K</w:t>
      </w:r>
      <w:r>
        <w:rPr>
          <w:sz w:val="21"/>
          <w:szCs w:val="21"/>
          <w:highlight w:val="green"/>
          <w:vertAlign w:val="subscript"/>
        </w:rPr>
        <w:t>layer1_measurement</w:t>
      </w:r>
      <w:r>
        <w:rPr>
          <w:sz w:val="21"/>
          <w:szCs w:val="21"/>
          <w:highlight w:val="green"/>
        </w:rPr>
        <w:t xml:space="preserve"> , but this shall be revised by using CAT-F CR from Rel-18</w:t>
      </w:r>
    </w:p>
    <w:p>
      <w:pPr>
        <w:snapToGrid w:val="0"/>
        <w:spacing w:after="120"/>
        <w:rPr>
          <w:b/>
          <w:u w:val="single"/>
          <w:lang w:val="en-US" w:eastAsia="zh-CN"/>
        </w:rPr>
      </w:pPr>
    </w:p>
    <w:p>
      <w:pPr>
        <w:tabs>
          <w:tab w:val="left" w:pos="0"/>
        </w:tabs>
        <w:spacing w:after="120"/>
        <w:rPr>
          <w:rFonts w:eastAsia="宋体"/>
          <w:b/>
          <w:bCs/>
          <w:sz w:val="21"/>
          <w:szCs w:val="21"/>
          <w:u w:val="single"/>
          <w:lang w:val="en-US"/>
        </w:rPr>
      </w:pPr>
      <w:r>
        <w:rPr>
          <w:rFonts w:eastAsia="宋体"/>
          <w:b/>
          <w:bCs/>
          <w:sz w:val="21"/>
          <w:szCs w:val="21"/>
          <w:u w:val="single"/>
          <w:lang w:val="en-US"/>
        </w:rPr>
        <w:t>Issue 1-2-3: Sharing factor between L1 measurement and RRM measurement - Navailable of scaling factor P</w:t>
      </w:r>
    </w:p>
    <w:p>
      <w:pPr>
        <w:pStyle w:val="72"/>
        <w:numPr>
          <w:ilvl w:val="0"/>
          <w:numId w:val="1"/>
        </w:numPr>
        <w:tabs>
          <w:tab w:val="left" w:pos="0"/>
          <w:tab w:val="clear" w:pos="-420"/>
        </w:tabs>
        <w:spacing w:after="120"/>
        <w:ind w:left="720" w:leftChars="0"/>
        <w:contextualSpacing w:val="0"/>
        <w:rPr>
          <w:rFonts w:eastAsia="等线"/>
          <w:sz w:val="21"/>
          <w:szCs w:val="21"/>
          <w:highlight w:val="green"/>
        </w:rPr>
      </w:pPr>
      <w:r>
        <w:rPr>
          <w:rFonts w:eastAsia="等线"/>
          <w:sz w:val="21"/>
          <w:szCs w:val="21"/>
          <w:highlight w:val="green"/>
        </w:rPr>
        <w:t xml:space="preserve">For RLM of PCell, the </w:t>
      </w:r>
      <w:r>
        <w:rPr>
          <w:sz w:val="21"/>
          <w:szCs w:val="21"/>
          <w:highlight w:val="green"/>
        </w:rPr>
        <w:t>N</w:t>
      </w:r>
      <w:r>
        <w:rPr>
          <w:sz w:val="21"/>
          <w:szCs w:val="21"/>
          <w:highlight w:val="green"/>
          <w:vertAlign w:val="subscript"/>
        </w:rPr>
        <w:t>available</w:t>
      </w:r>
      <w:r>
        <w:rPr>
          <w:rFonts w:eastAsia="等线"/>
          <w:sz w:val="21"/>
          <w:szCs w:val="21"/>
          <w:highlight w:val="green"/>
        </w:rPr>
        <w:t xml:space="preserve"> shall be defined as:</w:t>
      </w:r>
    </w:p>
    <w:p>
      <w:pPr>
        <w:pStyle w:val="72"/>
        <w:numPr>
          <w:ilvl w:val="1"/>
          <w:numId w:val="1"/>
        </w:numPr>
        <w:tabs>
          <w:tab w:val="left" w:pos="0"/>
          <w:tab w:val="clear" w:pos="-420"/>
        </w:tabs>
        <w:spacing w:after="120"/>
        <w:ind w:left="1440" w:leftChars="0"/>
        <w:contextualSpacing w:val="0"/>
        <w:rPr>
          <w:sz w:val="21"/>
          <w:szCs w:val="21"/>
          <w:highlight w:val="green"/>
        </w:rPr>
      </w:pPr>
      <w:r>
        <w:rPr>
          <w:sz w:val="21"/>
          <w:szCs w:val="21"/>
          <w:highlight w:val="green"/>
        </w:rPr>
        <w:t>If inter-band carrier aggregation within FR1 is configured, and UE not capable of antennaArrayType-r18 on the other serving carrier or [UE support two simultaneous separate Rx beams]</w:t>
      </w:r>
    </w:p>
    <w:p>
      <w:pPr>
        <w:pStyle w:val="72"/>
        <w:numPr>
          <w:ilvl w:val="2"/>
          <w:numId w:val="1"/>
        </w:numPr>
        <w:tabs>
          <w:tab w:val="left" w:pos="0"/>
          <w:tab w:val="clear" w:pos="-420"/>
        </w:tabs>
        <w:spacing w:after="120"/>
        <w:ind w:left="1860" w:leftChars="0"/>
        <w:contextualSpacing w:val="0"/>
        <w:rPr>
          <w:rFonts w:eastAsia="宋体"/>
          <w:sz w:val="21"/>
          <w:szCs w:val="21"/>
          <w:highlight w:val="green"/>
        </w:rPr>
      </w:pPr>
      <w:r>
        <w:rPr>
          <w:rFonts w:eastAsia="宋体"/>
          <w:sz w:val="21"/>
          <w:szCs w:val="21"/>
          <w:highlight w:val="green"/>
        </w:rPr>
        <w:t xml:space="preserve">the number of RLM/BFD/CBD-RS resource occasions that are not overlapped with any measurement gap occasion nor any SMTC occasion </w:t>
      </w:r>
      <w:r>
        <w:rPr>
          <w:rFonts w:eastAsia="宋体"/>
          <w:b/>
          <w:sz w:val="21"/>
          <w:szCs w:val="21"/>
          <w:highlight w:val="green"/>
        </w:rPr>
        <w:t xml:space="preserve">nor CSI-RSs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 xml:space="preserve">resource </w:t>
      </w:r>
      <w:r>
        <w:rPr>
          <w:rFonts w:eastAsia="宋体"/>
          <w:b/>
          <w:sz w:val="21"/>
          <w:szCs w:val="21"/>
          <w:highlight w:val="green"/>
        </w:rPr>
        <w:t>occasions</w:t>
      </w:r>
      <w:r>
        <w:rPr>
          <w:rFonts w:eastAsia="宋体"/>
          <w:sz w:val="21"/>
          <w:szCs w:val="21"/>
          <w:highlight w:val="green"/>
        </w:rPr>
        <w:t xml:space="preserve"> of same serving cell within the window W,</w:t>
      </w:r>
    </w:p>
    <w:p>
      <w:pPr>
        <w:pStyle w:val="72"/>
        <w:numPr>
          <w:ilvl w:val="1"/>
          <w:numId w:val="1"/>
        </w:numPr>
        <w:tabs>
          <w:tab w:val="left" w:pos="0"/>
          <w:tab w:val="clear" w:pos="-420"/>
        </w:tabs>
        <w:spacing w:after="120"/>
        <w:ind w:left="1440" w:leftChars="0"/>
        <w:contextualSpacing w:val="0"/>
        <w:rPr>
          <w:rFonts w:eastAsia="宋体"/>
          <w:sz w:val="21"/>
          <w:szCs w:val="21"/>
          <w:highlight w:val="green"/>
        </w:rPr>
      </w:pPr>
      <w:r>
        <w:rPr>
          <w:rFonts w:eastAsia="宋体"/>
          <w:sz w:val="21"/>
          <w:szCs w:val="21"/>
          <w:highlight w:val="green"/>
        </w:rPr>
        <w:t xml:space="preserve">otherwise, </w:t>
      </w:r>
    </w:p>
    <w:p>
      <w:pPr>
        <w:pStyle w:val="72"/>
        <w:numPr>
          <w:ilvl w:val="2"/>
          <w:numId w:val="1"/>
        </w:numPr>
        <w:tabs>
          <w:tab w:val="left" w:pos="0"/>
          <w:tab w:val="clear" w:pos="-420"/>
        </w:tabs>
        <w:spacing w:after="120"/>
        <w:ind w:left="1860" w:leftChars="0"/>
        <w:contextualSpacing w:val="0"/>
        <w:rPr>
          <w:rFonts w:eastAsia="宋体"/>
          <w:color w:val="0070C0"/>
          <w:sz w:val="21"/>
          <w:szCs w:val="21"/>
          <w:highlight w:val="green"/>
        </w:rPr>
      </w:pPr>
      <w:r>
        <w:rPr>
          <w:rFonts w:eastAsia="宋体"/>
          <w:sz w:val="21"/>
          <w:szCs w:val="21"/>
          <w:highlight w:val="green"/>
        </w:rPr>
        <w:t xml:space="preserve">the number of RLM/BFD/CBD-RS resource occasions that are not overlapped with any measurement gap occasion nor any SMTC occasion </w:t>
      </w:r>
      <w:r>
        <w:rPr>
          <w:rFonts w:eastAsia="宋体"/>
          <w:b/>
          <w:sz w:val="21"/>
          <w:szCs w:val="21"/>
          <w:highlight w:val="green"/>
        </w:rPr>
        <w:t xml:space="preserve">nor CSI-RSs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 xml:space="preserve">resource </w:t>
      </w:r>
      <w:r>
        <w:rPr>
          <w:rFonts w:eastAsia="宋体"/>
          <w:b/>
          <w:sz w:val="21"/>
          <w:szCs w:val="21"/>
          <w:highlight w:val="green"/>
        </w:rPr>
        <w:t>occasions</w:t>
      </w:r>
      <w:r>
        <w:rPr>
          <w:rFonts w:eastAsia="宋体"/>
          <w:sz w:val="21"/>
          <w:szCs w:val="21"/>
          <w:highlight w:val="green"/>
        </w:rPr>
        <w:t xml:space="preserve"> within the window W.</w:t>
      </w:r>
    </w:p>
    <w:p>
      <w:pPr>
        <w:pStyle w:val="72"/>
        <w:numPr>
          <w:ilvl w:val="0"/>
          <w:numId w:val="1"/>
        </w:numPr>
        <w:tabs>
          <w:tab w:val="left" w:pos="0"/>
          <w:tab w:val="clear" w:pos="-420"/>
        </w:tabs>
        <w:spacing w:after="120"/>
        <w:ind w:left="720" w:leftChars="0"/>
        <w:contextualSpacing w:val="0"/>
        <w:rPr>
          <w:rFonts w:eastAsia="宋体"/>
          <w:sz w:val="21"/>
          <w:szCs w:val="21"/>
          <w:highlight w:val="green"/>
        </w:rPr>
      </w:pPr>
      <w:r>
        <w:rPr>
          <w:rFonts w:eastAsia="宋体"/>
          <w:sz w:val="21"/>
          <w:szCs w:val="21"/>
          <w:highlight w:val="green"/>
        </w:rPr>
        <w:t xml:space="preserve">For BFD, CBD, L1-RSRP and L1-SINR, </w:t>
      </w:r>
      <w:r>
        <w:rPr>
          <w:rFonts w:eastAsia="等线"/>
          <w:sz w:val="21"/>
          <w:szCs w:val="21"/>
          <w:highlight w:val="green"/>
        </w:rPr>
        <w:t xml:space="preserve">the </w:t>
      </w:r>
      <w:r>
        <w:rPr>
          <w:rFonts w:eastAsia="MS Mincho"/>
          <w:sz w:val="21"/>
          <w:szCs w:val="21"/>
          <w:highlight w:val="green"/>
        </w:rPr>
        <w:t>N</w:t>
      </w:r>
      <w:r>
        <w:rPr>
          <w:rFonts w:eastAsia="MS Mincho"/>
          <w:sz w:val="21"/>
          <w:szCs w:val="21"/>
          <w:highlight w:val="green"/>
          <w:vertAlign w:val="subscript"/>
        </w:rPr>
        <w:t>available</w:t>
      </w:r>
      <w:r>
        <w:rPr>
          <w:rFonts w:eastAsia="MS Mincho"/>
          <w:sz w:val="21"/>
          <w:szCs w:val="21"/>
          <w:highlight w:val="green"/>
        </w:rPr>
        <w:t xml:space="preserve"> </w:t>
      </w:r>
      <w:r>
        <w:rPr>
          <w:rFonts w:eastAsia="宋体"/>
          <w:sz w:val="21"/>
          <w:szCs w:val="21"/>
          <w:highlight w:val="green"/>
        </w:rPr>
        <w:t>in</w:t>
      </w:r>
      <w:r>
        <w:rPr>
          <w:rFonts w:eastAsia="等线"/>
          <w:sz w:val="21"/>
          <w:szCs w:val="21"/>
          <w:highlight w:val="green"/>
        </w:rPr>
        <w:t xml:space="preserve"> P</w:t>
      </w:r>
      <w:r>
        <w:rPr>
          <w:rFonts w:eastAsia="等线"/>
          <w:sz w:val="21"/>
          <w:szCs w:val="21"/>
          <w:highlight w:val="green"/>
          <w:vertAlign w:val="subscript"/>
        </w:rPr>
        <w:t>sharingfactor</w:t>
      </w:r>
      <w:r>
        <w:rPr>
          <w:sz w:val="21"/>
          <w:szCs w:val="21"/>
          <w:highlight w:val="green"/>
          <w:vertAlign w:val="subscript"/>
        </w:rPr>
        <w:t>t</w:t>
      </w:r>
      <w:r>
        <w:rPr>
          <w:rFonts w:eastAsia="等线"/>
          <w:sz w:val="21"/>
          <w:szCs w:val="21"/>
          <w:highlight w:val="green"/>
        </w:rPr>
        <w:t xml:space="preserve"> shall be defined as:</w:t>
      </w:r>
    </w:p>
    <w:p>
      <w:pPr>
        <w:pStyle w:val="72"/>
        <w:numPr>
          <w:ilvl w:val="1"/>
          <w:numId w:val="1"/>
        </w:numPr>
        <w:tabs>
          <w:tab w:val="left" w:pos="0"/>
          <w:tab w:val="clear" w:pos="-420"/>
        </w:tabs>
        <w:spacing w:after="120"/>
        <w:ind w:left="1440" w:leftChars="0"/>
        <w:contextualSpacing w:val="0"/>
        <w:rPr>
          <w:rFonts w:eastAsia="宋体"/>
          <w:sz w:val="21"/>
          <w:szCs w:val="21"/>
          <w:highlight w:val="green"/>
        </w:rPr>
      </w:pPr>
      <w:r>
        <w:rPr>
          <w:rFonts w:eastAsia="宋体"/>
          <w:sz w:val="21"/>
          <w:szCs w:val="21"/>
          <w:highlight w:val="green"/>
        </w:rPr>
        <w:t>If the measured carrier is the SCC with servingcellMO configured, and the network indication [skippingSCCneighbourCellMeas] is set to [‘enable’] to UE,</w:t>
      </w:r>
    </w:p>
    <w:p>
      <w:pPr>
        <w:pStyle w:val="72"/>
        <w:numPr>
          <w:ilvl w:val="2"/>
          <w:numId w:val="1"/>
        </w:numPr>
        <w:tabs>
          <w:tab w:val="left" w:pos="0"/>
          <w:tab w:val="clear" w:pos="-420"/>
        </w:tabs>
        <w:spacing w:after="120"/>
        <w:ind w:left="1860" w:leftChars="0"/>
        <w:contextualSpacing w:val="0"/>
        <w:rPr>
          <w:sz w:val="21"/>
          <w:szCs w:val="21"/>
          <w:highlight w:val="green"/>
        </w:rPr>
      </w:pPr>
      <w:r>
        <w:rPr>
          <w:sz w:val="21"/>
          <w:szCs w:val="21"/>
          <w:highlight w:val="green"/>
        </w:rPr>
        <w:t>If inter-band carrier aggregation within FR1 is configured, and UE not capable of antennaArrayType-r18 on the other serving carrier or [UE support two simultaneous separate Rx beams]</w:t>
      </w:r>
    </w:p>
    <w:p>
      <w:pPr>
        <w:pStyle w:val="72"/>
        <w:numPr>
          <w:ilvl w:val="3"/>
          <w:numId w:val="1"/>
        </w:numPr>
        <w:tabs>
          <w:tab w:val="left" w:pos="0"/>
          <w:tab w:val="clear" w:pos="-420"/>
        </w:tabs>
        <w:spacing w:after="120"/>
        <w:ind w:left="2280" w:leftChars="0"/>
        <w:contextualSpacing w:val="0"/>
        <w:rPr>
          <w:rFonts w:eastAsia="宋体"/>
          <w:sz w:val="21"/>
          <w:szCs w:val="21"/>
          <w:highlight w:val="green"/>
        </w:rPr>
      </w:pPr>
      <w:r>
        <w:rPr>
          <w:rFonts w:eastAsia="宋体"/>
          <w:sz w:val="21"/>
          <w:szCs w:val="21"/>
          <w:highlight w:val="green"/>
        </w:rPr>
        <w:t xml:space="preserve">the number of BFD/CBD/SSB/CSI-RS resource occasions that are not overlapped with any measurement gap </w:t>
      </w:r>
      <w:r>
        <w:rPr>
          <w:rFonts w:hint="default" w:ascii="Times New Roman" w:hAnsi="Times New Roman" w:eastAsia="굴림" w:cs="Times New Roman"/>
          <w:b/>
          <w:bCs/>
          <w:i w:val="0"/>
          <w:iCs w:val="0"/>
          <w:caps w:val="0"/>
          <w:color w:val="000000"/>
          <w:spacing w:val="0"/>
          <w:kern w:val="0"/>
          <w:sz w:val="21"/>
          <w:szCs w:val="21"/>
          <w:highlight w:val="yellow"/>
          <w:shd w:val="clear" w:fill="00FFFF"/>
          <w:lang w:val="en-US" w:eastAsia="zh-CN" w:bidi="ar"/>
        </w:rPr>
        <w:t>within the window W</w:t>
      </w:r>
    </w:p>
    <w:p>
      <w:pPr>
        <w:pStyle w:val="72"/>
        <w:numPr>
          <w:ilvl w:val="2"/>
          <w:numId w:val="1"/>
        </w:numPr>
        <w:tabs>
          <w:tab w:val="left" w:pos="0"/>
          <w:tab w:val="clear" w:pos="-420"/>
        </w:tabs>
        <w:spacing w:after="120"/>
        <w:ind w:left="1860" w:leftChars="0"/>
        <w:contextualSpacing w:val="0"/>
        <w:rPr>
          <w:rFonts w:eastAsia="宋体"/>
          <w:sz w:val="21"/>
          <w:szCs w:val="21"/>
          <w:highlight w:val="green"/>
        </w:rPr>
      </w:pPr>
      <w:r>
        <w:rPr>
          <w:rFonts w:eastAsia="宋体"/>
          <w:sz w:val="21"/>
          <w:szCs w:val="21"/>
          <w:highlight w:val="green"/>
        </w:rPr>
        <w:t>otherwise,</w:t>
      </w:r>
    </w:p>
    <w:p>
      <w:pPr>
        <w:pStyle w:val="72"/>
        <w:numPr>
          <w:ilvl w:val="3"/>
          <w:numId w:val="1"/>
        </w:numPr>
        <w:tabs>
          <w:tab w:val="left" w:pos="0"/>
          <w:tab w:val="clear" w:pos="-420"/>
        </w:tabs>
        <w:spacing w:after="120"/>
        <w:ind w:left="2280" w:leftChars="0"/>
        <w:contextualSpacing w:val="0"/>
        <w:rPr>
          <w:rFonts w:eastAsia="宋体"/>
          <w:sz w:val="21"/>
          <w:szCs w:val="21"/>
          <w:highlight w:val="green"/>
        </w:rPr>
      </w:pPr>
      <w:r>
        <w:rPr>
          <w:rFonts w:eastAsia="宋体"/>
          <w:sz w:val="21"/>
          <w:szCs w:val="21"/>
          <w:highlight w:val="green"/>
        </w:rPr>
        <w:t xml:space="preserve">the number of BFD/CBD/SSB/CSI-RS resource occasions that are not overlapped with any measurement gap occasion nor any SMTC occasion nor CSI-RSs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 xml:space="preserve">resource </w:t>
      </w:r>
      <w:r>
        <w:rPr>
          <w:rFonts w:eastAsia="宋体"/>
          <w:sz w:val="21"/>
          <w:szCs w:val="21"/>
          <w:highlight w:val="green"/>
        </w:rPr>
        <w:t>occasions of other serving cell within the window W</w:t>
      </w:r>
    </w:p>
    <w:p>
      <w:pPr>
        <w:pStyle w:val="72"/>
        <w:numPr>
          <w:ilvl w:val="1"/>
          <w:numId w:val="1"/>
        </w:numPr>
        <w:tabs>
          <w:tab w:val="left" w:pos="0"/>
          <w:tab w:val="clear" w:pos="-420"/>
        </w:tabs>
        <w:spacing w:after="120"/>
        <w:ind w:left="1440" w:leftChars="0"/>
        <w:contextualSpacing w:val="0"/>
        <w:rPr>
          <w:sz w:val="21"/>
          <w:szCs w:val="21"/>
          <w:highlight w:val="green"/>
        </w:rPr>
      </w:pPr>
      <w:r>
        <w:rPr>
          <w:sz w:val="21"/>
          <w:szCs w:val="21"/>
          <w:highlight w:val="green"/>
        </w:rPr>
        <w:t>Otherwise,</w:t>
      </w:r>
    </w:p>
    <w:p>
      <w:pPr>
        <w:pStyle w:val="72"/>
        <w:numPr>
          <w:ilvl w:val="2"/>
          <w:numId w:val="1"/>
        </w:numPr>
        <w:tabs>
          <w:tab w:val="left" w:pos="0"/>
          <w:tab w:val="clear" w:pos="-420"/>
        </w:tabs>
        <w:spacing w:after="120"/>
        <w:ind w:left="1860" w:leftChars="0"/>
        <w:contextualSpacing w:val="0"/>
        <w:rPr>
          <w:sz w:val="21"/>
          <w:szCs w:val="21"/>
          <w:highlight w:val="green"/>
        </w:rPr>
      </w:pPr>
      <w:r>
        <w:rPr>
          <w:sz w:val="21"/>
          <w:szCs w:val="21"/>
          <w:highlight w:val="green"/>
        </w:rPr>
        <w:t>If inter-band carrier aggregation within FR1 is configured, and UE not capable of antennaArrayType-r18 on the other serving carrier or [UE support two simultaneous separate Rx beams]</w:t>
      </w:r>
    </w:p>
    <w:p>
      <w:pPr>
        <w:pStyle w:val="72"/>
        <w:numPr>
          <w:ilvl w:val="3"/>
          <w:numId w:val="1"/>
        </w:numPr>
        <w:tabs>
          <w:tab w:val="left" w:pos="0"/>
          <w:tab w:val="clear" w:pos="-420"/>
        </w:tabs>
        <w:spacing w:after="120"/>
        <w:ind w:left="2280" w:leftChars="0"/>
        <w:contextualSpacing w:val="0"/>
        <w:rPr>
          <w:rFonts w:eastAsia="宋体"/>
          <w:sz w:val="21"/>
          <w:szCs w:val="21"/>
          <w:highlight w:val="green"/>
        </w:rPr>
      </w:pPr>
      <w:r>
        <w:rPr>
          <w:rFonts w:eastAsia="宋体"/>
          <w:sz w:val="21"/>
          <w:szCs w:val="21"/>
          <w:highlight w:val="green"/>
        </w:rPr>
        <w:t xml:space="preserve">the number of BFD/CBD/SSB/CSI-RS resource occasions that are not overlapped with any measurement gap occasion nor any SMTC occasion </w:t>
      </w:r>
      <w:r>
        <w:rPr>
          <w:rFonts w:eastAsia="宋体"/>
          <w:b/>
          <w:sz w:val="21"/>
          <w:szCs w:val="21"/>
          <w:highlight w:val="green"/>
        </w:rPr>
        <w:t xml:space="preserve">nor CSI-RSs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 xml:space="preserve">resource </w:t>
      </w:r>
      <w:r>
        <w:rPr>
          <w:rFonts w:eastAsia="宋体"/>
          <w:b/>
          <w:sz w:val="21"/>
          <w:szCs w:val="21"/>
          <w:highlight w:val="green"/>
        </w:rPr>
        <w:t>occasions</w:t>
      </w:r>
      <w:r>
        <w:rPr>
          <w:rFonts w:eastAsia="宋体"/>
          <w:sz w:val="21"/>
          <w:szCs w:val="21"/>
          <w:highlight w:val="green"/>
        </w:rPr>
        <w:t xml:space="preserve">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for L3 measurements</w:t>
      </w:r>
      <w:r>
        <w:rPr>
          <w:rFonts w:hint="eastAsia" w:ascii="Times New Roman" w:hAnsi="Times New Roman" w:eastAsia="굴림" w:cs="Times New Roman"/>
          <w:b/>
          <w:bCs/>
          <w:i w:val="0"/>
          <w:iCs w:val="0"/>
          <w:caps w:val="0"/>
          <w:color w:val="000000"/>
          <w:spacing w:val="0"/>
          <w:kern w:val="0"/>
          <w:sz w:val="21"/>
          <w:szCs w:val="21"/>
          <w:shd w:val="clear" w:fill="FFFF00"/>
          <w:lang w:val="en-US" w:eastAsia="zh-CN" w:bidi="ar"/>
        </w:rPr>
        <w:t xml:space="preserve"> </w:t>
      </w:r>
      <w:r>
        <w:rPr>
          <w:rFonts w:eastAsia="宋体"/>
          <w:sz w:val="21"/>
          <w:szCs w:val="21"/>
          <w:highlight w:val="green"/>
        </w:rPr>
        <w:t>of same serving cell within the window W,</w:t>
      </w:r>
    </w:p>
    <w:p>
      <w:pPr>
        <w:pStyle w:val="72"/>
        <w:numPr>
          <w:ilvl w:val="2"/>
          <w:numId w:val="1"/>
        </w:numPr>
        <w:tabs>
          <w:tab w:val="left" w:pos="0"/>
          <w:tab w:val="clear" w:pos="-420"/>
        </w:tabs>
        <w:spacing w:after="120"/>
        <w:ind w:left="1860" w:leftChars="0"/>
        <w:contextualSpacing w:val="0"/>
        <w:rPr>
          <w:rFonts w:eastAsia="宋体"/>
          <w:sz w:val="21"/>
          <w:szCs w:val="21"/>
          <w:highlight w:val="green"/>
        </w:rPr>
      </w:pPr>
      <w:r>
        <w:rPr>
          <w:rFonts w:eastAsia="宋体"/>
          <w:sz w:val="21"/>
          <w:szCs w:val="21"/>
          <w:highlight w:val="green"/>
        </w:rPr>
        <w:t xml:space="preserve">Otherwise, </w:t>
      </w:r>
    </w:p>
    <w:p>
      <w:pPr>
        <w:pStyle w:val="72"/>
        <w:numPr>
          <w:ilvl w:val="3"/>
          <w:numId w:val="1"/>
        </w:numPr>
        <w:tabs>
          <w:tab w:val="left" w:pos="0"/>
          <w:tab w:val="clear" w:pos="-420"/>
        </w:tabs>
        <w:spacing w:after="120"/>
        <w:ind w:left="2280" w:leftChars="0"/>
        <w:contextualSpacing w:val="0"/>
        <w:rPr>
          <w:rFonts w:eastAsia="宋体"/>
          <w:color w:val="0070C0"/>
          <w:sz w:val="21"/>
          <w:szCs w:val="21"/>
          <w:highlight w:val="green"/>
        </w:rPr>
      </w:pPr>
      <w:r>
        <w:rPr>
          <w:rFonts w:eastAsia="宋体"/>
          <w:sz w:val="21"/>
          <w:szCs w:val="21"/>
          <w:highlight w:val="green"/>
        </w:rPr>
        <w:t xml:space="preserve">the number of BFD/CBD/SSB/CSI-RS resource occasions that are not overlapped with any measurement gap occasion nor any SMTC occasion </w:t>
      </w:r>
      <w:r>
        <w:rPr>
          <w:rFonts w:eastAsia="宋体"/>
          <w:b/>
          <w:sz w:val="21"/>
          <w:szCs w:val="21"/>
          <w:highlight w:val="green"/>
        </w:rPr>
        <w:t xml:space="preserve">nor CSI-RSs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 xml:space="preserve">resource </w:t>
      </w:r>
      <w:r>
        <w:rPr>
          <w:rFonts w:eastAsia="宋体"/>
          <w:b/>
          <w:sz w:val="21"/>
          <w:szCs w:val="21"/>
          <w:highlight w:val="green"/>
        </w:rPr>
        <w:t>occasions</w:t>
      </w:r>
      <w:r>
        <w:rPr>
          <w:rFonts w:eastAsia="宋体"/>
          <w:sz w:val="21"/>
          <w:szCs w:val="21"/>
          <w:highlight w:val="green"/>
        </w:rPr>
        <w:t xml:space="preserve">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for L3 measurements</w:t>
      </w:r>
      <w:r>
        <w:rPr>
          <w:rFonts w:hint="eastAsia" w:ascii="Times New Roman" w:hAnsi="Times New Roman" w:eastAsia="굴림" w:cs="Times New Roman"/>
          <w:b/>
          <w:bCs/>
          <w:i w:val="0"/>
          <w:iCs w:val="0"/>
          <w:caps w:val="0"/>
          <w:color w:val="000000"/>
          <w:spacing w:val="0"/>
          <w:kern w:val="0"/>
          <w:sz w:val="21"/>
          <w:szCs w:val="21"/>
          <w:shd w:val="clear" w:fill="FFFF00"/>
          <w:lang w:val="en-US" w:eastAsia="zh-CN" w:bidi="ar"/>
        </w:rPr>
        <w:t xml:space="preserve"> </w:t>
      </w:r>
      <w:r>
        <w:rPr>
          <w:rFonts w:eastAsia="宋体"/>
          <w:sz w:val="21"/>
          <w:szCs w:val="21"/>
          <w:highlight w:val="green"/>
        </w:rPr>
        <w:t>within the window W.</w:t>
      </w:r>
    </w:p>
    <w:p>
      <w:pPr>
        <w:pStyle w:val="72"/>
        <w:numPr>
          <w:ilvl w:val="0"/>
          <w:numId w:val="1"/>
        </w:numPr>
        <w:tabs>
          <w:tab w:val="left" w:pos="0"/>
          <w:tab w:val="clear" w:pos="-420"/>
        </w:tabs>
        <w:spacing w:after="120"/>
        <w:ind w:left="720" w:leftChars="0"/>
        <w:contextualSpacing w:val="0"/>
        <w:rPr>
          <w:rFonts w:ascii="굴림" w:hAnsi="굴림" w:eastAsia="굴림" w:cs="굴림"/>
          <w:i w:val="0"/>
          <w:iCs w:val="0"/>
          <w:caps w:val="0"/>
          <w:color w:val="000000"/>
          <w:spacing w:val="0"/>
          <w:sz w:val="24"/>
          <w:szCs w:val="24"/>
        </w:rPr>
      </w:pP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For BFD, CBD, L1-RSRP and L1-SINR, the N</w:t>
      </w:r>
      <w:r>
        <w:rPr>
          <w:rFonts w:hint="default" w:ascii="Times New Roman" w:hAnsi="Times New Roman" w:eastAsia="굴림" w:cs="Times New Roman"/>
          <w:i w:val="0"/>
          <w:iCs w:val="0"/>
          <w:caps w:val="0"/>
          <w:color w:val="000000"/>
          <w:spacing w:val="0"/>
          <w:kern w:val="0"/>
          <w:sz w:val="21"/>
          <w:szCs w:val="21"/>
          <w:shd w:val="clear" w:fill="00FF00"/>
          <w:vertAlign w:val="subscript"/>
          <w:lang w:val="en-US" w:eastAsia="zh-CN" w:bidi="ar"/>
        </w:rPr>
        <w:t>available</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 in P</w:t>
      </w:r>
      <w:r>
        <w:rPr>
          <w:rFonts w:hint="default" w:ascii="Times New Roman" w:hAnsi="Times New Roman" w:eastAsia="굴림" w:cs="Times New Roman"/>
          <w:i w:val="0"/>
          <w:iCs w:val="0"/>
          <w:caps w:val="0"/>
          <w:color w:val="000000"/>
          <w:spacing w:val="0"/>
          <w:kern w:val="0"/>
          <w:sz w:val="21"/>
          <w:szCs w:val="21"/>
          <w:shd w:val="clear" w:fill="00FF00"/>
          <w:vertAlign w:val="subscript"/>
          <w:lang w:val="en-US" w:eastAsia="zh-CN" w:bidi="ar"/>
        </w:rPr>
        <w:t>sharingfactort</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 shall be defined as:</w:t>
      </w:r>
    </w:p>
    <w:p>
      <w:pPr>
        <w:keepNext w:val="0"/>
        <w:keepLines w:val="0"/>
        <w:widowControl/>
        <w:suppressLineNumbers w:val="0"/>
        <w:shd w:val="clear" w:fill="FFFFFF"/>
        <w:spacing w:before="0" w:beforeAutospacing="0" w:after="0" w:afterAutospacing="0"/>
        <w:ind w:left="2280" w:right="0" w:hanging="360"/>
        <w:jc w:val="left"/>
        <w:rPr>
          <w:rFonts w:hint="default" w:ascii="굴림" w:hAnsi="굴림" w:eastAsia="굴림" w:cs="굴림"/>
          <w:i w:val="0"/>
          <w:iCs w:val="0"/>
          <w:caps w:val="0"/>
          <w:color w:val="000000"/>
          <w:spacing w:val="0"/>
          <w:sz w:val="24"/>
          <w:szCs w:val="24"/>
        </w:rPr>
      </w:pPr>
      <w:r>
        <w:rPr>
          <w:rFonts w:ascii="Symbol" w:hAnsi="Symbol" w:eastAsia="굴림" w:cs="Symbol"/>
          <w:i w:val="0"/>
          <w:iCs w:val="0"/>
          <w:caps w:val="0"/>
          <w:color w:val="000000"/>
          <w:spacing w:val="0"/>
          <w:kern w:val="0"/>
          <w:sz w:val="21"/>
          <w:szCs w:val="21"/>
          <w:shd w:val="clear" w:fill="00FF00"/>
          <w:lang w:val="en-US" w:eastAsia="zh-CN" w:bidi="ar"/>
        </w:rPr>
        <w:t>·</w:t>
      </w:r>
      <w:r>
        <w:rPr>
          <w:rFonts w:hint="default" w:ascii="Times New Roman" w:hAnsi="Times New Roman" w:eastAsia="굴림" w:cs="Times New Roman"/>
          <w:i w:val="0"/>
          <w:iCs w:val="0"/>
          <w:caps w:val="0"/>
          <w:color w:val="00000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If the measured carrier is the SCC with servingcellMO configured, and the network indication [skippingSCCneighbourCellMeas] is set to [‘enable’] to UE,</w:t>
      </w:r>
    </w:p>
    <w:p>
      <w:pPr>
        <w:keepNext w:val="0"/>
        <w:keepLines w:val="0"/>
        <w:widowControl/>
        <w:suppressLineNumbers w:val="0"/>
        <w:shd w:val="clear" w:fill="FFFFFF"/>
        <w:spacing w:before="0" w:beforeAutospacing="0" w:after="0" w:afterAutospacing="0"/>
        <w:ind w:left="2700" w:right="0" w:hanging="360"/>
        <w:jc w:val="left"/>
        <w:rPr>
          <w:rFonts w:hint="default" w:ascii="굴림" w:hAnsi="굴림" w:eastAsia="굴림" w:cs="굴림"/>
          <w:i w:val="0"/>
          <w:iCs w:val="0"/>
          <w:caps w:val="0"/>
          <w:color w:val="000000"/>
          <w:spacing w:val="0"/>
          <w:sz w:val="24"/>
          <w:szCs w:val="24"/>
        </w:rPr>
      </w:pPr>
      <w:r>
        <w:rPr>
          <w:rFonts w:ascii="Courier New" w:hAnsi="Courier New" w:eastAsia="굴림" w:cs="Courier New"/>
          <w:i w:val="0"/>
          <w:iCs w:val="0"/>
          <w:caps w:val="0"/>
          <w:color w:val="000000"/>
          <w:spacing w:val="0"/>
          <w:kern w:val="0"/>
          <w:sz w:val="21"/>
          <w:szCs w:val="21"/>
          <w:shd w:val="clear" w:fill="00FF00"/>
          <w:lang w:val="en-US" w:eastAsia="zh-CN" w:bidi="ar"/>
        </w:rPr>
        <w:t>o</w:t>
      </w:r>
      <w:r>
        <w:rPr>
          <w:rFonts w:hint="default" w:ascii="Times New Roman" w:hAnsi="Times New Roman" w:eastAsia="굴림" w:cs="Times New Roman"/>
          <w:i w:val="0"/>
          <w:iCs w:val="0"/>
          <w:caps w:val="0"/>
          <w:color w:val="00000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If inter-band carrier aggregation within FR1 is configured, and UE not capable of antennaArrayType-r18 on the other serving carrier or [UE support two simultaneous separate Rx beams]</w:t>
      </w:r>
    </w:p>
    <w:p>
      <w:pPr>
        <w:keepNext w:val="0"/>
        <w:keepLines w:val="0"/>
        <w:widowControl/>
        <w:suppressLineNumbers w:val="0"/>
        <w:shd w:val="clear" w:fill="FFFFFF"/>
        <w:spacing w:before="0" w:beforeAutospacing="0" w:after="0" w:afterAutospacing="0"/>
        <w:ind w:left="3120" w:right="0" w:hanging="360"/>
        <w:jc w:val="left"/>
        <w:rPr>
          <w:rFonts w:hint="default" w:ascii="굴림" w:hAnsi="굴림" w:eastAsia="굴림" w:cs="굴림"/>
          <w:i w:val="0"/>
          <w:iCs w:val="0"/>
          <w:caps w:val="0"/>
          <w:color w:val="000000"/>
          <w:spacing w:val="0"/>
          <w:sz w:val="24"/>
          <w:szCs w:val="24"/>
        </w:rPr>
      </w:pPr>
      <w:r>
        <w:rPr>
          <w:rFonts w:ascii="Wingdings" w:hAnsi="Wingdings" w:eastAsia="굴림" w:cs="Wingdings"/>
          <w:i w:val="0"/>
          <w:iCs w:val="0"/>
          <w:caps w:val="0"/>
          <w:color w:val="000000"/>
          <w:spacing w:val="0"/>
          <w:kern w:val="0"/>
          <w:sz w:val="21"/>
          <w:szCs w:val="21"/>
          <w:shd w:val="clear" w:fill="00FF00"/>
          <w:lang w:val="en-US" w:eastAsia="zh-CN" w:bidi="ar"/>
        </w:rPr>
        <w:t>§</w:t>
      </w:r>
      <w:r>
        <w:rPr>
          <w:rFonts w:hint="default" w:ascii="Times New Roman" w:hAnsi="Times New Roman" w:eastAsia="굴림" w:cs="Times New Roman"/>
          <w:i w:val="0"/>
          <w:iCs w:val="0"/>
          <w:caps w:val="0"/>
          <w:color w:val="00000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the number of BFD/CBD/SSB/CSI-RS resource occasions that are not overlapped with any measurement gap </w:t>
      </w:r>
      <w:r>
        <w:rPr>
          <w:rFonts w:hint="default" w:ascii="Times New Roman" w:hAnsi="Times New Roman" w:eastAsia="굴림" w:cs="Times New Roman"/>
          <w:b/>
          <w:bCs/>
          <w:i w:val="0"/>
          <w:iCs w:val="0"/>
          <w:caps w:val="0"/>
          <w:color w:val="000000"/>
          <w:spacing w:val="0"/>
          <w:kern w:val="0"/>
          <w:sz w:val="21"/>
          <w:szCs w:val="21"/>
          <w:highlight w:val="yellow"/>
          <w:shd w:val="clear" w:fill="00FFFF"/>
          <w:lang w:val="en-US" w:eastAsia="zh-CN" w:bidi="ar"/>
        </w:rPr>
        <w:t>within the window W</w:t>
      </w:r>
    </w:p>
    <w:p>
      <w:pPr>
        <w:keepNext w:val="0"/>
        <w:keepLines w:val="0"/>
        <w:widowControl/>
        <w:suppressLineNumbers w:val="0"/>
        <w:shd w:val="clear" w:fill="FFFFFF"/>
        <w:spacing w:before="0" w:beforeAutospacing="0" w:after="0" w:afterAutospacing="0"/>
        <w:ind w:left="2700" w:right="0" w:hanging="360"/>
        <w:jc w:val="left"/>
        <w:rPr>
          <w:rFonts w:hint="default" w:ascii="굴림" w:hAnsi="굴림" w:eastAsia="굴림" w:cs="굴림"/>
          <w:i w:val="0"/>
          <w:iCs w:val="0"/>
          <w:caps w:val="0"/>
          <w:color w:val="000000"/>
          <w:spacing w:val="0"/>
          <w:sz w:val="24"/>
          <w:szCs w:val="24"/>
        </w:rPr>
      </w:pPr>
      <w:r>
        <w:rPr>
          <w:rFonts w:hint="default" w:ascii="Courier New" w:hAnsi="Courier New" w:eastAsia="굴림" w:cs="Courier New"/>
          <w:i w:val="0"/>
          <w:iCs w:val="0"/>
          <w:caps w:val="0"/>
          <w:color w:val="000000"/>
          <w:spacing w:val="0"/>
          <w:kern w:val="0"/>
          <w:sz w:val="21"/>
          <w:szCs w:val="21"/>
          <w:shd w:val="clear" w:fill="00FF00"/>
          <w:lang w:val="en-US" w:eastAsia="zh-CN" w:bidi="ar"/>
        </w:rPr>
        <w:t>o</w:t>
      </w:r>
      <w:r>
        <w:rPr>
          <w:rFonts w:hint="default" w:ascii="Times New Roman" w:hAnsi="Times New Roman" w:eastAsia="굴림" w:cs="Times New Roman"/>
          <w:i w:val="0"/>
          <w:iCs w:val="0"/>
          <w:caps w:val="0"/>
          <w:color w:val="00000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otherwise,</w:t>
      </w:r>
    </w:p>
    <w:p>
      <w:pPr>
        <w:keepNext w:val="0"/>
        <w:keepLines w:val="0"/>
        <w:widowControl/>
        <w:suppressLineNumbers w:val="0"/>
        <w:shd w:val="clear" w:fill="FFFFFF"/>
        <w:spacing w:before="0" w:beforeAutospacing="0" w:after="0" w:afterAutospacing="0"/>
        <w:ind w:left="3120" w:right="0" w:hanging="360"/>
        <w:jc w:val="left"/>
        <w:rPr>
          <w:rFonts w:hint="default" w:ascii="굴림" w:hAnsi="굴림" w:eastAsia="굴림" w:cs="굴림"/>
          <w:i w:val="0"/>
          <w:iCs w:val="0"/>
          <w:caps w:val="0"/>
          <w:color w:val="000000"/>
          <w:spacing w:val="0"/>
          <w:sz w:val="24"/>
          <w:szCs w:val="24"/>
        </w:rPr>
      </w:pPr>
      <w:r>
        <w:rPr>
          <w:rFonts w:hint="default" w:ascii="Wingdings" w:hAnsi="Wingdings" w:eastAsia="굴림" w:cs="Wingdings"/>
          <w:i w:val="0"/>
          <w:iCs w:val="0"/>
          <w:caps w:val="0"/>
          <w:color w:val="000000"/>
          <w:spacing w:val="0"/>
          <w:kern w:val="0"/>
          <w:sz w:val="21"/>
          <w:szCs w:val="21"/>
          <w:shd w:val="clear" w:fill="00FF00"/>
          <w:lang w:val="en-US" w:eastAsia="zh-CN" w:bidi="ar"/>
        </w:rPr>
        <w:t>§</w:t>
      </w:r>
      <w:r>
        <w:rPr>
          <w:rFonts w:hint="default" w:ascii="Times New Roman" w:hAnsi="Times New Roman" w:eastAsia="굴림" w:cs="Times New Roman"/>
          <w:i w:val="0"/>
          <w:iCs w:val="0"/>
          <w:caps w:val="0"/>
          <w:color w:val="00000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 xml:space="preserve">the number of BFD/CBD/SSB/CSI-RS resource occasions that are not overlapped with any measurement gap occasion nor any SMTC occasion nor CSI-RSs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 xml:space="preserve">resource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occasions of other serving cell within the window W</w:t>
      </w:r>
    </w:p>
    <w:p>
      <w:pPr>
        <w:keepNext w:val="0"/>
        <w:keepLines w:val="0"/>
        <w:widowControl/>
        <w:suppressLineNumbers w:val="0"/>
        <w:shd w:val="clear" w:fill="FFFFFF"/>
        <w:spacing w:before="0" w:beforeAutospacing="0" w:after="0" w:afterAutospacing="0"/>
        <w:ind w:left="2280" w:right="0" w:hanging="360"/>
        <w:jc w:val="left"/>
        <w:rPr>
          <w:rFonts w:hint="default" w:ascii="굴림" w:hAnsi="굴림" w:eastAsia="굴림" w:cs="굴림"/>
          <w:i w:val="0"/>
          <w:iCs w:val="0"/>
          <w:caps w:val="0"/>
          <w:color w:val="000000"/>
          <w:spacing w:val="0"/>
          <w:sz w:val="24"/>
          <w:szCs w:val="24"/>
        </w:rPr>
      </w:pPr>
      <w:r>
        <w:rPr>
          <w:rFonts w:hint="default" w:ascii="Symbol" w:hAnsi="Symbol" w:eastAsia="굴림" w:cs="Symbol"/>
          <w:i w:val="0"/>
          <w:iCs w:val="0"/>
          <w:caps w:val="0"/>
          <w:color w:val="000000"/>
          <w:spacing w:val="0"/>
          <w:kern w:val="0"/>
          <w:sz w:val="21"/>
          <w:szCs w:val="21"/>
          <w:shd w:val="clear" w:fill="00FF00"/>
          <w:lang w:val="en-US" w:eastAsia="zh-CN" w:bidi="ar"/>
        </w:rPr>
        <w:t>·</w:t>
      </w:r>
      <w:r>
        <w:rPr>
          <w:rFonts w:hint="default" w:ascii="Times New Roman" w:hAnsi="Times New Roman" w:eastAsia="굴림" w:cs="Times New Roman"/>
          <w:i w:val="0"/>
          <w:iCs w:val="0"/>
          <w:caps w:val="0"/>
          <w:color w:val="00000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Otherwise,</w:t>
      </w:r>
    </w:p>
    <w:p>
      <w:pPr>
        <w:keepNext w:val="0"/>
        <w:keepLines w:val="0"/>
        <w:widowControl/>
        <w:suppressLineNumbers w:val="0"/>
        <w:shd w:val="clear" w:fill="FFFFFF"/>
        <w:spacing w:before="0" w:beforeAutospacing="0" w:after="0" w:afterAutospacing="0"/>
        <w:ind w:left="2700" w:right="0" w:hanging="360"/>
        <w:jc w:val="left"/>
        <w:rPr>
          <w:rFonts w:hint="default" w:ascii="굴림" w:hAnsi="굴림" w:eastAsia="굴림" w:cs="굴림"/>
          <w:i w:val="0"/>
          <w:iCs w:val="0"/>
          <w:caps w:val="0"/>
          <w:color w:val="000000"/>
          <w:spacing w:val="0"/>
          <w:sz w:val="24"/>
          <w:szCs w:val="24"/>
        </w:rPr>
      </w:pPr>
      <w:r>
        <w:rPr>
          <w:rFonts w:hint="default" w:ascii="Courier New" w:hAnsi="Courier New" w:eastAsia="굴림" w:cs="Courier New"/>
          <w:i w:val="0"/>
          <w:iCs w:val="0"/>
          <w:caps w:val="0"/>
          <w:color w:val="000000"/>
          <w:spacing w:val="0"/>
          <w:kern w:val="0"/>
          <w:sz w:val="21"/>
          <w:szCs w:val="21"/>
          <w:shd w:val="clear" w:fill="00FF00"/>
          <w:lang w:val="en-US" w:eastAsia="zh-CN" w:bidi="ar"/>
        </w:rPr>
        <w:t>o</w:t>
      </w:r>
      <w:r>
        <w:rPr>
          <w:rFonts w:hint="default" w:ascii="Times New Roman" w:hAnsi="Times New Roman" w:eastAsia="굴림" w:cs="Times New Roman"/>
          <w:i w:val="0"/>
          <w:iCs w:val="0"/>
          <w:caps w:val="0"/>
          <w:color w:val="00000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If inter-band carrier aggregation within FR1 is configured, and UE not capable of antennaArrayType-r18 on the other serving carrier or [UE support two simultaneous separate Rx beams]</w:t>
      </w:r>
    </w:p>
    <w:p>
      <w:pPr>
        <w:keepNext w:val="0"/>
        <w:keepLines w:val="0"/>
        <w:widowControl/>
        <w:suppressLineNumbers w:val="0"/>
        <w:shd w:val="clear" w:fill="FFFFFF"/>
        <w:spacing w:before="0" w:beforeAutospacing="0" w:after="0" w:afterAutospacing="0"/>
        <w:ind w:left="3120" w:right="0" w:hanging="360"/>
        <w:jc w:val="left"/>
        <w:rPr>
          <w:rFonts w:hint="default" w:ascii="굴림" w:hAnsi="굴림" w:eastAsia="굴림" w:cs="굴림"/>
          <w:i w:val="0"/>
          <w:iCs w:val="0"/>
          <w:caps w:val="0"/>
          <w:color w:val="000000"/>
          <w:spacing w:val="0"/>
          <w:sz w:val="24"/>
          <w:szCs w:val="24"/>
        </w:rPr>
      </w:pPr>
      <w:r>
        <w:rPr>
          <w:rFonts w:hint="default" w:ascii="Wingdings" w:hAnsi="Wingdings" w:eastAsia="굴림" w:cs="Wingdings"/>
          <w:i w:val="0"/>
          <w:iCs w:val="0"/>
          <w:caps w:val="0"/>
          <w:color w:val="000000"/>
          <w:spacing w:val="0"/>
          <w:kern w:val="0"/>
          <w:sz w:val="21"/>
          <w:szCs w:val="21"/>
          <w:shd w:val="clear" w:fill="00FF00"/>
          <w:lang w:val="en-US" w:eastAsia="zh-CN" w:bidi="ar"/>
        </w:rPr>
        <w:t>§</w:t>
      </w:r>
      <w:r>
        <w:rPr>
          <w:rFonts w:hint="default" w:ascii="Times New Roman" w:hAnsi="Times New Roman" w:eastAsia="굴림" w:cs="Times New Roman"/>
          <w:i w:val="0"/>
          <w:iCs w:val="0"/>
          <w:caps w:val="0"/>
          <w:color w:val="00000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the number of BFD/CBD/SSB/</w:t>
      </w:r>
      <w:r>
        <w:rPr>
          <w:rFonts w:hint="default" w:ascii="Times New Roman" w:hAnsi="Times New Roman" w:eastAsia="굴림" w:cs="Times New Roman"/>
          <w:b/>
          <w:bCs/>
          <w:i w:val="0"/>
          <w:iCs w:val="0"/>
          <w:caps w:val="0"/>
          <w:color w:val="000000"/>
          <w:spacing w:val="0"/>
          <w:kern w:val="0"/>
          <w:sz w:val="21"/>
          <w:szCs w:val="21"/>
          <w:u w:val="single"/>
          <w:shd w:val="clear" w:fill="00FF00"/>
          <w:lang w:val="en-US" w:eastAsia="zh-CN" w:bidi="ar"/>
        </w:rPr>
        <w:t>CSI-RS resource occasions</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 that are not overlapped with any measurement gap occasion nor any SMTC occasion </w:t>
      </w:r>
      <w:r>
        <w:rPr>
          <w:rFonts w:hint="default" w:ascii="Times New Roman" w:hAnsi="Times New Roman" w:eastAsia="굴림" w:cs="Times New Roman"/>
          <w:b/>
          <w:bCs/>
          <w:i w:val="0"/>
          <w:iCs w:val="0"/>
          <w:caps w:val="0"/>
          <w:color w:val="000000"/>
          <w:spacing w:val="0"/>
          <w:kern w:val="0"/>
          <w:sz w:val="21"/>
          <w:szCs w:val="21"/>
          <w:shd w:val="clear" w:fill="00FF00"/>
          <w:lang w:val="en-US" w:eastAsia="zh-CN" w:bidi="ar"/>
        </w:rPr>
        <w:t>nor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CSI-RSs resource occasions for L3 measurements</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 of same serving cell within the window W,</w:t>
      </w:r>
    </w:p>
    <w:p>
      <w:pPr>
        <w:keepNext w:val="0"/>
        <w:keepLines w:val="0"/>
        <w:widowControl/>
        <w:suppressLineNumbers w:val="0"/>
        <w:shd w:val="clear" w:fill="FFFFFF"/>
        <w:spacing w:before="0" w:beforeAutospacing="0" w:after="0" w:afterAutospacing="0"/>
        <w:ind w:left="2700" w:right="0" w:hanging="360"/>
        <w:jc w:val="left"/>
        <w:rPr>
          <w:rFonts w:hint="default" w:ascii="굴림" w:hAnsi="굴림" w:eastAsia="굴림" w:cs="굴림"/>
          <w:i w:val="0"/>
          <w:iCs w:val="0"/>
          <w:caps w:val="0"/>
          <w:color w:val="000000"/>
          <w:spacing w:val="0"/>
          <w:sz w:val="24"/>
          <w:szCs w:val="24"/>
        </w:rPr>
      </w:pPr>
      <w:r>
        <w:rPr>
          <w:rFonts w:hint="default" w:ascii="Courier New" w:hAnsi="Courier New" w:eastAsia="굴림" w:cs="Courier New"/>
          <w:i w:val="0"/>
          <w:iCs w:val="0"/>
          <w:caps w:val="0"/>
          <w:color w:val="000000"/>
          <w:spacing w:val="0"/>
          <w:kern w:val="0"/>
          <w:sz w:val="21"/>
          <w:szCs w:val="21"/>
          <w:shd w:val="clear" w:fill="00FF00"/>
          <w:lang w:val="en-US" w:eastAsia="zh-CN" w:bidi="ar"/>
        </w:rPr>
        <w:t>o</w:t>
      </w:r>
      <w:r>
        <w:rPr>
          <w:rFonts w:hint="default" w:ascii="Times New Roman" w:hAnsi="Times New Roman" w:eastAsia="굴림" w:cs="Times New Roman"/>
          <w:i w:val="0"/>
          <w:iCs w:val="0"/>
          <w:caps w:val="0"/>
          <w:color w:val="00000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Otherwise,</w:t>
      </w:r>
    </w:p>
    <w:p>
      <w:pPr>
        <w:keepNext w:val="0"/>
        <w:keepLines w:val="0"/>
        <w:widowControl/>
        <w:suppressLineNumbers w:val="0"/>
        <w:shd w:val="clear" w:fill="FFFFFF"/>
        <w:spacing w:before="0" w:beforeAutospacing="0" w:after="0" w:afterAutospacing="0"/>
        <w:ind w:left="3120" w:right="0" w:hanging="360"/>
        <w:jc w:val="left"/>
        <w:rPr>
          <w:rFonts w:hint="default" w:ascii="굴림" w:hAnsi="굴림" w:eastAsia="굴림" w:cs="굴림"/>
          <w:i w:val="0"/>
          <w:iCs w:val="0"/>
          <w:caps w:val="0"/>
          <w:color w:val="000000"/>
          <w:spacing w:val="0"/>
          <w:sz w:val="24"/>
          <w:szCs w:val="24"/>
        </w:rPr>
      </w:pPr>
      <w:r>
        <w:rPr>
          <w:rFonts w:hint="default" w:ascii="Wingdings" w:hAnsi="Wingdings" w:eastAsia="굴림" w:cs="Wingdings"/>
          <w:i w:val="0"/>
          <w:iCs w:val="0"/>
          <w:caps w:val="0"/>
          <w:color w:val="0070C0"/>
          <w:spacing w:val="0"/>
          <w:kern w:val="0"/>
          <w:sz w:val="21"/>
          <w:szCs w:val="21"/>
          <w:shd w:val="clear" w:fill="00FF00"/>
          <w:lang w:val="en-US" w:eastAsia="zh-CN" w:bidi="ar"/>
        </w:rPr>
        <w:t>§</w:t>
      </w:r>
      <w:r>
        <w:rPr>
          <w:rFonts w:hint="default" w:ascii="Times New Roman" w:hAnsi="Times New Roman" w:eastAsia="굴림" w:cs="Times New Roman"/>
          <w:i w:val="0"/>
          <w:iCs w:val="0"/>
          <w:caps w:val="0"/>
          <w:color w:val="0070C0"/>
          <w:spacing w:val="0"/>
          <w:kern w:val="0"/>
          <w:sz w:val="14"/>
          <w:szCs w:val="14"/>
          <w:shd w:val="clear" w:fill="00FF00"/>
          <w:lang w:val="en-US" w:eastAsia="zh-CN" w:bidi="ar"/>
        </w:rPr>
        <w:t>  </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the number of BFD/CBD/SSB/</w:t>
      </w:r>
      <w:r>
        <w:rPr>
          <w:rFonts w:hint="default" w:ascii="Times New Roman" w:hAnsi="Times New Roman" w:eastAsia="굴림" w:cs="Times New Roman"/>
          <w:b/>
          <w:bCs/>
          <w:i w:val="0"/>
          <w:iCs w:val="0"/>
          <w:caps w:val="0"/>
          <w:color w:val="000000"/>
          <w:spacing w:val="0"/>
          <w:kern w:val="0"/>
          <w:sz w:val="21"/>
          <w:szCs w:val="21"/>
          <w:u w:val="single"/>
          <w:shd w:val="clear" w:fill="00FF00"/>
          <w:lang w:val="en-US" w:eastAsia="zh-CN" w:bidi="ar"/>
        </w:rPr>
        <w:t>CSI-RS resource occasions</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 that are not overlapped with any measurement gap occasion nor any SMTC occasion </w:t>
      </w:r>
      <w:r>
        <w:rPr>
          <w:rFonts w:hint="default" w:ascii="Times New Roman" w:hAnsi="Times New Roman" w:eastAsia="굴림" w:cs="Times New Roman"/>
          <w:b/>
          <w:bCs/>
          <w:i w:val="0"/>
          <w:iCs w:val="0"/>
          <w:caps w:val="0"/>
          <w:color w:val="000000"/>
          <w:spacing w:val="0"/>
          <w:kern w:val="0"/>
          <w:sz w:val="21"/>
          <w:szCs w:val="21"/>
          <w:shd w:val="clear" w:fill="00FF00"/>
          <w:lang w:val="en-US" w:eastAsia="zh-CN" w:bidi="ar"/>
        </w:rPr>
        <w:t>nor </w:t>
      </w:r>
      <w:r>
        <w:rPr>
          <w:rFonts w:hint="default" w:ascii="Times New Roman" w:hAnsi="Times New Roman" w:eastAsia="굴림" w:cs="Times New Roman"/>
          <w:b/>
          <w:bCs/>
          <w:i w:val="0"/>
          <w:iCs w:val="0"/>
          <w:caps w:val="0"/>
          <w:color w:val="000000"/>
          <w:spacing w:val="0"/>
          <w:kern w:val="0"/>
          <w:sz w:val="21"/>
          <w:szCs w:val="21"/>
          <w:shd w:val="clear" w:fill="FFFF00"/>
          <w:lang w:val="en-US" w:eastAsia="zh-CN" w:bidi="ar"/>
        </w:rPr>
        <w:t>CSI-RSs resource occasions for L3 measurements</w:t>
      </w:r>
      <w:r>
        <w:rPr>
          <w:rFonts w:hint="default" w:ascii="Times New Roman" w:hAnsi="Times New Roman" w:eastAsia="굴림" w:cs="Times New Roman"/>
          <w:i w:val="0"/>
          <w:iCs w:val="0"/>
          <w:caps w:val="0"/>
          <w:color w:val="000000"/>
          <w:spacing w:val="0"/>
          <w:kern w:val="0"/>
          <w:sz w:val="21"/>
          <w:szCs w:val="21"/>
          <w:shd w:val="clear" w:fill="00FF00"/>
          <w:lang w:val="en-US" w:eastAsia="zh-CN" w:bidi="ar"/>
        </w:rPr>
        <w:t> within the window W.</w:t>
      </w:r>
    </w:p>
    <w:p>
      <w:pPr>
        <w:snapToGrid w:val="0"/>
        <w:spacing w:after="120"/>
        <w:rPr>
          <w:b/>
          <w:u w:val="single"/>
          <w:lang w:val="en-US" w:eastAsia="zh-CN"/>
        </w:rPr>
      </w:pPr>
    </w:p>
    <w:p>
      <w:pPr>
        <w:pStyle w:val="2"/>
        <w:rPr>
          <w:rFonts w:hint="eastAsia"/>
          <w:b/>
          <w:color w:val="auto"/>
          <w:u w:val="single"/>
          <w:lang w:val="en-US" w:eastAsia="zh-CN"/>
        </w:rPr>
      </w:pPr>
      <w:r>
        <w:rPr>
          <w:rFonts w:hint="default"/>
          <w:color w:val="auto"/>
        </w:rPr>
        <w:t xml:space="preserve">&lt;Topic </w:t>
      </w:r>
      <w:r>
        <w:rPr>
          <w:rFonts w:hint="default"/>
          <w:color w:val="auto"/>
          <w:lang w:val="en-US" w:eastAsia="zh-CN"/>
        </w:rPr>
        <w:t>2</w:t>
      </w:r>
      <w:r>
        <w:rPr>
          <w:rFonts w:hint="default"/>
          <w:color w:val="auto"/>
        </w:rPr>
        <w:t>&gt;</w:t>
      </w:r>
      <w:r>
        <w:rPr>
          <w:rFonts w:hint="default"/>
          <w:color w:val="auto"/>
          <w:lang w:val="en-US" w:eastAsia="zh-CN"/>
        </w:rPr>
        <w:t xml:space="preserve"> RRM perf requirement</w:t>
      </w:r>
    </w:p>
    <w:p>
      <w:pPr>
        <w:spacing w:after="120"/>
        <w:rPr>
          <w:b/>
          <w:sz w:val="21"/>
          <w:szCs w:val="21"/>
          <w:u w:val="single"/>
          <w:lang w:val="en-US" w:eastAsia="zh-CN"/>
        </w:rPr>
      </w:pPr>
      <w:r>
        <w:rPr>
          <w:b/>
          <w:sz w:val="21"/>
          <w:szCs w:val="21"/>
          <w:u w:val="single"/>
          <w:lang w:val="en-US" w:eastAsia="zh-CN"/>
        </w:rPr>
        <w:t>Issue 2-1-1: Test applicability rule</w:t>
      </w:r>
    </w:p>
    <w:p>
      <w:pPr>
        <w:spacing w:after="120"/>
        <w:rPr>
          <w:sz w:val="21"/>
          <w:szCs w:val="21"/>
          <w:highlight w:val="green"/>
          <w:lang w:val="en-US" w:eastAsia="zh-CN"/>
        </w:rPr>
      </w:pPr>
      <w:r>
        <w:rPr>
          <w:sz w:val="21"/>
          <w:szCs w:val="21"/>
          <w:highlight w:val="green"/>
          <w:lang w:val="en-US" w:eastAsia="zh-CN"/>
        </w:rPr>
        <w:t>Agreement:</w:t>
      </w:r>
    </w:p>
    <w:p>
      <w:pPr>
        <w:pStyle w:val="72"/>
        <w:numPr>
          <w:ilvl w:val="0"/>
          <w:numId w:val="1"/>
        </w:numPr>
        <w:tabs>
          <w:tab w:val="left" w:pos="0"/>
          <w:tab w:val="clear" w:pos="-420"/>
        </w:tabs>
        <w:spacing w:after="120"/>
        <w:ind w:left="720" w:leftChars="0"/>
        <w:contextualSpacing w:val="0"/>
        <w:rPr>
          <w:rFonts w:eastAsia="宋体"/>
          <w:bCs/>
          <w:sz w:val="21"/>
          <w:szCs w:val="21"/>
          <w:highlight w:val="green"/>
        </w:rPr>
      </w:pPr>
      <w:r>
        <w:rPr>
          <w:rFonts w:eastAsia="宋体"/>
          <w:bCs/>
          <w:sz w:val="21"/>
          <w:szCs w:val="21"/>
          <w:highlight w:val="green"/>
        </w:rPr>
        <w:t>UE is only required to be tested in one of the supported test configurations</w:t>
      </w:r>
    </w:p>
    <w:p>
      <w:pPr>
        <w:pStyle w:val="72"/>
        <w:numPr>
          <w:ilvl w:val="0"/>
          <w:numId w:val="1"/>
        </w:numPr>
        <w:tabs>
          <w:tab w:val="left" w:pos="0"/>
          <w:tab w:val="clear" w:pos="-420"/>
        </w:tabs>
        <w:spacing w:after="120"/>
        <w:ind w:left="720" w:leftChars="0"/>
        <w:contextualSpacing w:val="0"/>
        <w:rPr>
          <w:rFonts w:ascii="Times New Roman" w:hAnsi="Times New Roman" w:eastAsia="宋体" w:cs="Times New Roman"/>
          <w:bCs/>
          <w:sz w:val="21"/>
          <w:szCs w:val="21"/>
          <w:highlight w:val="green"/>
        </w:rPr>
      </w:pPr>
      <w:r>
        <w:rPr>
          <w:rFonts w:ascii="Times New Roman" w:hAnsi="Times New Roman" w:eastAsia="宋体" w:cs="Times New Roman"/>
          <w:bCs/>
          <w:sz w:val="21"/>
          <w:szCs w:val="21"/>
          <w:highlight w:val="green"/>
        </w:rPr>
        <w:t>UE is only required to be tested in one with smallest aggregated channel bandwidth from supported band combinations which is composed of CCs ≥ the bandwidth (BWchannel) defined in each test configuration</w:t>
      </w:r>
    </w:p>
    <w:p>
      <w:pPr>
        <w:pStyle w:val="72"/>
        <w:numPr>
          <w:ilvl w:val="0"/>
          <w:numId w:val="1"/>
        </w:numPr>
        <w:tabs>
          <w:tab w:val="left" w:pos="0"/>
          <w:tab w:val="clear" w:pos="-420"/>
        </w:tabs>
        <w:spacing w:after="120"/>
        <w:ind w:left="720" w:leftChars="0"/>
        <w:contextualSpacing w:val="0"/>
        <w:rPr>
          <w:rFonts w:ascii="Times New Roman" w:hAnsi="Times New Roman" w:eastAsia="宋体" w:cs="Times New Roman"/>
          <w:bCs/>
          <w:sz w:val="21"/>
          <w:szCs w:val="21"/>
          <w:highlight w:val="green"/>
        </w:rPr>
      </w:pPr>
      <w:r>
        <w:rPr>
          <w:rFonts w:ascii="Times New Roman" w:hAnsi="Times New Roman" w:eastAsia="宋体" w:cs="Times New Roman"/>
          <w:bCs/>
          <w:sz w:val="21"/>
          <w:szCs w:val="21"/>
          <w:highlight w:val="green"/>
        </w:rPr>
        <w:t>Test configuration for NR PCell and test configuration for NR SCell shall be chosen independently</w:t>
      </w:r>
    </w:p>
    <w:p>
      <w:pPr>
        <w:rPr>
          <w:rFonts w:hint="eastAsia"/>
          <w:b/>
          <w:color w:val="auto"/>
          <w:u w:val="single"/>
          <w:lang w:val="en-US" w:eastAsia="zh-CN"/>
        </w:rPr>
      </w:pPr>
    </w:p>
    <w:p>
      <w:pPr>
        <w:spacing w:after="120"/>
        <w:rPr>
          <w:b/>
          <w:sz w:val="21"/>
          <w:szCs w:val="21"/>
          <w:u w:val="single"/>
          <w:lang w:val="en-US" w:eastAsia="zh-CN"/>
        </w:rPr>
      </w:pPr>
      <w:r>
        <w:rPr>
          <w:b/>
          <w:sz w:val="21"/>
          <w:szCs w:val="21"/>
          <w:u w:val="single"/>
          <w:lang w:val="en-US" w:eastAsia="zh-CN"/>
        </w:rPr>
        <w:t>Issue 2-1-2: Test setups - TDD pattern for SCell</w:t>
      </w:r>
    </w:p>
    <w:p>
      <w:pPr>
        <w:spacing w:after="120"/>
        <w:rPr>
          <w:sz w:val="21"/>
          <w:szCs w:val="21"/>
          <w:highlight w:val="green"/>
          <w:lang w:val="en-US" w:eastAsia="zh-CN"/>
        </w:rPr>
      </w:pPr>
      <w:r>
        <w:rPr>
          <w:rFonts w:hint="eastAsia"/>
          <w:sz w:val="21"/>
          <w:szCs w:val="21"/>
          <w:highlight w:val="green"/>
          <w:lang w:val="en-US" w:eastAsia="zh-CN"/>
        </w:rPr>
        <w:t>A</w:t>
      </w:r>
      <w:r>
        <w:rPr>
          <w:sz w:val="21"/>
          <w:szCs w:val="21"/>
          <w:highlight w:val="green"/>
          <w:lang w:val="en-US" w:eastAsia="zh-CN"/>
        </w:rPr>
        <w:t>greement:</w:t>
      </w:r>
    </w:p>
    <w:p>
      <w:pPr>
        <w:pStyle w:val="72"/>
        <w:numPr>
          <w:ilvl w:val="0"/>
          <w:numId w:val="1"/>
        </w:numPr>
        <w:tabs>
          <w:tab w:val="left" w:pos="0"/>
          <w:tab w:val="clear" w:pos="-420"/>
        </w:tabs>
        <w:spacing w:after="120"/>
        <w:ind w:left="720" w:leftChars="0"/>
        <w:contextualSpacing w:val="0"/>
        <w:rPr>
          <w:rFonts w:eastAsia="宋体"/>
          <w:sz w:val="21"/>
          <w:szCs w:val="21"/>
          <w:highlight w:val="green"/>
        </w:rPr>
      </w:pPr>
      <w:r>
        <w:rPr>
          <w:rFonts w:eastAsia="宋体"/>
          <w:sz w:val="21"/>
          <w:szCs w:val="21"/>
          <w:highlight w:val="green"/>
        </w:rPr>
        <w:t>Reuse the legacy TDD pattern for SCell</w:t>
      </w:r>
    </w:p>
    <w:p>
      <w:pPr>
        <w:rPr>
          <w:rFonts w:hint="eastAsia"/>
          <w:b/>
          <w:color w:val="auto"/>
          <w:u w:val="single"/>
          <w:lang w:val="en-US" w:eastAsia="zh-CN"/>
        </w:rPr>
      </w:pPr>
    </w:p>
    <w:p>
      <w:pPr>
        <w:spacing w:after="120"/>
        <w:rPr>
          <w:b/>
          <w:sz w:val="21"/>
          <w:szCs w:val="21"/>
          <w:u w:val="single"/>
          <w:lang w:val="en-US" w:eastAsia="zh-CN"/>
        </w:rPr>
      </w:pPr>
      <w:r>
        <w:rPr>
          <w:b/>
          <w:sz w:val="21"/>
          <w:szCs w:val="21"/>
          <w:u w:val="single"/>
          <w:lang w:val="en-US" w:eastAsia="zh-CN"/>
        </w:rPr>
        <w:t>Issue 2-1-3: Test scope</w:t>
      </w:r>
    </w:p>
    <w:p>
      <w:pPr>
        <w:snapToGrid w:val="0"/>
        <w:spacing w:after="120"/>
        <w:rPr>
          <w:rFonts w:eastAsia="宋体"/>
          <w:sz w:val="21"/>
          <w:szCs w:val="21"/>
          <w:lang w:val="en-US" w:eastAsia="zh-CN"/>
        </w:rPr>
      </w:pPr>
      <w:r>
        <w:rPr>
          <w:rFonts w:hint="eastAsia" w:eastAsia="宋体"/>
          <w:sz w:val="21"/>
          <w:szCs w:val="21"/>
          <w:highlight w:val="green"/>
          <w:lang w:val="en-US" w:eastAsia="zh-CN"/>
        </w:rPr>
        <w:t>A</w:t>
      </w:r>
      <w:r>
        <w:rPr>
          <w:rFonts w:eastAsia="宋体"/>
          <w:sz w:val="21"/>
          <w:szCs w:val="21"/>
          <w:highlight w:val="green"/>
          <w:lang w:val="en-US" w:eastAsia="zh-CN"/>
        </w:rPr>
        <w:t>greement:</w:t>
      </w:r>
    </w:p>
    <w:p>
      <w:pPr>
        <w:pStyle w:val="72"/>
        <w:numPr>
          <w:ilvl w:val="0"/>
          <w:numId w:val="1"/>
        </w:numPr>
        <w:tabs>
          <w:tab w:val="left" w:pos="0"/>
          <w:tab w:val="clear" w:pos="-420"/>
        </w:tabs>
        <w:spacing w:after="120"/>
        <w:ind w:left="720" w:leftChars="0"/>
        <w:contextualSpacing w:val="0"/>
        <w:rPr>
          <w:rFonts w:eastAsia="宋体"/>
          <w:sz w:val="21"/>
          <w:szCs w:val="21"/>
          <w:highlight w:val="green"/>
        </w:rPr>
      </w:pPr>
      <w:r>
        <w:rPr>
          <w:rFonts w:eastAsia="宋体"/>
          <w:sz w:val="21"/>
          <w:szCs w:val="21"/>
          <w:highlight w:val="green"/>
        </w:rPr>
        <w:t>Introduced test cases:</w:t>
      </w:r>
    </w:p>
    <w:p>
      <w:pPr>
        <w:pStyle w:val="72"/>
        <w:numPr>
          <w:ilvl w:val="0"/>
          <w:numId w:val="1"/>
        </w:numPr>
        <w:tabs>
          <w:tab w:val="left" w:pos="0"/>
          <w:tab w:val="clear" w:pos="-420"/>
        </w:tabs>
        <w:spacing w:after="120"/>
        <w:ind w:left="1020" w:leftChars="0"/>
        <w:contextualSpacing w:val="0"/>
        <w:rPr>
          <w:rFonts w:eastAsia="宋体"/>
          <w:bCs/>
          <w:sz w:val="21"/>
          <w:szCs w:val="21"/>
          <w:highlight w:val="green"/>
        </w:rPr>
      </w:pPr>
      <w:r>
        <w:rPr>
          <w:rFonts w:eastAsia="宋体"/>
          <w:bCs/>
          <w:sz w:val="21"/>
          <w:szCs w:val="21"/>
          <w:highlight w:val="green"/>
        </w:rPr>
        <w:t>Interruptions during measurements on deactivated NR SCC in FR1</w:t>
      </w:r>
    </w:p>
    <w:p>
      <w:pPr>
        <w:pStyle w:val="72"/>
        <w:numPr>
          <w:ilvl w:val="1"/>
          <w:numId w:val="1"/>
        </w:numPr>
        <w:tabs>
          <w:tab w:val="left" w:pos="0"/>
          <w:tab w:val="clear" w:pos="-420"/>
        </w:tabs>
        <w:spacing w:after="120"/>
        <w:ind w:left="1440" w:leftChars="0"/>
        <w:contextualSpacing w:val="0"/>
        <w:rPr>
          <w:rFonts w:eastAsia="宋体"/>
          <w:sz w:val="21"/>
          <w:szCs w:val="21"/>
          <w:highlight w:val="green"/>
        </w:rPr>
      </w:pPr>
      <w:r>
        <w:rPr>
          <w:rFonts w:eastAsia="宋体"/>
          <w:sz w:val="21"/>
          <w:szCs w:val="21"/>
          <w:highlight w:val="green"/>
        </w:rPr>
        <w:t>test together with Event triggered reporting on SCC with deactivated SCell test under non-DRX, with measurement cycle of no smaller than 640ms</w:t>
      </w:r>
    </w:p>
    <w:p>
      <w:pPr>
        <w:pStyle w:val="72"/>
        <w:numPr>
          <w:ilvl w:val="1"/>
          <w:numId w:val="1"/>
        </w:numPr>
        <w:tabs>
          <w:tab w:val="left" w:pos="0"/>
          <w:tab w:val="clear" w:pos="-420"/>
        </w:tabs>
        <w:spacing w:after="120"/>
        <w:ind w:left="1440" w:leftChars="0"/>
        <w:contextualSpacing w:val="0"/>
        <w:rPr>
          <w:rFonts w:eastAsia="宋体"/>
          <w:sz w:val="21"/>
          <w:szCs w:val="21"/>
          <w:highlight w:val="green"/>
        </w:rPr>
      </w:pPr>
      <w:r>
        <w:rPr>
          <w:rFonts w:eastAsia="宋体"/>
          <w:sz w:val="21"/>
          <w:szCs w:val="21"/>
          <w:highlight w:val="green"/>
        </w:rPr>
        <w:t xml:space="preserve">If it is feasible to test both neighbour cell measurement skipping and not skipping in this test case, </w:t>
      </w:r>
    </w:p>
    <w:p>
      <w:pPr>
        <w:pStyle w:val="72"/>
        <w:numPr>
          <w:ilvl w:val="1"/>
          <w:numId w:val="1"/>
        </w:numPr>
        <w:tabs>
          <w:tab w:val="left" w:pos="0"/>
          <w:tab w:val="clear" w:pos="-420"/>
        </w:tabs>
        <w:spacing w:after="120"/>
        <w:ind w:left="2136" w:leftChars="0"/>
        <w:contextualSpacing w:val="0"/>
        <w:rPr>
          <w:rFonts w:eastAsia="宋体"/>
          <w:sz w:val="21"/>
          <w:szCs w:val="21"/>
          <w:highlight w:val="green"/>
        </w:rPr>
      </w:pPr>
      <w:r>
        <w:rPr>
          <w:rFonts w:eastAsia="宋体"/>
          <w:sz w:val="21"/>
          <w:szCs w:val="21"/>
          <w:highlight w:val="green"/>
        </w:rPr>
        <w:t xml:space="preserve">not introduce the test case for “Event triggered reporting on SCC with deactivated SCell test under non-DRX for 160 ms SCell measurement cycle”. </w:t>
      </w:r>
    </w:p>
    <w:p>
      <w:pPr>
        <w:pStyle w:val="72"/>
        <w:numPr>
          <w:ilvl w:val="1"/>
          <w:numId w:val="1"/>
        </w:numPr>
        <w:tabs>
          <w:tab w:val="left" w:pos="0"/>
          <w:tab w:val="clear" w:pos="-420"/>
        </w:tabs>
        <w:spacing w:after="120"/>
        <w:ind w:left="1440" w:leftChars="0"/>
        <w:contextualSpacing w:val="0"/>
        <w:rPr>
          <w:rFonts w:eastAsia="宋体"/>
          <w:sz w:val="21"/>
          <w:szCs w:val="21"/>
          <w:highlight w:val="green"/>
        </w:rPr>
      </w:pPr>
      <w:r>
        <w:rPr>
          <w:rFonts w:eastAsia="宋体"/>
          <w:sz w:val="21"/>
          <w:szCs w:val="21"/>
          <w:highlight w:val="green"/>
        </w:rPr>
        <w:t>If not feasible,</w:t>
      </w:r>
    </w:p>
    <w:p>
      <w:pPr>
        <w:pStyle w:val="72"/>
        <w:numPr>
          <w:ilvl w:val="1"/>
          <w:numId w:val="1"/>
        </w:numPr>
        <w:tabs>
          <w:tab w:val="left" w:pos="0"/>
          <w:tab w:val="clear" w:pos="-420"/>
        </w:tabs>
        <w:spacing w:after="120"/>
        <w:ind w:left="2136" w:leftChars="0"/>
        <w:contextualSpacing w:val="0"/>
        <w:rPr>
          <w:rFonts w:eastAsia="宋体"/>
          <w:sz w:val="21"/>
          <w:szCs w:val="21"/>
          <w:highlight w:val="green"/>
        </w:rPr>
      </w:pPr>
      <w:r>
        <w:rPr>
          <w:rFonts w:eastAsia="宋体"/>
          <w:sz w:val="21"/>
          <w:szCs w:val="21"/>
          <w:highlight w:val="green"/>
        </w:rPr>
        <w:t>introduce one more test case for “Event triggered reporting on SCC with deactivated SCell test under non-DRX for 160 ms SCell measurement cycle”</w:t>
      </w:r>
    </w:p>
    <w:p>
      <w:pPr>
        <w:pStyle w:val="72"/>
        <w:numPr>
          <w:ilvl w:val="0"/>
          <w:numId w:val="1"/>
        </w:numPr>
        <w:tabs>
          <w:tab w:val="left" w:pos="0"/>
          <w:tab w:val="clear" w:pos="-420"/>
        </w:tabs>
        <w:spacing w:after="120"/>
        <w:ind w:left="1020" w:leftChars="0"/>
        <w:contextualSpacing w:val="0"/>
        <w:rPr>
          <w:rFonts w:eastAsia="宋体"/>
          <w:bCs/>
          <w:sz w:val="21"/>
          <w:szCs w:val="21"/>
          <w:highlight w:val="green"/>
        </w:rPr>
      </w:pPr>
      <w:r>
        <w:rPr>
          <w:rFonts w:eastAsia="宋体"/>
          <w:bCs/>
          <w:sz w:val="21"/>
          <w:szCs w:val="21"/>
          <w:highlight w:val="green"/>
        </w:rPr>
        <w:t>Interruption requirement at SRS antenna port switching with 1 SRS symbol in a slot</w:t>
      </w:r>
    </w:p>
    <w:p>
      <w:pPr>
        <w:pStyle w:val="72"/>
        <w:numPr>
          <w:ilvl w:val="0"/>
          <w:numId w:val="1"/>
        </w:numPr>
        <w:tabs>
          <w:tab w:val="left" w:pos="0"/>
          <w:tab w:val="clear" w:pos="-420"/>
        </w:tabs>
        <w:spacing w:after="120"/>
        <w:ind w:left="1020" w:leftChars="0"/>
        <w:contextualSpacing w:val="0"/>
        <w:rPr>
          <w:rFonts w:eastAsia="宋体"/>
          <w:bCs/>
          <w:sz w:val="21"/>
          <w:szCs w:val="21"/>
          <w:highlight w:val="green"/>
        </w:rPr>
      </w:pPr>
      <w:r>
        <w:rPr>
          <w:rFonts w:eastAsia="宋体"/>
          <w:bCs/>
          <w:sz w:val="21"/>
          <w:szCs w:val="21"/>
          <w:highlight w:val="green"/>
        </w:rPr>
        <w:t>Interruption requirement at SRS antenna port switching with more than 1 SRS symbol in a slot</w:t>
      </w:r>
    </w:p>
    <w:p>
      <w:pPr>
        <w:pStyle w:val="72"/>
        <w:numPr>
          <w:ilvl w:val="0"/>
          <w:numId w:val="1"/>
        </w:numPr>
        <w:tabs>
          <w:tab w:val="left" w:pos="0"/>
          <w:tab w:val="clear" w:pos="-420"/>
        </w:tabs>
        <w:spacing w:after="120"/>
        <w:ind w:left="1020" w:leftChars="0"/>
        <w:contextualSpacing w:val="0"/>
        <w:rPr>
          <w:rFonts w:eastAsia="宋体"/>
          <w:sz w:val="21"/>
          <w:szCs w:val="21"/>
          <w:highlight w:val="green"/>
        </w:rPr>
      </w:pPr>
      <w:r>
        <w:rPr>
          <w:rFonts w:eastAsia="宋体"/>
          <w:sz w:val="21"/>
          <w:szCs w:val="21"/>
          <w:highlight w:val="green"/>
        </w:rPr>
        <w:t>SCell Activation and deactivation of known SCell in FR1 in non-DRX for 160 ms SCell measurement cycle (together with interruption requirement verification)</w:t>
      </w:r>
    </w:p>
    <w:p>
      <w:pPr>
        <w:pStyle w:val="72"/>
        <w:numPr>
          <w:ilvl w:val="0"/>
          <w:numId w:val="1"/>
        </w:numPr>
        <w:tabs>
          <w:tab w:val="left" w:pos="0"/>
          <w:tab w:val="clear" w:pos="-420"/>
        </w:tabs>
        <w:spacing w:after="120"/>
        <w:ind w:left="1020" w:leftChars="0"/>
        <w:contextualSpacing w:val="0"/>
        <w:rPr>
          <w:rFonts w:eastAsia="宋体"/>
          <w:sz w:val="21"/>
          <w:szCs w:val="21"/>
          <w:highlight w:val="yellow"/>
        </w:rPr>
      </w:pPr>
      <w:r>
        <w:rPr>
          <w:rFonts w:eastAsia="宋体"/>
          <w:sz w:val="21"/>
          <w:szCs w:val="21"/>
          <w:highlight w:val="yellow"/>
        </w:rPr>
        <w:t>SCell Activation and deactivation of known SCell in FR1 in non-DRX for 640 ms SCell measurement cycle (together with interruption requirement verification)</w:t>
      </w:r>
    </w:p>
    <w:p>
      <w:pPr>
        <w:pStyle w:val="72"/>
        <w:numPr>
          <w:ilvl w:val="0"/>
          <w:numId w:val="1"/>
        </w:numPr>
        <w:tabs>
          <w:tab w:val="left" w:pos="0"/>
          <w:tab w:val="clear" w:pos="-420"/>
        </w:tabs>
        <w:spacing w:after="120"/>
        <w:ind w:left="1020" w:leftChars="0"/>
        <w:contextualSpacing w:val="0"/>
        <w:rPr>
          <w:rFonts w:eastAsia="宋体"/>
          <w:sz w:val="21"/>
          <w:szCs w:val="21"/>
          <w:highlight w:val="green"/>
        </w:rPr>
      </w:pPr>
      <w:r>
        <w:rPr>
          <w:rFonts w:eastAsia="宋体"/>
          <w:sz w:val="21"/>
          <w:szCs w:val="21"/>
          <w:highlight w:val="green"/>
        </w:rPr>
        <w:t>SCell Activation and deactivation of unknown SCell in FR1 in non-DRX (together with interruption requirement verification)</w:t>
      </w:r>
    </w:p>
    <w:p>
      <w:pPr>
        <w:pStyle w:val="72"/>
        <w:numPr>
          <w:ilvl w:val="0"/>
          <w:numId w:val="1"/>
        </w:numPr>
        <w:tabs>
          <w:tab w:val="left" w:pos="0"/>
          <w:tab w:val="clear" w:pos="-420"/>
        </w:tabs>
        <w:spacing w:after="120"/>
        <w:ind w:left="1020" w:leftChars="0"/>
        <w:contextualSpacing w:val="0"/>
        <w:rPr>
          <w:rFonts w:eastAsia="宋体"/>
          <w:sz w:val="21"/>
          <w:szCs w:val="21"/>
          <w:highlight w:val="green"/>
        </w:rPr>
      </w:pPr>
      <w:r>
        <w:rPr>
          <w:rFonts w:eastAsia="宋体"/>
          <w:sz w:val="21"/>
          <w:szCs w:val="21"/>
          <w:highlight w:val="green"/>
        </w:rPr>
        <w:t>Direct SCell activation at SCell addition of known SCell in FR1 (together with interruption requirement verification)</w:t>
      </w:r>
    </w:p>
    <w:p>
      <w:pPr>
        <w:pStyle w:val="72"/>
        <w:numPr>
          <w:ilvl w:val="0"/>
          <w:numId w:val="1"/>
        </w:numPr>
        <w:tabs>
          <w:tab w:val="left" w:pos="0"/>
          <w:tab w:val="clear" w:pos="-420"/>
        </w:tabs>
        <w:spacing w:after="120"/>
        <w:ind w:left="1020" w:leftChars="0"/>
        <w:contextualSpacing w:val="0"/>
        <w:rPr>
          <w:rFonts w:eastAsia="宋体"/>
          <w:sz w:val="21"/>
          <w:szCs w:val="21"/>
          <w:highlight w:val="green"/>
        </w:rPr>
      </w:pPr>
      <w:r>
        <w:rPr>
          <w:rFonts w:eastAsia="宋体"/>
          <w:sz w:val="21"/>
          <w:szCs w:val="21"/>
          <w:highlight w:val="green"/>
        </w:rPr>
        <w:t>Direct SCell activation at handover with known SCell in FR1</w:t>
      </w:r>
    </w:p>
    <w:p>
      <w:pPr>
        <w:pStyle w:val="72"/>
        <w:numPr>
          <w:ilvl w:val="0"/>
          <w:numId w:val="1"/>
        </w:numPr>
        <w:tabs>
          <w:tab w:val="left" w:pos="0"/>
          <w:tab w:val="clear" w:pos="-420"/>
        </w:tabs>
        <w:spacing w:after="120"/>
        <w:ind w:left="1020" w:leftChars="0"/>
        <w:contextualSpacing w:val="0"/>
        <w:rPr>
          <w:rFonts w:eastAsia="宋体"/>
          <w:bCs/>
          <w:sz w:val="21"/>
          <w:szCs w:val="21"/>
          <w:highlight w:val="green"/>
        </w:rPr>
      </w:pPr>
      <w:r>
        <w:rPr>
          <w:rFonts w:eastAsia="宋体"/>
          <w:bCs/>
          <w:sz w:val="21"/>
          <w:szCs w:val="21"/>
          <w:highlight w:val="green"/>
        </w:rPr>
        <w:t>Fast SCell Activation of known SCell in FR1 in non-DRX for 160 ms SCell measurement cycle</w:t>
      </w:r>
    </w:p>
    <w:p>
      <w:pPr>
        <w:pStyle w:val="72"/>
        <w:numPr>
          <w:ilvl w:val="0"/>
          <w:numId w:val="1"/>
        </w:numPr>
        <w:tabs>
          <w:tab w:val="left" w:pos="0"/>
          <w:tab w:val="clear" w:pos="-420"/>
        </w:tabs>
        <w:spacing w:after="120"/>
        <w:ind w:left="1020" w:leftChars="0"/>
        <w:contextualSpacing w:val="0"/>
        <w:rPr>
          <w:rFonts w:eastAsia="宋体"/>
          <w:bCs/>
          <w:sz w:val="21"/>
          <w:szCs w:val="21"/>
          <w:highlight w:val="yellow"/>
        </w:rPr>
      </w:pPr>
      <w:r>
        <w:rPr>
          <w:rFonts w:eastAsia="宋体"/>
          <w:bCs/>
          <w:sz w:val="21"/>
          <w:szCs w:val="21"/>
          <w:highlight w:val="yellow"/>
        </w:rPr>
        <w:t>Fast SCell Activation of known SCell in FR1 in non-DRX for 640 ms SCell measurement cycle</w:t>
      </w:r>
    </w:p>
    <w:p>
      <w:pPr>
        <w:pStyle w:val="72"/>
        <w:numPr>
          <w:ilvl w:val="0"/>
          <w:numId w:val="1"/>
        </w:numPr>
        <w:tabs>
          <w:tab w:val="left" w:pos="0"/>
          <w:tab w:val="clear" w:pos="-420"/>
        </w:tabs>
        <w:spacing w:after="120"/>
        <w:ind w:left="1020" w:leftChars="0"/>
        <w:contextualSpacing w:val="0"/>
        <w:rPr>
          <w:rFonts w:eastAsia="宋体"/>
          <w:bCs/>
          <w:sz w:val="21"/>
          <w:szCs w:val="21"/>
          <w:highlight w:val="green"/>
        </w:rPr>
      </w:pPr>
      <w:r>
        <w:rPr>
          <w:rFonts w:eastAsia="宋体"/>
          <w:bCs/>
          <w:sz w:val="21"/>
          <w:szCs w:val="21"/>
          <w:highlight w:val="green"/>
        </w:rPr>
        <w:t>SCell Activation of unknown SCell with valid L3 measurement results in FR1 in non-DRX for 160 ms SCell measurement cycle</w:t>
      </w:r>
    </w:p>
    <w:p>
      <w:pPr>
        <w:pStyle w:val="72"/>
        <w:numPr>
          <w:ilvl w:val="0"/>
          <w:numId w:val="1"/>
        </w:numPr>
        <w:tabs>
          <w:tab w:val="left" w:pos="0"/>
          <w:tab w:val="clear" w:pos="-420"/>
        </w:tabs>
        <w:spacing w:after="120"/>
        <w:ind w:left="1020" w:leftChars="0"/>
        <w:contextualSpacing w:val="0"/>
        <w:rPr>
          <w:rFonts w:eastAsia="宋体"/>
          <w:bCs/>
          <w:sz w:val="21"/>
          <w:szCs w:val="21"/>
          <w:highlight w:val="green"/>
        </w:rPr>
      </w:pPr>
      <w:r>
        <w:rPr>
          <w:rFonts w:eastAsia="宋体"/>
          <w:bCs/>
          <w:sz w:val="21"/>
          <w:szCs w:val="21"/>
          <w:highlight w:val="green"/>
        </w:rPr>
        <w:t>TRS based SCell Activation of SSB-less SCell in FR1 inter-band CA in non-DRX</w:t>
      </w:r>
    </w:p>
    <w:p>
      <w:pPr>
        <w:pStyle w:val="72"/>
        <w:numPr>
          <w:ilvl w:val="0"/>
          <w:numId w:val="1"/>
        </w:numPr>
        <w:tabs>
          <w:tab w:val="left" w:pos="0"/>
          <w:tab w:val="clear" w:pos="-420"/>
        </w:tabs>
        <w:spacing w:after="120"/>
        <w:ind w:left="1716" w:leftChars="0"/>
        <w:contextualSpacing w:val="0"/>
        <w:rPr>
          <w:rFonts w:eastAsia="宋体"/>
          <w:bCs/>
          <w:sz w:val="21"/>
          <w:szCs w:val="21"/>
          <w:highlight w:val="yellow"/>
        </w:rPr>
      </w:pPr>
      <w:r>
        <w:rPr>
          <w:rFonts w:eastAsia="宋体"/>
          <w:bCs/>
          <w:sz w:val="21"/>
          <w:szCs w:val="21"/>
          <w:highlight w:val="yellow"/>
        </w:rPr>
        <w:t>Further discuss whether to only consider Periodic TRS for this test case</w:t>
      </w:r>
    </w:p>
    <w:p>
      <w:pPr>
        <w:pStyle w:val="72"/>
        <w:numPr>
          <w:ilvl w:val="0"/>
          <w:numId w:val="1"/>
        </w:numPr>
        <w:tabs>
          <w:tab w:val="left" w:pos="0"/>
          <w:tab w:val="clear" w:pos="-420"/>
        </w:tabs>
        <w:spacing w:after="120"/>
        <w:ind w:left="1716" w:leftChars="0"/>
        <w:contextualSpacing w:val="0"/>
        <w:rPr>
          <w:rFonts w:eastAsia="宋体"/>
          <w:bCs/>
          <w:sz w:val="21"/>
          <w:szCs w:val="21"/>
          <w:highlight w:val="yellow"/>
        </w:rPr>
      </w:pPr>
      <w:r>
        <w:rPr>
          <w:rFonts w:eastAsia="宋体"/>
          <w:bCs/>
          <w:sz w:val="21"/>
          <w:szCs w:val="21"/>
          <w:highlight w:val="yellow"/>
        </w:rPr>
        <w:t>Further discuss whether this test case is only applicable to case 4 UE</w:t>
      </w:r>
    </w:p>
    <w:p>
      <w:pPr>
        <w:pStyle w:val="72"/>
        <w:numPr>
          <w:ilvl w:val="0"/>
          <w:numId w:val="1"/>
        </w:numPr>
        <w:tabs>
          <w:tab w:val="left" w:pos="0"/>
          <w:tab w:val="clear" w:pos="-420"/>
        </w:tabs>
        <w:spacing w:after="120"/>
        <w:ind w:left="1020" w:leftChars="0"/>
        <w:contextualSpacing w:val="0"/>
        <w:rPr>
          <w:rFonts w:hint="eastAsia"/>
          <w:b/>
          <w:color w:val="auto"/>
          <w:u w:val="single"/>
          <w:lang w:val="en-US" w:eastAsia="zh-CN"/>
        </w:rPr>
      </w:pPr>
      <w:r>
        <w:rPr>
          <w:rFonts w:eastAsia="宋体"/>
          <w:sz w:val="21"/>
          <w:szCs w:val="21"/>
          <w:highlight w:val="green"/>
        </w:rPr>
        <w:t>Beam Failure Detection and Link Recovery Test for FR1 SCell configured with CSI-RS-based BFD and SSB-based LR in non-DRX mode for ATG</w:t>
      </w:r>
    </w:p>
    <w:p>
      <w:pPr>
        <w:rPr>
          <w:rFonts w:hint="eastAsia"/>
          <w:b/>
          <w:color w:val="auto"/>
          <w:u w:val="single"/>
          <w:lang w:val="en-US" w:eastAsia="zh-CN"/>
        </w:rPr>
      </w:pPr>
    </w:p>
    <w:p>
      <w:pPr>
        <w:rPr>
          <w:rFonts w:hint="eastAsia"/>
          <w:b/>
          <w:color w:val="auto"/>
          <w:u w:val="single"/>
          <w:lang w:val="en-US" w:eastAsia="zh-CN"/>
        </w:rPr>
      </w:pPr>
    </w:p>
    <w:p>
      <w:pPr>
        <w:rPr>
          <w:rFonts w:hint="eastAsia"/>
          <w:b/>
          <w:color w:val="auto"/>
          <w:u w:val="single"/>
          <w:lang w:val="en-US" w:eastAsia="zh-CN"/>
        </w:rPr>
      </w:pPr>
    </w:p>
    <w:p>
      <w:pPr>
        <w:rPr>
          <w:rFonts w:hint="eastAsia"/>
          <w:b/>
          <w:color w:val="auto"/>
          <w:u w:val="single"/>
          <w:lang w:val="en-US" w:eastAsia="zh-CN"/>
        </w:rPr>
      </w:pPr>
    </w:p>
    <w:p>
      <w:pPr>
        <w:rPr>
          <w:rFonts w:hint="eastAsia"/>
          <w:b/>
          <w:color w:val="auto"/>
          <w:u w:val="single"/>
          <w:lang w:val="en-US" w:eastAsia="zh-CN"/>
        </w:rPr>
      </w:pPr>
    </w:p>
    <w:p>
      <w:pPr>
        <w:rPr>
          <w:rFonts w:hint="default" w:ascii="Times New Roman" w:hAnsi="Times New Roman" w:cs="Times New Roman"/>
          <w:b/>
          <w:color w:val="auto"/>
          <w:sz w:val="20"/>
          <w:szCs w:val="20"/>
          <w:u w:val="single"/>
          <w:lang w:eastAsia="zh-CN"/>
        </w:rPr>
      </w:pPr>
    </w:p>
    <w:sectPr>
      <w:footnotePr>
        <w:numRestart w:val="eachSect"/>
      </w:footnotePr>
      <w:pgSz w:w="11907" w:h="16840"/>
      <w:pgMar w:top="720" w:right="720" w:bottom="720" w:left="720" w:header="680" w:footer="567" w:gutter="0"/>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Yu Mincho Light">
    <w:altName w:val="Yu Gothic"/>
    <w:panose1 w:val="00000000000000000000"/>
    <w:charset w:val="80"/>
    <w:family w:val="roman"/>
    <w:pitch w:val="default"/>
    <w:sig w:usb0="00000000" w:usb1="00000000" w:usb2="00000012" w:usb3="00000000" w:csb0="0002009F" w:csb1="00000000"/>
  </w:font>
  <w:font w:name="굴림">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73482"/>
    <w:multiLevelType w:val="multilevel"/>
    <w:tmpl w:val="58B73482"/>
    <w:lvl w:ilvl="0" w:tentative="0">
      <w:start w:val="1"/>
      <w:numFmt w:val="bullet"/>
      <w:lvlText w:val=""/>
      <w:lvlJc w:val="left"/>
      <w:pPr>
        <w:tabs>
          <w:tab w:val="left" w:pos="-420"/>
        </w:tabs>
        <w:ind w:left="516" w:hanging="360"/>
      </w:pPr>
      <w:rPr>
        <w:rFonts w:hint="default" w:ascii="Symbol" w:hAnsi="Symbol"/>
      </w:rPr>
    </w:lvl>
    <w:lvl w:ilvl="1" w:tentative="0">
      <w:start w:val="1"/>
      <w:numFmt w:val="bullet"/>
      <w:lvlText w:val="o"/>
      <w:lvlJc w:val="left"/>
      <w:pPr>
        <w:tabs>
          <w:tab w:val="left" w:pos="-420"/>
        </w:tabs>
        <w:ind w:left="1236" w:hanging="360"/>
      </w:pPr>
      <w:rPr>
        <w:rFonts w:hint="default" w:ascii="Courier New" w:hAnsi="Courier New" w:cs="Courier New"/>
      </w:rPr>
    </w:lvl>
    <w:lvl w:ilvl="2" w:tentative="0">
      <w:start w:val="1"/>
      <w:numFmt w:val="bullet"/>
      <w:lvlText w:val=""/>
      <w:lvlJc w:val="left"/>
      <w:pPr>
        <w:tabs>
          <w:tab w:val="left" w:pos="-420"/>
        </w:tabs>
        <w:ind w:left="1956" w:hanging="360"/>
      </w:pPr>
      <w:rPr>
        <w:rFonts w:hint="default" w:ascii="Wingdings" w:hAnsi="Wingdings"/>
      </w:rPr>
    </w:lvl>
    <w:lvl w:ilvl="3" w:tentative="0">
      <w:start w:val="1"/>
      <w:numFmt w:val="bullet"/>
      <w:lvlText w:val=""/>
      <w:lvlJc w:val="left"/>
      <w:pPr>
        <w:tabs>
          <w:tab w:val="left" w:pos="-420"/>
        </w:tabs>
        <w:ind w:left="2676" w:hanging="360"/>
      </w:pPr>
      <w:rPr>
        <w:rFonts w:hint="default" w:ascii="Symbol" w:hAnsi="Symbol"/>
      </w:rPr>
    </w:lvl>
    <w:lvl w:ilvl="4" w:tentative="0">
      <w:start w:val="1"/>
      <w:numFmt w:val="bullet"/>
      <w:lvlText w:val="o"/>
      <w:lvlJc w:val="left"/>
      <w:pPr>
        <w:tabs>
          <w:tab w:val="left" w:pos="-420"/>
        </w:tabs>
        <w:ind w:left="3396" w:hanging="360"/>
      </w:pPr>
      <w:rPr>
        <w:rFonts w:hint="default" w:ascii="Courier New" w:hAnsi="Courier New" w:cs="Courier New"/>
      </w:rPr>
    </w:lvl>
    <w:lvl w:ilvl="5" w:tentative="0">
      <w:start w:val="1"/>
      <w:numFmt w:val="bullet"/>
      <w:lvlText w:val=""/>
      <w:lvlJc w:val="left"/>
      <w:pPr>
        <w:tabs>
          <w:tab w:val="left" w:pos="-420"/>
        </w:tabs>
        <w:ind w:left="4116" w:hanging="360"/>
      </w:pPr>
      <w:rPr>
        <w:rFonts w:hint="default" w:ascii="Wingdings" w:hAnsi="Wingdings"/>
      </w:rPr>
    </w:lvl>
    <w:lvl w:ilvl="6" w:tentative="0">
      <w:start w:val="1"/>
      <w:numFmt w:val="bullet"/>
      <w:lvlText w:val=""/>
      <w:lvlJc w:val="left"/>
      <w:pPr>
        <w:tabs>
          <w:tab w:val="left" w:pos="-420"/>
        </w:tabs>
        <w:ind w:left="4836" w:hanging="360"/>
      </w:pPr>
      <w:rPr>
        <w:rFonts w:hint="default" w:ascii="Symbol" w:hAnsi="Symbol"/>
      </w:rPr>
    </w:lvl>
    <w:lvl w:ilvl="7" w:tentative="0">
      <w:start w:val="1"/>
      <w:numFmt w:val="bullet"/>
      <w:lvlText w:val="o"/>
      <w:lvlJc w:val="left"/>
      <w:pPr>
        <w:tabs>
          <w:tab w:val="left" w:pos="-420"/>
        </w:tabs>
        <w:ind w:left="5556" w:hanging="360"/>
      </w:pPr>
      <w:rPr>
        <w:rFonts w:hint="default" w:ascii="Courier New" w:hAnsi="Courier New" w:cs="Courier New"/>
      </w:rPr>
    </w:lvl>
    <w:lvl w:ilvl="8" w:tentative="0">
      <w:start w:val="1"/>
      <w:numFmt w:val="bullet"/>
      <w:lvlText w:val=""/>
      <w:lvlJc w:val="left"/>
      <w:pPr>
        <w:tabs>
          <w:tab w:val="left" w:pos="-420"/>
        </w:tabs>
        <w:ind w:left="6276"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linkStyles/>
  <w:attachedTemplate r:id="rId1"/>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numRestart w:val="eachSect"/>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3F3"/>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F2A"/>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5551"/>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3602"/>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63D7"/>
    <w:rsid w:val="009778E5"/>
    <w:rsid w:val="00977C6D"/>
    <w:rsid w:val="00980FCC"/>
    <w:rsid w:val="00982099"/>
    <w:rsid w:val="009830EE"/>
    <w:rsid w:val="0098326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5F04"/>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9F9"/>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CD8"/>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583"/>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561"/>
    <w:rsid w:val="00D04A8A"/>
    <w:rsid w:val="00D053E2"/>
    <w:rsid w:val="00D057FE"/>
    <w:rsid w:val="00D05A4C"/>
    <w:rsid w:val="00D05D54"/>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250"/>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 w:val="030B1B96"/>
    <w:rsid w:val="03BC4A9D"/>
    <w:rsid w:val="046810AB"/>
    <w:rsid w:val="05EF3EA8"/>
    <w:rsid w:val="066478E0"/>
    <w:rsid w:val="076E5199"/>
    <w:rsid w:val="08036534"/>
    <w:rsid w:val="09575F33"/>
    <w:rsid w:val="0A065F39"/>
    <w:rsid w:val="127C6D88"/>
    <w:rsid w:val="143E502C"/>
    <w:rsid w:val="16194085"/>
    <w:rsid w:val="18D42CAA"/>
    <w:rsid w:val="198432E8"/>
    <w:rsid w:val="1CBB1BB0"/>
    <w:rsid w:val="1D777F86"/>
    <w:rsid w:val="1E452485"/>
    <w:rsid w:val="1F17751E"/>
    <w:rsid w:val="1F8E3470"/>
    <w:rsid w:val="21F046BC"/>
    <w:rsid w:val="25F93F73"/>
    <w:rsid w:val="262D4A31"/>
    <w:rsid w:val="295A3A87"/>
    <w:rsid w:val="2AF37FE9"/>
    <w:rsid w:val="2B09789B"/>
    <w:rsid w:val="2BC55573"/>
    <w:rsid w:val="2BD66B3D"/>
    <w:rsid w:val="2D715F5C"/>
    <w:rsid w:val="356362F6"/>
    <w:rsid w:val="363870C8"/>
    <w:rsid w:val="37160E14"/>
    <w:rsid w:val="37FA6736"/>
    <w:rsid w:val="39D671D7"/>
    <w:rsid w:val="3ADE5A24"/>
    <w:rsid w:val="3C15296F"/>
    <w:rsid w:val="3C2269B3"/>
    <w:rsid w:val="3D1C31D0"/>
    <w:rsid w:val="3ECD11AB"/>
    <w:rsid w:val="3F2B4883"/>
    <w:rsid w:val="41D67276"/>
    <w:rsid w:val="42A61C74"/>
    <w:rsid w:val="42E9170E"/>
    <w:rsid w:val="43BD7978"/>
    <w:rsid w:val="44345155"/>
    <w:rsid w:val="448E4BC9"/>
    <w:rsid w:val="448F6B3A"/>
    <w:rsid w:val="45227AF8"/>
    <w:rsid w:val="454D3C30"/>
    <w:rsid w:val="458D1B72"/>
    <w:rsid w:val="4789254C"/>
    <w:rsid w:val="4B725A41"/>
    <w:rsid w:val="4BE82A4F"/>
    <w:rsid w:val="4C510188"/>
    <w:rsid w:val="4C6C4F33"/>
    <w:rsid w:val="4C8D6D3F"/>
    <w:rsid w:val="4CBA32E1"/>
    <w:rsid w:val="4D1959C1"/>
    <w:rsid w:val="4F5E791D"/>
    <w:rsid w:val="4FBD263B"/>
    <w:rsid w:val="55E6360E"/>
    <w:rsid w:val="57D07432"/>
    <w:rsid w:val="5BF25068"/>
    <w:rsid w:val="5C2B7C22"/>
    <w:rsid w:val="5CB839E2"/>
    <w:rsid w:val="5E4A20CD"/>
    <w:rsid w:val="5EAD270C"/>
    <w:rsid w:val="609820D2"/>
    <w:rsid w:val="64230B55"/>
    <w:rsid w:val="647F0B6F"/>
    <w:rsid w:val="64D608B5"/>
    <w:rsid w:val="660A444F"/>
    <w:rsid w:val="66BF6EA0"/>
    <w:rsid w:val="66E6541B"/>
    <w:rsid w:val="68024046"/>
    <w:rsid w:val="69AF145F"/>
    <w:rsid w:val="6AD273B5"/>
    <w:rsid w:val="70D26B0C"/>
    <w:rsid w:val="70E40553"/>
    <w:rsid w:val="72115020"/>
    <w:rsid w:val="72651D84"/>
    <w:rsid w:val="72AF4DA6"/>
    <w:rsid w:val="74853EE6"/>
    <w:rsid w:val="749C7F10"/>
    <w:rsid w:val="76AC4572"/>
    <w:rsid w:val="789A04F9"/>
    <w:rsid w:val="7AB226A3"/>
    <w:rsid w:val="7C3A7CDC"/>
    <w:rsid w:val="7CE564C4"/>
    <w:rsid w:val="7D2334DD"/>
    <w:rsid w:val="7EEA3D76"/>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49"/>
    <w:qFormat/>
    <w:uiPriority w:val="0"/>
    <w:pPr>
      <w:pBdr>
        <w:top w:val="none" w:color="auto" w:sz="0" w:space="0"/>
      </w:pBdr>
      <w:spacing w:before="180"/>
      <w:outlineLvl w:val="1"/>
    </w:pPr>
    <w:rPr>
      <w:sz w:val="32"/>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0"/>
    <w:pPr>
      <w:ind w:left="1418" w:hanging="1418"/>
      <w:outlineLvl w:val="3"/>
    </w:pPr>
    <w:rPr>
      <w:sz w:val="24"/>
    </w:rPr>
  </w:style>
  <w:style w:type="paragraph" w:styleId="6">
    <w:name w:val="heading 5"/>
    <w:basedOn w:val="5"/>
    <w:next w:val="1"/>
    <w:link w:val="52"/>
    <w:qFormat/>
    <w:uiPriority w:val="0"/>
    <w:pPr>
      <w:ind w:left="1701" w:hanging="1701"/>
      <w:outlineLvl w:val="4"/>
    </w:pPr>
    <w:rPr>
      <w:sz w:val="22"/>
    </w:rPr>
  </w:style>
  <w:style w:type="paragraph" w:styleId="7">
    <w:name w:val="heading 6"/>
    <w:basedOn w:val="8"/>
    <w:next w:val="1"/>
    <w:link w:val="53"/>
    <w:qFormat/>
    <w:uiPriority w:val="0"/>
    <w:pPr>
      <w:outlineLvl w:val="5"/>
    </w:pPr>
  </w:style>
  <w:style w:type="paragraph" w:styleId="9">
    <w:name w:val="heading 7"/>
    <w:basedOn w:val="8"/>
    <w:next w:val="1"/>
    <w:link w:val="54"/>
    <w:qFormat/>
    <w:uiPriority w:val="0"/>
    <w:pPr>
      <w:outlineLvl w:val="6"/>
    </w:pPr>
  </w:style>
  <w:style w:type="paragraph" w:styleId="10">
    <w:name w:val="heading 8"/>
    <w:basedOn w:val="2"/>
    <w:next w:val="1"/>
    <w:link w:val="55"/>
    <w:qFormat/>
    <w:uiPriority w:val="0"/>
    <w:pPr>
      <w:ind w:left="0" w:firstLine="0"/>
      <w:outlineLvl w:val="7"/>
    </w:pPr>
  </w:style>
  <w:style w:type="paragraph" w:styleId="11">
    <w:name w:val="heading 9"/>
    <w:basedOn w:val="10"/>
    <w:next w:val="1"/>
    <w:link w:val="56"/>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caption"/>
    <w:basedOn w:val="1"/>
    <w:next w:val="1"/>
    <w:qFormat/>
    <w:uiPriority w:val="0"/>
    <w:pPr>
      <w:snapToGrid w:val="0"/>
      <w:spacing w:after="120"/>
      <w:jc w:val="center"/>
    </w:pPr>
    <w:rPr>
      <w:b/>
      <w:bCs/>
      <w:lang w:val="en-US"/>
    </w:rPr>
  </w:style>
  <w:style w:type="paragraph" w:styleId="29">
    <w:name w:val="Document Map"/>
    <w:basedOn w:val="1"/>
    <w:link w:val="60"/>
    <w:semiHidden/>
    <w:unhideWhenUsed/>
    <w:qFormat/>
    <w:uiPriority w:val="99"/>
    <w:rPr>
      <w:rFonts w:ascii="宋体"/>
      <w:sz w:val="18"/>
      <w:szCs w:val="18"/>
    </w:rPr>
  </w:style>
  <w:style w:type="paragraph" w:styleId="30">
    <w:name w:val="annotation text"/>
    <w:basedOn w:val="1"/>
    <w:qFormat/>
    <w:uiPriority w:val="99"/>
  </w:style>
  <w:style w:type="paragraph" w:styleId="31">
    <w:name w:val="List Bullet 5"/>
    <w:basedOn w:val="24"/>
    <w:semiHidden/>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Date"/>
    <w:basedOn w:val="1"/>
    <w:next w:val="1"/>
    <w:link w:val="71"/>
    <w:semiHidden/>
    <w:unhideWhenUsed/>
    <w:qFormat/>
    <w:uiPriority w:val="99"/>
    <w:pPr>
      <w:ind w:left="100" w:leftChars="2500"/>
    </w:pPr>
  </w:style>
  <w:style w:type="paragraph" w:styleId="34">
    <w:name w:val="Balloon Text"/>
    <w:basedOn w:val="1"/>
    <w:link w:val="61"/>
    <w:semiHidden/>
    <w:unhideWhenUsed/>
    <w:qFormat/>
    <w:uiPriority w:val="99"/>
    <w:pPr>
      <w:spacing w:after="0"/>
    </w:pPr>
    <w:rPr>
      <w:sz w:val="18"/>
      <w:szCs w:val="18"/>
    </w:rPr>
  </w:style>
  <w:style w:type="paragraph" w:styleId="35">
    <w:name w:val="footer"/>
    <w:basedOn w:val="36"/>
    <w:link w:val="70"/>
    <w:qFormat/>
    <w:uiPriority w:val="0"/>
    <w:pPr>
      <w:jc w:val="center"/>
    </w:pPr>
    <w:rPr>
      <w:i/>
    </w:rPr>
  </w:style>
  <w:style w:type="paragraph" w:styleId="36">
    <w:name w:val="header"/>
    <w:basedOn w:val="1"/>
    <w:link w:val="69"/>
    <w:qFormat/>
    <w:uiPriority w:val="0"/>
    <w:pPr>
      <w:widowControl w:val="0"/>
    </w:pPr>
    <w:rPr>
      <w:rFonts w:ascii="Arial" w:hAnsi="Arial"/>
      <w:b/>
      <w:sz w:val="18"/>
    </w:rPr>
  </w:style>
  <w:style w:type="paragraph" w:styleId="37">
    <w:name w:val="footnote text"/>
    <w:basedOn w:val="1"/>
    <w:link w:val="77"/>
    <w:semiHidden/>
    <w:qFormat/>
    <w:uiPriority w:val="0"/>
    <w:pPr>
      <w:keepLines/>
      <w:spacing w:after="0"/>
      <w:ind w:left="454" w:hanging="454"/>
    </w:pPr>
    <w:rPr>
      <w:sz w:val="16"/>
    </w:rPr>
  </w:style>
  <w:style w:type="paragraph" w:styleId="38">
    <w:name w:val="List 5"/>
    <w:basedOn w:val="39"/>
    <w:semiHidden/>
    <w:qFormat/>
    <w:uiPriority w:val="0"/>
    <w:pPr>
      <w:ind w:left="1702"/>
    </w:pPr>
  </w:style>
  <w:style w:type="paragraph" w:styleId="39">
    <w:name w:val="List 4"/>
    <w:basedOn w:val="12"/>
    <w:semiHidden/>
    <w:qFormat/>
    <w:uiPriority w:val="0"/>
    <w:pPr>
      <w:ind w:left="1418"/>
    </w:p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otnote reference"/>
    <w:basedOn w:val="46"/>
    <w:semiHidden/>
    <w:qFormat/>
    <w:uiPriority w:val="0"/>
    <w:rPr>
      <w:b/>
      <w:position w:val="6"/>
      <w:sz w:val="16"/>
    </w:rPr>
  </w:style>
  <w:style w:type="character" w:customStyle="1" w:styleId="48">
    <w:name w:val="Heading 1 Char"/>
    <w:link w:val="2"/>
    <w:qFormat/>
    <w:uiPriority w:val="0"/>
    <w:rPr>
      <w:rFonts w:ascii="Arial" w:hAnsi="Arial" w:eastAsia="Times New Roman"/>
      <w:sz w:val="36"/>
    </w:rPr>
  </w:style>
  <w:style w:type="character" w:customStyle="1" w:styleId="49">
    <w:name w:val="Heading 2 Char"/>
    <w:link w:val="3"/>
    <w:qFormat/>
    <w:uiPriority w:val="0"/>
    <w:rPr>
      <w:rFonts w:ascii="Arial" w:hAnsi="Arial" w:eastAsia="Times New Roman"/>
      <w:sz w:val="32"/>
    </w:rPr>
  </w:style>
  <w:style w:type="character" w:customStyle="1" w:styleId="50">
    <w:name w:val="Heading 3 Char"/>
    <w:link w:val="4"/>
    <w:qFormat/>
    <w:uiPriority w:val="0"/>
    <w:rPr>
      <w:rFonts w:ascii="Arial" w:hAnsi="Arial" w:eastAsia="Times New Roman"/>
      <w:sz w:val="28"/>
    </w:rPr>
  </w:style>
  <w:style w:type="character" w:customStyle="1" w:styleId="51">
    <w:name w:val="Heading 4 Char"/>
    <w:link w:val="5"/>
    <w:qFormat/>
    <w:uiPriority w:val="0"/>
    <w:rPr>
      <w:rFonts w:ascii="Arial" w:hAnsi="Arial" w:eastAsia="Times New Roman"/>
      <w:sz w:val="24"/>
    </w:rPr>
  </w:style>
  <w:style w:type="character" w:customStyle="1" w:styleId="52">
    <w:name w:val="Heading 5 Char"/>
    <w:link w:val="6"/>
    <w:qFormat/>
    <w:uiPriority w:val="0"/>
    <w:rPr>
      <w:rFonts w:ascii="Arial" w:hAnsi="Arial" w:eastAsia="Times New Roman"/>
      <w:sz w:val="22"/>
    </w:rPr>
  </w:style>
  <w:style w:type="character" w:customStyle="1" w:styleId="53">
    <w:name w:val="Heading 6 Char"/>
    <w:link w:val="7"/>
    <w:qFormat/>
    <w:uiPriority w:val="0"/>
    <w:rPr>
      <w:rFonts w:ascii="Arial" w:hAnsi="Arial" w:eastAsia="Times New Roman"/>
    </w:rPr>
  </w:style>
  <w:style w:type="character" w:customStyle="1" w:styleId="54">
    <w:name w:val="Heading 7 Char"/>
    <w:link w:val="9"/>
    <w:qFormat/>
    <w:uiPriority w:val="0"/>
    <w:rPr>
      <w:rFonts w:ascii="Arial" w:hAnsi="Arial" w:eastAsia="Times New Roman"/>
    </w:rPr>
  </w:style>
  <w:style w:type="character" w:customStyle="1" w:styleId="55">
    <w:name w:val="Heading 8 Char"/>
    <w:link w:val="10"/>
    <w:qFormat/>
    <w:uiPriority w:val="0"/>
    <w:rPr>
      <w:rFonts w:ascii="Arial" w:hAnsi="Arial" w:eastAsia="Times New Roman"/>
      <w:sz w:val="36"/>
    </w:rPr>
  </w:style>
  <w:style w:type="character" w:customStyle="1" w:styleId="56">
    <w:name w:val="Heading 9 Char"/>
    <w:link w:val="11"/>
    <w:qFormat/>
    <w:uiPriority w:val="0"/>
    <w:rPr>
      <w:rFonts w:ascii="Arial" w:hAnsi="Arial" w:eastAsia="Times New Roman"/>
      <w:sz w:val="36"/>
    </w:rPr>
  </w:style>
  <w:style w:type="paragraph" w:customStyle="1" w:styleId="57">
    <w:name w:val="TAC"/>
    <w:basedOn w:val="58"/>
    <w:link w:val="59"/>
    <w:qFormat/>
    <w:uiPriority w:val="0"/>
    <w:pPr>
      <w:jc w:val="center"/>
    </w:pPr>
  </w:style>
  <w:style w:type="paragraph" w:customStyle="1" w:styleId="58">
    <w:name w:val="TAL"/>
    <w:basedOn w:val="1"/>
    <w:link w:val="62"/>
    <w:qFormat/>
    <w:uiPriority w:val="0"/>
    <w:pPr>
      <w:keepNext/>
      <w:keepLines/>
      <w:spacing w:after="0"/>
    </w:pPr>
    <w:rPr>
      <w:rFonts w:ascii="Arial" w:hAnsi="Arial"/>
      <w:sz w:val="18"/>
    </w:rPr>
  </w:style>
  <w:style w:type="character" w:customStyle="1" w:styleId="59">
    <w:name w:val="TAC Char"/>
    <w:link w:val="57"/>
    <w:qFormat/>
    <w:uiPriority w:val="0"/>
    <w:rPr>
      <w:rFonts w:ascii="Arial" w:hAnsi="Arial" w:eastAsia="Times New Roman"/>
      <w:sz w:val="18"/>
    </w:rPr>
  </w:style>
  <w:style w:type="character" w:customStyle="1" w:styleId="60">
    <w:name w:val="Document Map Char"/>
    <w:link w:val="29"/>
    <w:semiHidden/>
    <w:qFormat/>
    <w:uiPriority w:val="99"/>
    <w:rPr>
      <w:rFonts w:ascii="宋体" w:hAnsi="Times New Roman"/>
      <w:sz w:val="18"/>
      <w:szCs w:val="18"/>
      <w:lang w:val="en-GB" w:eastAsia="en-US"/>
    </w:rPr>
  </w:style>
  <w:style w:type="character" w:customStyle="1" w:styleId="61">
    <w:name w:val="Balloon Text Char"/>
    <w:link w:val="34"/>
    <w:semiHidden/>
    <w:qFormat/>
    <w:uiPriority w:val="99"/>
    <w:rPr>
      <w:rFonts w:ascii="Times New Roman" w:hAnsi="Times New Roman"/>
      <w:sz w:val="18"/>
      <w:szCs w:val="18"/>
      <w:lang w:val="en-GB" w:eastAsia="en-US"/>
    </w:rPr>
  </w:style>
  <w:style w:type="character" w:customStyle="1" w:styleId="62">
    <w:name w:val="TAL Car"/>
    <w:link w:val="58"/>
    <w:qFormat/>
    <w:locked/>
    <w:uiPriority w:val="0"/>
    <w:rPr>
      <w:rFonts w:ascii="Arial" w:hAnsi="Arial" w:eastAsia="Times New Roman"/>
      <w:sz w:val="18"/>
    </w:rPr>
  </w:style>
  <w:style w:type="paragraph" w:customStyle="1" w:styleId="63">
    <w:name w:val="TAH"/>
    <w:basedOn w:val="57"/>
    <w:link w:val="67"/>
    <w:qFormat/>
    <w:uiPriority w:val="0"/>
    <w:rPr>
      <w:b/>
    </w:rPr>
  </w:style>
  <w:style w:type="character" w:customStyle="1" w:styleId="64">
    <w:name w:val="TH Char"/>
    <w:link w:val="65"/>
    <w:qFormat/>
    <w:locked/>
    <w:uiPriority w:val="0"/>
    <w:rPr>
      <w:rFonts w:ascii="Arial" w:hAnsi="Arial" w:eastAsia="Times New Roman"/>
      <w:b/>
    </w:rPr>
  </w:style>
  <w:style w:type="paragraph" w:customStyle="1" w:styleId="65">
    <w:name w:val="TH"/>
    <w:basedOn w:val="1"/>
    <w:link w:val="64"/>
    <w:qFormat/>
    <w:uiPriority w:val="0"/>
    <w:pPr>
      <w:keepNext/>
      <w:keepLines/>
      <w:spacing w:before="60"/>
      <w:jc w:val="center"/>
    </w:pPr>
    <w:rPr>
      <w:rFonts w:ascii="Arial" w:hAnsi="Arial"/>
      <w:b/>
    </w:rPr>
  </w:style>
  <w:style w:type="paragraph" w:customStyle="1" w:styleId="66">
    <w:name w:val="TAN"/>
    <w:basedOn w:val="58"/>
    <w:link w:val="68"/>
    <w:qFormat/>
    <w:uiPriority w:val="0"/>
    <w:pPr>
      <w:ind w:left="851" w:hanging="851"/>
    </w:pPr>
  </w:style>
  <w:style w:type="character" w:customStyle="1" w:styleId="67">
    <w:name w:val="TAH Car"/>
    <w:link w:val="63"/>
    <w:qFormat/>
    <w:uiPriority w:val="0"/>
    <w:rPr>
      <w:rFonts w:ascii="Arial" w:hAnsi="Arial" w:eastAsia="Times New Roman"/>
      <w:b/>
      <w:sz w:val="18"/>
    </w:rPr>
  </w:style>
  <w:style w:type="character" w:customStyle="1" w:styleId="68">
    <w:name w:val="TAN Char"/>
    <w:link w:val="66"/>
    <w:qFormat/>
    <w:uiPriority w:val="0"/>
    <w:rPr>
      <w:rFonts w:ascii="Arial" w:hAnsi="Arial" w:eastAsia="Times New Roman"/>
      <w:sz w:val="18"/>
    </w:rPr>
  </w:style>
  <w:style w:type="character" w:customStyle="1" w:styleId="69">
    <w:name w:val="Header Char"/>
    <w:link w:val="36"/>
    <w:qFormat/>
    <w:uiPriority w:val="0"/>
    <w:rPr>
      <w:rFonts w:ascii="Arial" w:hAnsi="Arial" w:eastAsia="Times New Roman"/>
      <w:b/>
      <w:sz w:val="18"/>
    </w:rPr>
  </w:style>
  <w:style w:type="character" w:customStyle="1" w:styleId="70">
    <w:name w:val="Footer Char"/>
    <w:link w:val="35"/>
    <w:qFormat/>
    <w:uiPriority w:val="0"/>
    <w:rPr>
      <w:rFonts w:ascii="Arial" w:hAnsi="Arial" w:eastAsia="Times New Roman"/>
      <w:b/>
      <w:i/>
      <w:sz w:val="18"/>
    </w:rPr>
  </w:style>
  <w:style w:type="character" w:customStyle="1" w:styleId="71">
    <w:name w:val="Date Char"/>
    <w:link w:val="33"/>
    <w:semiHidden/>
    <w:qFormat/>
    <w:uiPriority w:val="99"/>
    <w:rPr>
      <w:rFonts w:ascii="Times New Roman" w:hAnsi="Times New Roman"/>
      <w:lang w:val="en-GB" w:eastAsia="en-US"/>
    </w:rPr>
  </w:style>
  <w:style w:type="paragraph" w:styleId="72">
    <w:name w:val="List Paragraph"/>
    <w:basedOn w:val="1"/>
    <w:link w:val="103"/>
    <w:qFormat/>
    <w:uiPriority w:val="34"/>
    <w:pPr>
      <w:ind w:firstLine="420" w:firstLineChars="200"/>
    </w:pPr>
  </w:style>
  <w:style w:type="character" w:customStyle="1" w:styleId="73">
    <w:name w:val="texhtml"/>
    <w:basedOn w:val="46"/>
    <w:qFormat/>
    <w:uiPriority w:val="0"/>
  </w:style>
  <w:style w:type="paragraph" w:customStyle="1" w:styleId="7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7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76">
    <w:name w:val="TT"/>
    <w:basedOn w:val="2"/>
    <w:next w:val="1"/>
    <w:qFormat/>
    <w:uiPriority w:val="0"/>
    <w:pPr>
      <w:outlineLvl w:val="9"/>
    </w:pPr>
  </w:style>
  <w:style w:type="character" w:customStyle="1" w:styleId="77">
    <w:name w:val="Footnote Text Char"/>
    <w:basedOn w:val="46"/>
    <w:link w:val="37"/>
    <w:semiHidden/>
    <w:qFormat/>
    <w:uiPriority w:val="0"/>
    <w:rPr>
      <w:rFonts w:ascii="Times New Roman" w:hAnsi="Times New Roman" w:eastAsia="Times New Roman"/>
      <w:sz w:val="16"/>
    </w:rPr>
  </w:style>
  <w:style w:type="paragraph" w:customStyle="1" w:styleId="78">
    <w:name w:val="TF"/>
    <w:basedOn w:val="65"/>
    <w:qFormat/>
    <w:uiPriority w:val="0"/>
    <w:pPr>
      <w:keepNext w:val="0"/>
      <w:spacing w:before="0" w:after="240"/>
    </w:pPr>
  </w:style>
  <w:style w:type="paragraph" w:customStyle="1" w:styleId="79">
    <w:name w:val="NO"/>
    <w:basedOn w:val="1"/>
    <w:qFormat/>
    <w:uiPriority w:val="0"/>
    <w:pPr>
      <w:keepLines/>
      <w:ind w:left="1135" w:hanging="851"/>
    </w:pPr>
  </w:style>
  <w:style w:type="paragraph" w:customStyle="1" w:styleId="80">
    <w:name w:val="EX"/>
    <w:basedOn w:val="1"/>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88">
    <w:name w:val="TAR"/>
    <w:basedOn w:val="58"/>
    <w:qFormat/>
    <w:uiPriority w:val="0"/>
    <w:pPr>
      <w:jc w:val="right"/>
    </w:pPr>
  </w:style>
  <w:style w:type="paragraph" w:customStyle="1" w:styleId="8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9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9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9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3">
    <w:name w:val="ZV"/>
    <w:basedOn w:val="92"/>
    <w:qFormat/>
    <w:uiPriority w:val="0"/>
    <w:pPr>
      <w:framePr w:y="16161"/>
    </w:pPr>
  </w:style>
  <w:style w:type="character" w:customStyle="1" w:styleId="94">
    <w:name w:val="ZGSM"/>
    <w:qFormat/>
    <w:uiPriority w:val="0"/>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6">
    <w:name w:val="Editor's Note"/>
    <w:basedOn w:val="79"/>
    <w:qFormat/>
    <w:uiPriority w:val="0"/>
    <w:rPr>
      <w:color w:val="FF0000"/>
    </w:rPr>
  </w:style>
  <w:style w:type="paragraph" w:customStyle="1" w:styleId="97">
    <w:name w:val="B1"/>
    <w:basedOn w:val="14"/>
    <w:qFormat/>
    <w:uiPriority w:val="0"/>
  </w:style>
  <w:style w:type="paragraph" w:customStyle="1" w:styleId="98">
    <w:name w:val="B2"/>
    <w:basedOn w:val="13"/>
    <w:qFormat/>
    <w:uiPriority w:val="0"/>
  </w:style>
  <w:style w:type="paragraph" w:customStyle="1" w:styleId="99">
    <w:name w:val="B3"/>
    <w:basedOn w:val="12"/>
    <w:qFormat/>
    <w:uiPriority w:val="0"/>
  </w:style>
  <w:style w:type="paragraph" w:customStyle="1" w:styleId="100">
    <w:name w:val="B4"/>
    <w:basedOn w:val="39"/>
    <w:qFormat/>
    <w:uiPriority w:val="0"/>
  </w:style>
  <w:style w:type="paragraph" w:customStyle="1" w:styleId="101">
    <w:name w:val="B5"/>
    <w:basedOn w:val="38"/>
    <w:qFormat/>
    <w:uiPriority w:val="0"/>
  </w:style>
  <w:style w:type="paragraph" w:customStyle="1" w:styleId="102">
    <w:name w:val="ZTD"/>
    <w:basedOn w:val="90"/>
    <w:qFormat/>
    <w:uiPriority w:val="0"/>
    <w:pPr>
      <w:framePr w:hRule="auto" w:y="852"/>
    </w:pPr>
    <w:rPr>
      <w:i w:val="0"/>
      <w:sz w:val="40"/>
    </w:rPr>
  </w:style>
  <w:style w:type="character" w:customStyle="1" w:styleId="103">
    <w:name w:val="List Paragraph Char"/>
    <w:link w:val="72"/>
    <w:qFormat/>
    <w:locked/>
    <w:uiPriority w:val="34"/>
    <w:rPr>
      <w:rFonts w:ascii="Times New Roman" w:hAnsi="Times New Roman" w:eastAsia="Times New Roman"/>
      <w:lang w:val="en-GB" w:eastAsia="en-GB" w:bidi="ar-SA"/>
    </w:rPr>
  </w:style>
  <w:style w:type="paragraph" w:customStyle="1" w:styleId="104">
    <w:name w:val="Revision"/>
    <w:hidden/>
    <w:unhideWhenUsed/>
    <w:qFormat/>
    <w:uiPriority w:val="99"/>
    <w:rPr>
      <w:rFonts w:ascii="Times New Roman" w:hAnsi="Times New Roman" w:eastAsia="Times New Roman" w:cs="Times New Roman"/>
      <w:lang w:val="en-GB" w:eastAsia="en-GB"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Huawei Technologies Co.,Ltd.</Company>
  <Pages>6</Pages>
  <Words>925</Words>
  <Characters>5654</Characters>
  <Lines>141</Lines>
  <Paragraphs>111</Paragraphs>
  <TotalTime>0</TotalTime>
  <ScaleCrop>false</ScaleCrop>
  <LinksUpToDate>false</LinksUpToDate>
  <CharactersWithSpaces>6468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2024-11-22T00:19:00Z</dcterms:created>
  <dc:creator>Dai Xizeng</dc:creator>
  <cp:lastModifiedBy>ZTE-Chenchen</cp:lastModifiedBy>
  <dcterms:modified xsi:type="dcterms:W3CDTF">2025-08-26T17:20:03Z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2052-11.8.2.12085</vt:lpwstr>
  </property>
  <property fmtid="{D5CDD505-2E9C-101B-9397-08002B2CF9AE}" pid="15" name="ICV">
    <vt:lpwstr>633DFDB7C5CE4ABEA70C69A11FBF1825</vt:lpwstr>
  </property>
</Properties>
</file>