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9DEE2" w14:textId="7D9AF656" w:rsidR="00401B50" w:rsidRPr="00401B50" w:rsidRDefault="00401B50" w:rsidP="00401B50">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401B50">
        <w:rPr>
          <w:b/>
          <w:sz w:val="24"/>
          <w:szCs w:val="24"/>
          <w:lang w:val="en-US"/>
        </w:rPr>
        <w:t xml:space="preserve">3GPP TSG-RAN WG4 Meeting #116bis </w:t>
      </w:r>
      <w:r w:rsidRPr="00401B50">
        <w:rPr>
          <w:b/>
          <w:sz w:val="24"/>
          <w:szCs w:val="24"/>
        </w:rPr>
        <w:t xml:space="preserve">                                                                  R4-</w:t>
      </w:r>
      <w:r w:rsidR="00C71E1B">
        <w:rPr>
          <w:b/>
          <w:sz w:val="24"/>
          <w:szCs w:val="24"/>
        </w:rPr>
        <w:t>2513962</w:t>
      </w:r>
    </w:p>
    <w:p w14:paraId="4C685E51" w14:textId="77777777" w:rsidR="00401B50" w:rsidRPr="00401B50" w:rsidRDefault="00401B50" w:rsidP="00401B50">
      <w:pPr>
        <w:ind w:left="1988" w:hanging="1988"/>
        <w:jc w:val="both"/>
        <w:rPr>
          <w:b/>
          <w:bCs/>
          <w:sz w:val="24"/>
          <w:szCs w:val="24"/>
          <w:lang w:val="en-US"/>
        </w:rPr>
      </w:pPr>
      <w:r w:rsidRPr="00401B50">
        <w:rPr>
          <w:b/>
          <w:bCs/>
          <w:sz w:val="24"/>
          <w:szCs w:val="24"/>
          <w:lang w:val="en-US"/>
        </w:rPr>
        <w:t>Prague, Czech Republic, Oct. 13-17, 2025</w:t>
      </w:r>
    </w:p>
    <w:p w14:paraId="64AEA4CF" w14:textId="255ADCFF" w:rsidR="00827396" w:rsidRPr="005B6D0E" w:rsidRDefault="00827396" w:rsidP="50C3DF1F">
      <w:pPr>
        <w:ind w:left="1988" w:hanging="1988"/>
        <w:jc w:val="both"/>
        <w:rPr>
          <w:rFonts w:ascii="Arial" w:hAnsi="Arial" w:cs="Arial"/>
          <w:b/>
          <w:bCs/>
          <w:sz w:val="22"/>
          <w:szCs w:val="22"/>
          <w:lang w:val="en-US"/>
        </w:rPr>
      </w:pPr>
    </w:p>
    <w:p w14:paraId="506B654E" w14:textId="6F192C4B" w:rsidR="00420620" w:rsidRPr="005B6D0E" w:rsidRDefault="00420620"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Source:                </w:t>
      </w:r>
      <w:r w:rsidRPr="005B6D0E">
        <w:rPr>
          <w:rFonts w:ascii="Arial" w:hAnsi="Arial" w:cs="Arial"/>
          <w:bCs/>
          <w:sz w:val="24"/>
          <w:lang w:val="en-US"/>
        </w:rPr>
        <w:t>Tejas Networks</w:t>
      </w:r>
    </w:p>
    <w:p w14:paraId="536F73FA" w14:textId="64D8B081" w:rsidR="00847D95" w:rsidRPr="005B6D0E" w:rsidRDefault="00847D95" w:rsidP="00847D95">
      <w:pPr>
        <w:spacing w:line="360" w:lineRule="auto"/>
        <w:ind w:left="1988" w:hanging="1988"/>
        <w:jc w:val="both"/>
        <w:rPr>
          <w:rFonts w:ascii="Arial" w:hAnsi="Arial" w:cs="Arial"/>
          <w:bCs/>
          <w:sz w:val="24"/>
          <w:lang w:val="en-US"/>
        </w:rPr>
      </w:pPr>
      <w:bookmarkStart w:id="2" w:name="_Int_NN0XjMO4"/>
      <w:r w:rsidRPr="005B6D0E">
        <w:rPr>
          <w:rFonts w:ascii="Arial" w:hAnsi="Arial" w:cs="Arial"/>
          <w:b/>
          <w:sz w:val="24"/>
          <w:lang w:val="en-US"/>
        </w:rPr>
        <w:t xml:space="preserve">Title:                    </w:t>
      </w:r>
      <w:bookmarkEnd w:id="2"/>
      <w:r w:rsidR="007308CF">
        <w:rPr>
          <w:rFonts w:ascii="Arial" w:hAnsi="Arial" w:cs="Arial"/>
          <w:b/>
          <w:sz w:val="24"/>
          <w:lang w:val="en-US"/>
        </w:rPr>
        <w:t xml:space="preserve"> </w:t>
      </w:r>
      <w:r w:rsidR="00401B50" w:rsidRPr="00401B50">
        <w:rPr>
          <w:rFonts w:ascii="Arial" w:hAnsi="Arial" w:cs="Arial"/>
          <w:bCs/>
          <w:sz w:val="24"/>
          <w:lang w:val="en-US"/>
        </w:rPr>
        <w:t>SBFD BS to SBFD BS adjacent channel coexistence</w:t>
      </w:r>
    </w:p>
    <w:p w14:paraId="6006169F" w14:textId="0BF4EAD8" w:rsidR="00792278" w:rsidRPr="005B6D0E" w:rsidRDefault="00792278" w:rsidP="001C37D1">
      <w:pPr>
        <w:spacing w:line="360" w:lineRule="auto"/>
        <w:ind w:left="1988" w:hanging="1988"/>
        <w:jc w:val="both"/>
        <w:rPr>
          <w:rFonts w:ascii="Arial" w:hAnsi="Arial" w:cs="Arial"/>
          <w:b/>
          <w:sz w:val="24"/>
          <w:lang w:val="en-US"/>
        </w:rPr>
      </w:pPr>
      <w:r w:rsidRPr="005B6D0E">
        <w:rPr>
          <w:rFonts w:ascii="Arial" w:hAnsi="Arial" w:cs="Arial"/>
          <w:b/>
          <w:sz w:val="24"/>
          <w:lang w:val="en-US"/>
        </w:rPr>
        <w:t xml:space="preserve">Agenda Item:       </w:t>
      </w:r>
      <w:r w:rsidR="00175723" w:rsidRPr="005B6D0E">
        <w:rPr>
          <w:rFonts w:ascii="Arial" w:hAnsi="Arial" w:cs="Arial"/>
          <w:bCs/>
          <w:sz w:val="24"/>
          <w:lang w:val="en-US"/>
        </w:rPr>
        <w:t>7</w:t>
      </w:r>
      <w:r w:rsidR="00216F0A" w:rsidRPr="005B6D0E">
        <w:rPr>
          <w:rFonts w:ascii="Arial" w:hAnsi="Arial" w:cs="Arial"/>
          <w:bCs/>
          <w:sz w:val="24"/>
          <w:lang w:val="en-US"/>
        </w:rPr>
        <w:t>.</w:t>
      </w:r>
      <w:r w:rsidR="00401B50">
        <w:rPr>
          <w:rFonts w:ascii="Arial" w:hAnsi="Arial" w:cs="Arial"/>
          <w:bCs/>
          <w:sz w:val="24"/>
          <w:lang w:val="en-US"/>
        </w:rPr>
        <w:t>2.4</w:t>
      </w:r>
    </w:p>
    <w:p w14:paraId="649EC1ED" w14:textId="385804EB" w:rsidR="00792278" w:rsidRPr="005B6D0E" w:rsidRDefault="00792278"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Document for:     </w:t>
      </w:r>
      <w:r w:rsidRPr="005B6D0E">
        <w:rPr>
          <w:rFonts w:ascii="Arial" w:hAnsi="Arial" w:cs="Arial"/>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3" w:name="_Ref521334010"/>
      <w:bookmarkStart w:id="4" w:name="_Ref163021500"/>
      <w:r w:rsidRPr="006148EB">
        <w:rPr>
          <w:rFonts w:ascii="Times New Roman" w:hAnsi="Times New Roman"/>
          <w:b/>
          <w:bCs/>
        </w:rPr>
        <w:t>Introduction</w:t>
      </w:r>
      <w:bookmarkEnd w:id="3"/>
    </w:p>
    <w:p w14:paraId="3861964F" w14:textId="778FC8A0" w:rsidR="00D87AA1" w:rsidRDefault="00C80194" w:rsidP="001A5385">
      <w:pPr>
        <w:spacing w:line="259" w:lineRule="auto"/>
        <w:jc w:val="both"/>
        <w:rPr>
          <w:rFonts w:eastAsia="Calibri"/>
          <w:color w:val="000000" w:themeColor="text1"/>
          <w:sz w:val="22"/>
          <w:szCs w:val="22"/>
          <w:lang w:val="en-US"/>
        </w:rPr>
      </w:pPr>
      <w:r w:rsidRPr="00C80194">
        <w:rPr>
          <w:rFonts w:eastAsia="Calibri"/>
          <w:color w:val="000000" w:themeColor="text1"/>
          <w:sz w:val="22"/>
          <w:szCs w:val="22"/>
          <w:lang w:val="en-US"/>
        </w:rPr>
        <w:t xml:space="preserve">In the RAN#109 plenary meeting, the objectives of the new WID on NR BS RF requirement evolution for FR1 and testing phase 2 were presented, as outlined in [1]. One of the key objectives includes addressing adjacent channel coexistence between SBFD </w:t>
      </w:r>
      <w:r w:rsidR="00E45EFD">
        <w:rPr>
          <w:rFonts w:eastAsia="Calibri"/>
          <w:color w:val="000000" w:themeColor="text1"/>
          <w:sz w:val="22"/>
          <w:szCs w:val="22"/>
          <w:lang w:val="en-US"/>
        </w:rPr>
        <w:t>BS</w:t>
      </w:r>
      <w:r>
        <w:rPr>
          <w:rFonts w:eastAsia="Calibri"/>
          <w:color w:val="000000" w:themeColor="text1"/>
          <w:sz w:val="22"/>
          <w:szCs w:val="22"/>
          <w:lang w:val="en-US"/>
        </w:rPr>
        <w:t>.</w:t>
      </w:r>
    </w:p>
    <w:p w14:paraId="05B67293" w14:textId="435636DC" w:rsidR="001A5385" w:rsidRDefault="001A5385" w:rsidP="001A5385">
      <w:pPr>
        <w:spacing w:line="259" w:lineRule="auto"/>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1A5385" w14:paraId="61F28D9C" w14:textId="77777777" w:rsidTr="001A5385">
        <w:tc>
          <w:tcPr>
            <w:tcW w:w="9350" w:type="dxa"/>
          </w:tcPr>
          <w:p w14:paraId="7D34A152" w14:textId="77777777" w:rsidR="001A5385" w:rsidRPr="001A5385" w:rsidRDefault="001A5385" w:rsidP="001A5385">
            <w:pPr>
              <w:pStyle w:val="ListParagraph"/>
              <w:numPr>
                <w:ilvl w:val="0"/>
                <w:numId w:val="41"/>
              </w:numPr>
              <w:overflowPunct w:val="0"/>
              <w:autoSpaceDE w:val="0"/>
              <w:autoSpaceDN w:val="0"/>
              <w:adjustRightInd w:val="0"/>
              <w:jc w:val="both"/>
              <w:textAlignment w:val="baseline"/>
              <w:rPr>
                <w:rFonts w:ascii="Times New Roman" w:hAnsi="Times New Roman"/>
                <w:color w:val="000000" w:themeColor="text1"/>
              </w:rPr>
            </w:pPr>
            <w:r w:rsidRPr="001A5385">
              <w:rPr>
                <w:rFonts w:ascii="Times New Roman" w:hAnsi="Times New Roman"/>
                <w:color w:val="000000" w:themeColor="text1"/>
              </w:rPr>
              <w:t>SBFD BS to SBFD BS adjacent channel coexistence</w:t>
            </w:r>
          </w:p>
          <w:p w14:paraId="671DCBC9" w14:textId="77777777" w:rsidR="001A5385" w:rsidRPr="001A5385" w:rsidRDefault="001A5385" w:rsidP="001A5385">
            <w:pPr>
              <w:pStyle w:val="ListParagraph"/>
              <w:numPr>
                <w:ilvl w:val="1"/>
                <w:numId w:val="41"/>
              </w:numPr>
              <w:overflowPunct w:val="0"/>
              <w:autoSpaceDE w:val="0"/>
              <w:autoSpaceDN w:val="0"/>
              <w:adjustRightInd w:val="0"/>
              <w:ind w:left="993"/>
              <w:jc w:val="both"/>
              <w:textAlignment w:val="baseline"/>
              <w:rPr>
                <w:rFonts w:ascii="Times New Roman" w:hAnsi="Times New Roman"/>
                <w:color w:val="000000" w:themeColor="text1"/>
              </w:rPr>
            </w:pPr>
            <w:r w:rsidRPr="001A5385">
              <w:rPr>
                <w:rFonts w:ascii="Times New Roman" w:hAnsi="Times New Roman"/>
                <w:color w:val="000000" w:themeColor="text1"/>
              </w:rPr>
              <w:t xml:space="preserve">Focus on FR1 WA. </w:t>
            </w:r>
          </w:p>
          <w:p w14:paraId="7D1FC7BD" w14:textId="77777777" w:rsidR="001A5385" w:rsidRPr="001A5385" w:rsidRDefault="001A5385" w:rsidP="001A5385">
            <w:pPr>
              <w:pStyle w:val="ListParagraph"/>
              <w:numPr>
                <w:ilvl w:val="1"/>
                <w:numId w:val="41"/>
              </w:numPr>
              <w:overflowPunct w:val="0"/>
              <w:autoSpaceDE w:val="0"/>
              <w:autoSpaceDN w:val="0"/>
              <w:adjustRightInd w:val="0"/>
              <w:ind w:left="993"/>
              <w:jc w:val="both"/>
              <w:textAlignment w:val="baseline"/>
              <w:rPr>
                <w:rFonts w:ascii="Times New Roman" w:hAnsi="Times New Roman"/>
                <w:color w:val="000000" w:themeColor="text1"/>
              </w:rPr>
            </w:pPr>
            <w:r w:rsidRPr="001A5385">
              <w:rPr>
                <w:rFonts w:ascii="Times New Roman" w:hAnsi="Times New Roman"/>
                <w:color w:val="000000" w:themeColor="text1"/>
              </w:rPr>
              <w:t>Consider both scenarios including SBFD capable BS being co-located and non-collocated.</w:t>
            </w:r>
          </w:p>
          <w:p w14:paraId="473EA92D" w14:textId="77777777" w:rsidR="001A5385" w:rsidRPr="001A5385" w:rsidRDefault="001A5385" w:rsidP="001A5385">
            <w:pPr>
              <w:pStyle w:val="ListParagraph"/>
              <w:numPr>
                <w:ilvl w:val="1"/>
                <w:numId w:val="41"/>
              </w:numPr>
              <w:overflowPunct w:val="0"/>
              <w:autoSpaceDE w:val="0"/>
              <w:autoSpaceDN w:val="0"/>
              <w:adjustRightInd w:val="0"/>
              <w:ind w:left="993"/>
              <w:jc w:val="both"/>
              <w:textAlignment w:val="baseline"/>
              <w:rPr>
                <w:rFonts w:ascii="Times New Roman" w:hAnsi="Times New Roman"/>
                <w:color w:val="000000" w:themeColor="text1"/>
              </w:rPr>
            </w:pPr>
            <w:r w:rsidRPr="001A5385">
              <w:rPr>
                <w:rFonts w:ascii="Times New Roman" w:hAnsi="Times New Roman"/>
                <w:color w:val="000000" w:themeColor="text1"/>
              </w:rPr>
              <w:t xml:space="preserve">Focus on bands: n104, n79, n41. </w:t>
            </w:r>
          </w:p>
          <w:p w14:paraId="49ED0594" w14:textId="77777777" w:rsidR="001A5385" w:rsidRPr="001A5385" w:rsidRDefault="001A5385" w:rsidP="001A5385">
            <w:pPr>
              <w:pStyle w:val="ListParagraph"/>
              <w:numPr>
                <w:ilvl w:val="1"/>
                <w:numId w:val="41"/>
              </w:numPr>
              <w:overflowPunct w:val="0"/>
              <w:autoSpaceDE w:val="0"/>
              <w:autoSpaceDN w:val="0"/>
              <w:adjustRightInd w:val="0"/>
              <w:ind w:left="993"/>
              <w:jc w:val="both"/>
              <w:textAlignment w:val="baseline"/>
              <w:rPr>
                <w:rFonts w:ascii="Times New Roman" w:hAnsi="Times New Roman"/>
                <w:color w:val="000000" w:themeColor="text1"/>
              </w:rPr>
            </w:pPr>
            <w:r w:rsidRPr="001A5385">
              <w:rPr>
                <w:rFonts w:ascii="Times New Roman" w:hAnsi="Times New Roman"/>
                <w:color w:val="000000" w:themeColor="text1"/>
              </w:rPr>
              <w:t>Specify necessary (and if feasible) BS TX and RX RF requirement for SBFD-capable BS for the scenarios of SBFD BS to SBFD BS adjacent channel coexistence. The BS RF requirements include</w:t>
            </w:r>
          </w:p>
          <w:p w14:paraId="24FBDDA0" w14:textId="77777777" w:rsidR="001A5385" w:rsidRPr="001A5385" w:rsidRDefault="001A5385" w:rsidP="001A5385">
            <w:pPr>
              <w:pStyle w:val="ListParagraph"/>
              <w:numPr>
                <w:ilvl w:val="2"/>
                <w:numId w:val="41"/>
              </w:numPr>
              <w:overflowPunct w:val="0"/>
              <w:autoSpaceDE w:val="0"/>
              <w:autoSpaceDN w:val="0"/>
              <w:adjustRightInd w:val="0"/>
              <w:ind w:left="1418"/>
              <w:jc w:val="both"/>
              <w:textAlignment w:val="baseline"/>
              <w:rPr>
                <w:rFonts w:ascii="Times New Roman" w:hAnsi="Times New Roman"/>
                <w:color w:val="000000" w:themeColor="text1"/>
              </w:rPr>
            </w:pPr>
            <w:r w:rsidRPr="001A5385">
              <w:rPr>
                <w:rFonts w:ascii="Times New Roman" w:hAnsi="Times New Roman"/>
                <w:color w:val="000000" w:themeColor="text1"/>
              </w:rPr>
              <w:t>TX unwanted emission</w:t>
            </w:r>
          </w:p>
          <w:p w14:paraId="6D721B50" w14:textId="77777777" w:rsidR="001A5385" w:rsidRPr="001A5385" w:rsidRDefault="001A5385" w:rsidP="001A5385">
            <w:pPr>
              <w:pStyle w:val="ListParagraph"/>
              <w:numPr>
                <w:ilvl w:val="2"/>
                <w:numId w:val="41"/>
              </w:numPr>
              <w:overflowPunct w:val="0"/>
              <w:autoSpaceDE w:val="0"/>
              <w:autoSpaceDN w:val="0"/>
              <w:adjustRightInd w:val="0"/>
              <w:ind w:left="1418"/>
              <w:jc w:val="both"/>
              <w:textAlignment w:val="baseline"/>
              <w:rPr>
                <w:rFonts w:ascii="Times New Roman" w:hAnsi="Times New Roman"/>
                <w:color w:val="000000" w:themeColor="text1"/>
              </w:rPr>
            </w:pPr>
            <w:r w:rsidRPr="001A5385">
              <w:rPr>
                <w:rFonts w:ascii="Times New Roman" w:hAnsi="Times New Roman"/>
                <w:color w:val="000000" w:themeColor="text1"/>
              </w:rPr>
              <w:t>RX in-band blocking</w:t>
            </w:r>
          </w:p>
          <w:p w14:paraId="4D8EC43F" w14:textId="77777777" w:rsidR="001A5385" w:rsidRPr="001A5385" w:rsidRDefault="001A5385" w:rsidP="001A5385">
            <w:pPr>
              <w:pStyle w:val="ListParagraph"/>
              <w:numPr>
                <w:ilvl w:val="1"/>
                <w:numId w:val="41"/>
              </w:numPr>
              <w:overflowPunct w:val="0"/>
              <w:autoSpaceDE w:val="0"/>
              <w:autoSpaceDN w:val="0"/>
              <w:adjustRightInd w:val="0"/>
              <w:ind w:left="993"/>
              <w:jc w:val="both"/>
              <w:textAlignment w:val="baseline"/>
              <w:rPr>
                <w:rFonts w:ascii="Times New Roman" w:hAnsi="Times New Roman"/>
                <w:color w:val="000000" w:themeColor="text1"/>
              </w:rPr>
            </w:pPr>
            <w:r w:rsidRPr="001A5385">
              <w:rPr>
                <w:rFonts w:ascii="Times New Roman" w:hAnsi="Times New Roman"/>
                <w:color w:val="000000" w:themeColor="text1"/>
              </w:rPr>
              <w:t>Note 1: whether to comply with requirements is declared by BS.</w:t>
            </w:r>
          </w:p>
          <w:p w14:paraId="3BDB2A4D" w14:textId="6D577B77" w:rsidR="001A5385" w:rsidRPr="001A5385" w:rsidRDefault="001A5385" w:rsidP="001A5385">
            <w:pPr>
              <w:pStyle w:val="ListParagraph"/>
              <w:numPr>
                <w:ilvl w:val="1"/>
                <w:numId w:val="41"/>
              </w:numPr>
              <w:overflowPunct w:val="0"/>
              <w:autoSpaceDE w:val="0"/>
              <w:autoSpaceDN w:val="0"/>
              <w:adjustRightInd w:val="0"/>
              <w:spacing w:after="180"/>
              <w:ind w:left="998" w:hanging="442"/>
              <w:jc w:val="both"/>
              <w:textAlignment w:val="baseline"/>
              <w:rPr>
                <w:color w:val="000000" w:themeColor="text1"/>
              </w:rPr>
            </w:pPr>
            <w:r w:rsidRPr="001A5385">
              <w:rPr>
                <w:rFonts w:ascii="Times New Roman" w:hAnsi="Times New Roman"/>
                <w:color w:val="000000" w:themeColor="text1"/>
              </w:rPr>
              <w:t>Note 2: The existing TDD requirements apply for non-SBFD BSs</w:t>
            </w:r>
          </w:p>
        </w:tc>
      </w:tr>
    </w:tbl>
    <w:p w14:paraId="46BB7B1F" w14:textId="77777777" w:rsidR="00C80194" w:rsidRDefault="00C80194" w:rsidP="001A5385">
      <w:pPr>
        <w:spacing w:line="259" w:lineRule="auto"/>
        <w:jc w:val="both"/>
        <w:rPr>
          <w:rFonts w:eastAsia="Calibri"/>
          <w:color w:val="000000" w:themeColor="text1"/>
          <w:sz w:val="22"/>
          <w:szCs w:val="22"/>
          <w:lang w:val="en-US"/>
        </w:rPr>
      </w:pPr>
    </w:p>
    <w:p w14:paraId="5D837E5F" w14:textId="0A4214CF" w:rsidR="001A5385" w:rsidRDefault="00C80194" w:rsidP="001A5385">
      <w:pPr>
        <w:spacing w:line="259" w:lineRule="auto"/>
        <w:jc w:val="both"/>
        <w:rPr>
          <w:rFonts w:eastAsia="Calibri"/>
          <w:color w:val="000000" w:themeColor="text1"/>
          <w:sz w:val="22"/>
          <w:szCs w:val="22"/>
          <w:lang w:val="en-US"/>
        </w:rPr>
      </w:pPr>
      <w:r w:rsidRPr="00C80194">
        <w:rPr>
          <w:rFonts w:eastAsia="Calibri"/>
          <w:color w:val="000000" w:themeColor="text1"/>
          <w:sz w:val="22"/>
          <w:szCs w:val="22"/>
          <w:lang w:val="en-US"/>
        </w:rPr>
        <w:t>This paper presents our initial perspective on adjacent channel coexistence between SBFD base stations</w:t>
      </w:r>
      <w:r>
        <w:rPr>
          <w:rFonts w:eastAsia="Calibri"/>
          <w:color w:val="000000" w:themeColor="text1"/>
          <w:sz w:val="22"/>
          <w:szCs w:val="22"/>
          <w:lang w:val="en-US"/>
        </w:rPr>
        <w:t>.</w:t>
      </w:r>
    </w:p>
    <w:p w14:paraId="50EACB60" w14:textId="77777777" w:rsidR="00DA692F" w:rsidRPr="006F75D0" w:rsidRDefault="00DA692F" w:rsidP="001A5385">
      <w:pPr>
        <w:spacing w:line="259" w:lineRule="auto"/>
        <w:jc w:val="both"/>
        <w:rPr>
          <w:rFonts w:eastAsia="Calibri"/>
          <w:color w:val="000000" w:themeColor="text1"/>
          <w:sz w:val="22"/>
          <w:szCs w:val="22"/>
          <w:lang w:val="en-US"/>
        </w:rPr>
      </w:pPr>
    </w:p>
    <w:p w14:paraId="489513B4" w14:textId="44C27D88" w:rsidR="00DE4002" w:rsidRPr="005D2B4C" w:rsidRDefault="008F508F" w:rsidP="00DE4002">
      <w:pPr>
        <w:pStyle w:val="Heading1"/>
        <w:rPr>
          <w:rFonts w:ascii="Times New Roman" w:hAnsi="Times New Roman"/>
          <w:b/>
          <w:bCs/>
        </w:rPr>
      </w:pPr>
      <w:r w:rsidRPr="006148EB">
        <w:rPr>
          <w:rFonts w:ascii="Times New Roman" w:hAnsi="Times New Roman"/>
          <w:b/>
          <w:bCs/>
        </w:rPr>
        <w:t>Discussion</w:t>
      </w:r>
    </w:p>
    <w:p w14:paraId="63695277" w14:textId="483FF4A7" w:rsidR="00243898" w:rsidRPr="005D2B4C" w:rsidRDefault="00DE4002" w:rsidP="00927E53">
      <w:pPr>
        <w:pStyle w:val="Heading2"/>
        <w:spacing w:line="259" w:lineRule="auto"/>
        <w:ind w:left="709" w:hanging="708"/>
        <w:jc w:val="left"/>
        <w:rPr>
          <w:rFonts w:ascii="Times New Roman" w:hAnsi="Times New Roman"/>
          <w:b/>
          <w:bCs/>
          <w:sz w:val="24"/>
          <w:szCs w:val="18"/>
        </w:rPr>
      </w:pPr>
      <w:bookmarkStart w:id="5" w:name="_Hlk178587788"/>
      <w:r w:rsidRPr="005D2B4C">
        <w:rPr>
          <w:rFonts w:ascii="Times New Roman" w:hAnsi="Times New Roman"/>
          <w:b/>
          <w:bCs/>
          <w:sz w:val="24"/>
          <w:szCs w:val="18"/>
        </w:rPr>
        <w:t>SBFD BS to SBFD BS adjacent channel coexistence</w:t>
      </w:r>
    </w:p>
    <w:bookmarkEnd w:id="5"/>
    <w:p w14:paraId="70481E4B" w14:textId="08EEA997" w:rsidR="00D86248" w:rsidRDefault="00106A9A" w:rsidP="00106A9A">
      <w:pPr>
        <w:spacing w:line="276" w:lineRule="auto"/>
        <w:jc w:val="both"/>
        <w:rPr>
          <w:sz w:val="22"/>
          <w:szCs w:val="22"/>
        </w:rPr>
      </w:pPr>
      <w:r w:rsidRPr="00157C74">
        <w:rPr>
          <w:sz w:val="22"/>
          <w:szCs w:val="22"/>
        </w:rPr>
        <w:t>Release 20 introduces enhancements for FR1 wide-area bands n104, n79</w:t>
      </w:r>
      <w:r w:rsidR="00CE0DE7">
        <w:rPr>
          <w:sz w:val="22"/>
          <w:szCs w:val="22"/>
        </w:rPr>
        <w:t xml:space="preserve">, </w:t>
      </w:r>
      <w:r w:rsidRPr="00157C74">
        <w:rPr>
          <w:sz w:val="22"/>
          <w:szCs w:val="22"/>
        </w:rPr>
        <w:t>and n41 to enable SBFD</w:t>
      </w:r>
      <w:r w:rsidR="00524625">
        <w:rPr>
          <w:sz w:val="22"/>
          <w:szCs w:val="22"/>
        </w:rPr>
        <w:t xml:space="preserve"> </w:t>
      </w:r>
      <w:r w:rsidRPr="00157C74">
        <w:rPr>
          <w:sz w:val="22"/>
          <w:szCs w:val="22"/>
        </w:rPr>
        <w:t xml:space="preserve">only deployments without dependency on legacy TDD. The goal is to improve UL coverage and reduce latency while ensuring robust coexistence in new wide TDD bands. Compared to TDD–SBFD coexistence, SBFD–SBFD provides better performance but requires stricter ACIR through enhanced BS TX and RX specifications. To mitigate coexistence challenges, careful DL </w:t>
      </w:r>
      <w:proofErr w:type="spellStart"/>
      <w:r w:rsidRPr="00157C74">
        <w:rPr>
          <w:sz w:val="22"/>
          <w:szCs w:val="22"/>
        </w:rPr>
        <w:t>subband</w:t>
      </w:r>
      <w:proofErr w:type="spellEnd"/>
      <w:r w:rsidRPr="00157C74">
        <w:rPr>
          <w:sz w:val="22"/>
          <w:szCs w:val="22"/>
        </w:rPr>
        <w:t xml:space="preserve"> placement is critical. Four boundary configurations (UD/DU, UD/DUD, DUD/DU, DUD/DUD) have been identified as starting points to protect UL transmissions at spectrum edges from adjacent DL interference. An operator’s DL </w:t>
      </w:r>
      <w:proofErr w:type="spellStart"/>
      <w:r w:rsidRPr="00157C74">
        <w:rPr>
          <w:sz w:val="22"/>
          <w:szCs w:val="22"/>
        </w:rPr>
        <w:t>subband</w:t>
      </w:r>
      <w:proofErr w:type="spellEnd"/>
      <w:r w:rsidRPr="00157C74">
        <w:rPr>
          <w:sz w:val="22"/>
          <w:szCs w:val="22"/>
        </w:rPr>
        <w:t xml:space="preserve"> can serve as a guard for a </w:t>
      </w:r>
      <w:r w:rsidR="009B6340" w:rsidRPr="00157C74">
        <w:rPr>
          <w:sz w:val="22"/>
          <w:szCs w:val="22"/>
        </w:rPr>
        <w:t>neighbouring</w:t>
      </w:r>
      <w:r w:rsidRPr="00157C74">
        <w:rPr>
          <w:sz w:val="22"/>
          <w:szCs w:val="22"/>
        </w:rPr>
        <w:t xml:space="preserve"> operator’s UL, leveraging SBFD’s inherent split-band structure without adding filter complexity. This approach supports improved adjacent-channel coexistence and maximizes SBFD benefits in wide-area deployments. When all operators deploy SBFD, inter-operator interference is significantly reduced. This requires tailored TX/RX requirements for in-band emissions and blocking to </w:t>
      </w:r>
      <w:r w:rsidRPr="00157C74">
        <w:rPr>
          <w:sz w:val="22"/>
          <w:szCs w:val="22"/>
        </w:rPr>
        <w:lastRenderedPageBreak/>
        <w:t>prevent DL leakage into adjacent UL. Full-band suppression using SBFD filtering is mandatory for all operators. These measures address inter-operator interference only; other interference types remain outside the scope. Full-site SBFD deployment is essential to avoid high inter-site CLI.</w:t>
      </w:r>
    </w:p>
    <w:p w14:paraId="56DC5F82" w14:textId="77777777" w:rsidR="00524625" w:rsidRPr="00157C74" w:rsidRDefault="00524625" w:rsidP="00106A9A">
      <w:pPr>
        <w:spacing w:line="276" w:lineRule="auto"/>
        <w:jc w:val="both"/>
        <w:rPr>
          <w:sz w:val="22"/>
          <w:szCs w:val="22"/>
        </w:rPr>
      </w:pPr>
    </w:p>
    <w:p w14:paraId="4E2C6001" w14:textId="50051016" w:rsidR="00106A9A" w:rsidRDefault="00106A9A" w:rsidP="00106A9A">
      <w:pPr>
        <w:spacing w:line="276" w:lineRule="auto"/>
        <w:jc w:val="both"/>
        <w:rPr>
          <w:sz w:val="22"/>
          <w:szCs w:val="22"/>
        </w:rPr>
      </w:pPr>
      <w:r w:rsidRPr="00157C74">
        <w:rPr>
          <w:b/>
          <w:bCs/>
          <w:sz w:val="22"/>
          <w:szCs w:val="22"/>
        </w:rPr>
        <w:t>Observation 1:</w:t>
      </w:r>
      <w:r w:rsidRPr="00157C74">
        <w:rPr>
          <w:sz w:val="22"/>
          <w:szCs w:val="22"/>
        </w:rPr>
        <w:t xml:space="preserve"> Full</w:t>
      </w:r>
      <w:r w:rsidR="009B6340">
        <w:rPr>
          <w:sz w:val="22"/>
          <w:szCs w:val="22"/>
        </w:rPr>
        <w:t xml:space="preserve"> </w:t>
      </w:r>
      <w:r w:rsidRPr="00157C74">
        <w:rPr>
          <w:sz w:val="22"/>
          <w:szCs w:val="22"/>
        </w:rPr>
        <w:t>site SBFD deployment and SBFD filtering for full</w:t>
      </w:r>
      <w:r w:rsidR="009B6340">
        <w:rPr>
          <w:sz w:val="22"/>
          <w:szCs w:val="22"/>
        </w:rPr>
        <w:t xml:space="preserve"> </w:t>
      </w:r>
      <w:r w:rsidRPr="00157C74">
        <w:rPr>
          <w:sz w:val="22"/>
          <w:szCs w:val="22"/>
        </w:rPr>
        <w:t>band suppression are mandatory to minimize inter-operator interference.</w:t>
      </w:r>
    </w:p>
    <w:p w14:paraId="55AB058D" w14:textId="77777777" w:rsidR="009B6340" w:rsidRPr="00157C74" w:rsidRDefault="009B6340" w:rsidP="00106A9A">
      <w:pPr>
        <w:spacing w:line="276" w:lineRule="auto"/>
        <w:jc w:val="both"/>
        <w:rPr>
          <w:sz w:val="22"/>
          <w:szCs w:val="22"/>
        </w:rPr>
      </w:pPr>
    </w:p>
    <w:p w14:paraId="109A87B2" w14:textId="27D5C46E" w:rsidR="00106A9A" w:rsidRPr="00157C74" w:rsidRDefault="00106A9A" w:rsidP="00106A9A">
      <w:pPr>
        <w:spacing w:line="276" w:lineRule="auto"/>
        <w:jc w:val="both"/>
        <w:rPr>
          <w:sz w:val="22"/>
          <w:szCs w:val="22"/>
        </w:rPr>
      </w:pPr>
      <w:r w:rsidRPr="00157C74">
        <w:rPr>
          <w:b/>
          <w:bCs/>
          <w:sz w:val="22"/>
          <w:szCs w:val="22"/>
        </w:rPr>
        <w:t xml:space="preserve">Proposal 1: </w:t>
      </w:r>
      <w:r w:rsidRPr="00157C74">
        <w:rPr>
          <w:sz w:val="22"/>
          <w:szCs w:val="22"/>
        </w:rPr>
        <w:t>Recommend full-site SBFD deployment to prevent inter-site CLI and maximize SBFD benefits.</w:t>
      </w:r>
    </w:p>
    <w:p w14:paraId="41290C27" w14:textId="479B2CFC" w:rsidR="00A73EC8" w:rsidRPr="00D86248" w:rsidRDefault="00D86248" w:rsidP="00D86248">
      <w:pPr>
        <w:pStyle w:val="Heading2"/>
        <w:spacing w:line="259" w:lineRule="auto"/>
        <w:ind w:left="709" w:hanging="708"/>
        <w:jc w:val="left"/>
        <w:rPr>
          <w:rFonts w:ascii="Times New Roman" w:hAnsi="Times New Roman"/>
          <w:b/>
          <w:bCs/>
          <w:sz w:val="24"/>
          <w:szCs w:val="18"/>
        </w:rPr>
      </w:pPr>
      <w:r>
        <w:rPr>
          <w:rFonts w:ascii="Times New Roman" w:hAnsi="Times New Roman"/>
          <w:b/>
          <w:bCs/>
          <w:sz w:val="24"/>
          <w:szCs w:val="18"/>
        </w:rPr>
        <w:t xml:space="preserve">Simulation analysis </w:t>
      </w:r>
    </w:p>
    <w:p w14:paraId="35B3DD8A" w14:textId="1A79595E" w:rsidR="00106A9A" w:rsidRDefault="00BF3848" w:rsidP="00A73EC8">
      <w:pPr>
        <w:spacing w:line="256" w:lineRule="auto"/>
        <w:jc w:val="both"/>
        <w:rPr>
          <w:rFonts w:eastAsia="Calibri"/>
          <w:color w:val="000000" w:themeColor="text1"/>
          <w:sz w:val="22"/>
          <w:szCs w:val="22"/>
          <w:lang w:val="en-US"/>
        </w:rPr>
      </w:pPr>
      <w:r w:rsidRPr="7DDD1FFD">
        <w:rPr>
          <w:rFonts w:eastAsia="Calibri"/>
          <w:color w:val="000000" w:themeColor="text1"/>
          <w:sz w:val="22"/>
          <w:szCs w:val="22"/>
          <w:lang w:val="en-US"/>
        </w:rPr>
        <w:t xml:space="preserve">We analyze a coexistence scenario involving </w:t>
      </w:r>
      <w:proofErr w:type="spellStart"/>
      <w:r w:rsidRPr="7DDD1FFD">
        <w:rPr>
          <w:rFonts w:eastAsia="Calibri"/>
          <w:color w:val="000000" w:themeColor="text1"/>
          <w:sz w:val="22"/>
          <w:szCs w:val="22"/>
          <w:lang w:val="en-US"/>
        </w:rPr>
        <w:t>UMa</w:t>
      </w:r>
      <w:proofErr w:type="spellEnd"/>
      <w:r w:rsidRPr="7DDD1FFD">
        <w:rPr>
          <w:rFonts w:eastAsia="Calibri"/>
          <w:color w:val="000000" w:themeColor="text1"/>
          <w:sz w:val="22"/>
          <w:szCs w:val="22"/>
          <w:lang w:val="en-US"/>
        </w:rPr>
        <w:t xml:space="preserve"> deployments by two operators using adjacent channels in the same geographic area. The first operator, referred to as the victim, deploys SBFD, while the second operator, the aggressor, also uses SBFD. The evaluation focuses on the wideband interference power received by the uplink of the victim SBFD network due to the downlink transmissions from the aggressor SBFD network, as discussed in our earlier </w:t>
      </w:r>
      <w:r w:rsidR="4CCA68A9" w:rsidRPr="7DDD1FFD">
        <w:rPr>
          <w:rFonts w:eastAsia="Calibri"/>
          <w:color w:val="000000" w:themeColor="text1"/>
          <w:sz w:val="22"/>
          <w:szCs w:val="22"/>
          <w:lang w:val="en-US"/>
        </w:rPr>
        <w:t xml:space="preserve">paper </w:t>
      </w:r>
      <w:r w:rsidRPr="7DDD1FFD">
        <w:rPr>
          <w:rFonts w:eastAsia="Calibri"/>
          <w:color w:val="000000" w:themeColor="text1"/>
          <w:sz w:val="22"/>
          <w:szCs w:val="22"/>
          <w:lang w:val="en-US"/>
        </w:rPr>
        <w:t xml:space="preserve">[2]. The baseline noise figure model is based on the default parameters specified in 3GPP TR 38.858 Annex E [3] for the DUD/DUD configuration. For </w:t>
      </w:r>
      <w:proofErr w:type="spellStart"/>
      <w:r w:rsidRPr="7DDD1FFD">
        <w:rPr>
          <w:rFonts w:eastAsia="Calibri"/>
          <w:color w:val="000000" w:themeColor="text1"/>
          <w:sz w:val="22"/>
          <w:szCs w:val="22"/>
          <w:lang w:val="en-US"/>
        </w:rPr>
        <w:t>UMa</w:t>
      </w:r>
      <w:proofErr w:type="spellEnd"/>
      <w:r w:rsidRPr="7DDD1FFD">
        <w:rPr>
          <w:rFonts w:eastAsia="Calibri"/>
          <w:color w:val="000000" w:themeColor="text1"/>
          <w:sz w:val="22"/>
          <w:szCs w:val="22"/>
          <w:lang w:val="en-US"/>
        </w:rPr>
        <w:t xml:space="preserve"> deployments where SBFD acts as the aggressor, the 99th percentile in-band blocking power is –30.47 dBm with a 100% </w:t>
      </w:r>
      <w:r w:rsidR="00135E81" w:rsidRPr="7DDD1FFD">
        <w:rPr>
          <w:rFonts w:eastAsia="Calibri"/>
          <w:color w:val="000000" w:themeColor="text1"/>
          <w:sz w:val="22"/>
          <w:szCs w:val="22"/>
          <w:lang w:val="en-US"/>
        </w:rPr>
        <w:t>GS</w:t>
      </w:r>
      <w:r w:rsidRPr="7DDD1FFD">
        <w:rPr>
          <w:rFonts w:eastAsia="Calibri"/>
          <w:color w:val="000000" w:themeColor="text1"/>
          <w:sz w:val="22"/>
          <w:szCs w:val="22"/>
          <w:lang w:val="en-US"/>
        </w:rPr>
        <w:t xml:space="preserve">, and –3.82 dBm with a 10% </w:t>
      </w:r>
      <w:r w:rsidR="00135E81" w:rsidRPr="7DDD1FFD">
        <w:rPr>
          <w:rFonts w:eastAsia="Calibri"/>
          <w:color w:val="000000" w:themeColor="text1"/>
          <w:sz w:val="22"/>
          <w:szCs w:val="22"/>
          <w:lang w:val="en-US"/>
        </w:rPr>
        <w:t>GS</w:t>
      </w:r>
      <w:r w:rsidRPr="7DDD1FFD">
        <w:rPr>
          <w:rFonts w:eastAsia="Calibri"/>
          <w:color w:val="000000" w:themeColor="text1"/>
          <w:sz w:val="22"/>
          <w:szCs w:val="22"/>
          <w:lang w:val="en-US"/>
        </w:rPr>
        <w:t xml:space="preserve"> [2].</w:t>
      </w:r>
    </w:p>
    <w:p w14:paraId="036DF5E8" w14:textId="77777777" w:rsidR="00BF3848" w:rsidRPr="00157C74" w:rsidRDefault="00BF3848" w:rsidP="00A73EC8">
      <w:pPr>
        <w:spacing w:line="256" w:lineRule="auto"/>
        <w:jc w:val="both"/>
        <w:rPr>
          <w:rFonts w:eastAsia="Calibri"/>
          <w:color w:val="000000" w:themeColor="text1"/>
          <w:sz w:val="22"/>
          <w:szCs w:val="22"/>
          <w:lang w:val="en-US"/>
        </w:rPr>
      </w:pPr>
    </w:p>
    <w:p w14:paraId="21DE62E9" w14:textId="746F6F3D" w:rsidR="004A67F3" w:rsidRPr="00157C74" w:rsidRDefault="00106A9A" w:rsidP="004A67F3">
      <w:pPr>
        <w:pStyle w:val="paragraph"/>
        <w:spacing w:before="0" w:beforeAutospacing="0" w:after="0" w:afterAutospacing="0"/>
        <w:jc w:val="both"/>
        <w:textAlignment w:val="baseline"/>
        <w:rPr>
          <w:sz w:val="22"/>
          <w:szCs w:val="22"/>
        </w:rPr>
      </w:pPr>
      <w:bookmarkStart w:id="6" w:name="_Hlk188364326"/>
      <w:r w:rsidRPr="00157C74">
        <w:rPr>
          <w:b/>
          <w:bCs/>
          <w:sz w:val="22"/>
          <w:szCs w:val="22"/>
          <w:lang w:val="en-GB"/>
        </w:rPr>
        <w:t>Observation 2:</w:t>
      </w:r>
      <w:r w:rsidRPr="00157C74">
        <w:rPr>
          <w:sz w:val="22"/>
          <w:szCs w:val="22"/>
          <w:lang w:val="en-GB"/>
        </w:rPr>
        <w:t xml:space="preserve"> For </w:t>
      </w:r>
      <w:proofErr w:type="spellStart"/>
      <w:r w:rsidRPr="00157C74">
        <w:rPr>
          <w:sz w:val="22"/>
          <w:szCs w:val="22"/>
          <w:lang w:val="en-GB"/>
        </w:rPr>
        <w:t>UMa</w:t>
      </w:r>
      <w:proofErr w:type="spellEnd"/>
      <w:r w:rsidRPr="00157C74">
        <w:rPr>
          <w:sz w:val="22"/>
          <w:szCs w:val="22"/>
          <w:lang w:val="en-GB"/>
        </w:rPr>
        <w:t xml:space="preserve"> deployments with SBFD as the aggressor network and a 100% </w:t>
      </w:r>
      <w:r w:rsidR="00135E81">
        <w:rPr>
          <w:sz w:val="22"/>
          <w:szCs w:val="22"/>
          <w:lang w:val="en-GB"/>
        </w:rPr>
        <w:t>GS</w:t>
      </w:r>
      <w:r w:rsidRPr="00157C74">
        <w:rPr>
          <w:sz w:val="22"/>
          <w:szCs w:val="22"/>
          <w:lang w:val="en-GB"/>
        </w:rPr>
        <w:t xml:space="preserve">, the 99th percentile of in-band blocking power is –30.47 dBm. With a 10% </w:t>
      </w:r>
      <w:r w:rsidR="00135E81">
        <w:rPr>
          <w:sz w:val="22"/>
          <w:szCs w:val="22"/>
          <w:lang w:val="en-GB"/>
        </w:rPr>
        <w:t>GS</w:t>
      </w:r>
      <w:r w:rsidRPr="00157C74">
        <w:rPr>
          <w:sz w:val="22"/>
          <w:szCs w:val="22"/>
          <w:lang w:val="en-GB"/>
        </w:rPr>
        <w:t>, the in-band blocking power is –3.82 dBm.</w:t>
      </w:r>
    </w:p>
    <w:p w14:paraId="5592000B" w14:textId="700D31B6" w:rsidR="007D1F63" w:rsidRPr="00157C74" w:rsidRDefault="007D1F63" w:rsidP="006B7863">
      <w:pPr>
        <w:jc w:val="both"/>
        <w:rPr>
          <w:rFonts w:eastAsia="Times New Roman"/>
          <w:sz w:val="22"/>
          <w:szCs w:val="22"/>
          <w:lang w:val="en-IN" w:eastAsia="en-IN"/>
        </w:rPr>
      </w:pPr>
    </w:p>
    <w:p w14:paraId="4538FFEA" w14:textId="5951F0D5" w:rsidR="00F5667C" w:rsidRDefault="00F5667C" w:rsidP="006B7863">
      <w:pPr>
        <w:jc w:val="both"/>
        <w:rPr>
          <w:rFonts w:eastAsia="Times New Roman"/>
          <w:sz w:val="22"/>
          <w:szCs w:val="22"/>
          <w:lang w:val="en-IN" w:eastAsia="en-IN"/>
        </w:rPr>
      </w:pPr>
      <w:r w:rsidRPr="00157C74">
        <w:rPr>
          <w:b/>
          <w:bCs/>
          <w:sz w:val="22"/>
          <w:szCs w:val="22"/>
        </w:rPr>
        <w:t xml:space="preserve">Proposal 2: </w:t>
      </w:r>
      <w:r w:rsidRPr="00157C74">
        <w:rPr>
          <w:rFonts w:eastAsia="Times New Roman"/>
          <w:sz w:val="22"/>
          <w:szCs w:val="22"/>
          <w:lang w:val="en-IN" w:eastAsia="en-IN"/>
        </w:rPr>
        <w:t>Confirm optional SBFD compliance (Note 1) and TDD fallback (Note 2) in TS 38.104/38.141-2, ensuring no legacy impact.</w:t>
      </w:r>
    </w:p>
    <w:p w14:paraId="3C91F0CE" w14:textId="77777777" w:rsidR="00DA692F" w:rsidRPr="00157C74" w:rsidRDefault="00DA692F" w:rsidP="006B7863">
      <w:pPr>
        <w:jc w:val="both"/>
        <w:rPr>
          <w:rFonts w:eastAsia="Times New Roman"/>
          <w:sz w:val="22"/>
          <w:szCs w:val="22"/>
          <w:lang w:val="en-IN" w:eastAsia="en-IN"/>
        </w:rPr>
      </w:pPr>
    </w:p>
    <w:p w14:paraId="4F6E41BA" w14:textId="40480ACC" w:rsidR="004A67F3" w:rsidRDefault="004A67F3" w:rsidP="004A67F3">
      <w:pPr>
        <w:pStyle w:val="Heading1"/>
        <w:rPr>
          <w:rStyle w:val="eop"/>
          <w:b/>
          <w:bCs/>
          <w:color w:val="000000"/>
          <w:szCs w:val="32"/>
          <w:shd w:val="clear" w:color="auto" w:fill="FFFFFF"/>
        </w:rPr>
      </w:pPr>
      <w:r w:rsidRPr="004A67F3">
        <w:rPr>
          <w:rFonts w:ascii="Times New Roman" w:hAnsi="Times New Roman"/>
          <w:b/>
          <w:bCs/>
        </w:rPr>
        <w:t>Conclusion</w:t>
      </w:r>
      <w:r w:rsidRPr="004A67F3">
        <w:rPr>
          <w:rStyle w:val="eop"/>
          <w:b/>
          <w:bCs/>
          <w:color w:val="000000"/>
          <w:szCs w:val="32"/>
          <w:shd w:val="clear" w:color="auto" w:fill="FFFFFF"/>
        </w:rPr>
        <w:t> </w:t>
      </w:r>
    </w:p>
    <w:p w14:paraId="51DBDA90" w14:textId="77777777" w:rsidR="00890E00" w:rsidRDefault="00890E00" w:rsidP="00890E00">
      <w:pPr>
        <w:spacing w:line="276" w:lineRule="auto"/>
        <w:jc w:val="both"/>
        <w:rPr>
          <w:b/>
          <w:bCs/>
          <w:sz w:val="22"/>
          <w:szCs w:val="22"/>
        </w:rPr>
      </w:pPr>
      <w:r w:rsidRPr="00890E00">
        <w:rPr>
          <w:b/>
          <w:bCs/>
          <w:sz w:val="22"/>
          <w:szCs w:val="22"/>
        </w:rPr>
        <w:t>Observation 1: Full-site SBFD deployment and SBFD filtering for full-band suppression are mandatory to minimize inter-operator interference.</w:t>
      </w:r>
    </w:p>
    <w:p w14:paraId="39418F21" w14:textId="77777777" w:rsidR="00890E00" w:rsidRPr="00890E00" w:rsidRDefault="00890E00" w:rsidP="00890E00">
      <w:pPr>
        <w:spacing w:line="276" w:lineRule="auto"/>
        <w:jc w:val="both"/>
        <w:rPr>
          <w:b/>
          <w:bCs/>
          <w:sz w:val="22"/>
          <w:szCs w:val="22"/>
        </w:rPr>
      </w:pPr>
    </w:p>
    <w:p w14:paraId="23E3EA62" w14:textId="7A5CA252" w:rsidR="00B46EA8" w:rsidRDefault="00890E00" w:rsidP="00890E00">
      <w:pPr>
        <w:spacing w:line="276" w:lineRule="auto"/>
        <w:jc w:val="both"/>
        <w:rPr>
          <w:b/>
          <w:bCs/>
          <w:sz w:val="22"/>
          <w:szCs w:val="22"/>
        </w:rPr>
      </w:pPr>
      <w:r w:rsidRPr="00890E00">
        <w:rPr>
          <w:b/>
          <w:bCs/>
          <w:sz w:val="22"/>
          <w:szCs w:val="22"/>
        </w:rPr>
        <w:t>Proposal 1: Recommend full-site SBFD deployment to prevent inter-site CLI and maximize SBFD benefits.</w:t>
      </w:r>
    </w:p>
    <w:p w14:paraId="213BF7E8" w14:textId="77777777" w:rsidR="00890E00" w:rsidRPr="00FA1740" w:rsidRDefault="00890E00" w:rsidP="00890E00">
      <w:pPr>
        <w:spacing w:line="276" w:lineRule="auto"/>
        <w:jc w:val="both"/>
        <w:rPr>
          <w:b/>
          <w:bCs/>
          <w:sz w:val="22"/>
          <w:szCs w:val="22"/>
        </w:rPr>
      </w:pPr>
    </w:p>
    <w:p w14:paraId="244DCA25" w14:textId="77777777" w:rsidR="003178B1" w:rsidRPr="003178B1" w:rsidRDefault="003178B1" w:rsidP="003178B1">
      <w:pPr>
        <w:jc w:val="both"/>
        <w:rPr>
          <w:rFonts w:eastAsia="Times New Roman"/>
          <w:b/>
          <w:bCs/>
          <w:sz w:val="22"/>
          <w:szCs w:val="22"/>
        </w:rPr>
      </w:pPr>
      <w:r w:rsidRPr="003178B1">
        <w:rPr>
          <w:rFonts w:eastAsia="Times New Roman"/>
          <w:b/>
          <w:bCs/>
          <w:sz w:val="22"/>
          <w:szCs w:val="22"/>
        </w:rPr>
        <w:t xml:space="preserve">Observation 2: For </w:t>
      </w:r>
      <w:proofErr w:type="spellStart"/>
      <w:r w:rsidRPr="003178B1">
        <w:rPr>
          <w:rFonts w:eastAsia="Times New Roman"/>
          <w:b/>
          <w:bCs/>
          <w:sz w:val="22"/>
          <w:szCs w:val="22"/>
        </w:rPr>
        <w:t>UMa</w:t>
      </w:r>
      <w:proofErr w:type="spellEnd"/>
      <w:r w:rsidRPr="003178B1">
        <w:rPr>
          <w:rFonts w:eastAsia="Times New Roman"/>
          <w:b/>
          <w:bCs/>
          <w:sz w:val="22"/>
          <w:szCs w:val="22"/>
        </w:rPr>
        <w:t xml:space="preserve"> deployments with SBFD as the aggressor network and a 100% GS, the 99th percentile of in-band blocking power is –30.47 dBm. With a 10% GS, the in-band blocking power is –3.82 dBm.</w:t>
      </w:r>
    </w:p>
    <w:p w14:paraId="5750A6E9" w14:textId="77777777" w:rsidR="003178B1" w:rsidRPr="003178B1" w:rsidRDefault="003178B1" w:rsidP="003178B1">
      <w:pPr>
        <w:jc w:val="both"/>
        <w:rPr>
          <w:rFonts w:eastAsia="Times New Roman"/>
          <w:b/>
          <w:bCs/>
          <w:sz w:val="22"/>
          <w:szCs w:val="22"/>
        </w:rPr>
      </w:pPr>
    </w:p>
    <w:p w14:paraId="53B6E5D6" w14:textId="07098914" w:rsidR="00B46EA8" w:rsidRPr="00FA1740" w:rsidRDefault="003178B1" w:rsidP="003178B1">
      <w:pPr>
        <w:jc w:val="both"/>
        <w:rPr>
          <w:rFonts w:eastAsia="Times New Roman"/>
          <w:b/>
          <w:bCs/>
          <w:sz w:val="22"/>
          <w:szCs w:val="22"/>
          <w:lang w:val="en-IN" w:eastAsia="en-IN"/>
        </w:rPr>
      </w:pPr>
      <w:r w:rsidRPr="003178B1">
        <w:rPr>
          <w:rFonts w:eastAsia="Times New Roman"/>
          <w:b/>
          <w:bCs/>
          <w:sz w:val="22"/>
          <w:szCs w:val="22"/>
        </w:rPr>
        <w:t>Proposal 2: Confirm optional SBFD compliance (Note 1) and TDD fallback (Note 2) in TS 38.104/38.141-2, ensuring no legacy impact.</w:t>
      </w:r>
    </w:p>
    <w:p w14:paraId="469CA410" w14:textId="77777777" w:rsidR="004A67F3" w:rsidRPr="004A67F3" w:rsidRDefault="004A67F3" w:rsidP="004A67F3"/>
    <w:bookmarkEnd w:id="6"/>
    <w:p w14:paraId="1C092ADB" w14:textId="69A2B0B7" w:rsidR="00446A67" w:rsidRPr="008042A8" w:rsidRDefault="00446A67" w:rsidP="00446A67">
      <w:pPr>
        <w:pStyle w:val="Heading1"/>
        <w:rPr>
          <w:rFonts w:ascii="Times New Roman" w:hAnsi="Times New Roman"/>
          <w:b/>
          <w:bCs/>
        </w:rPr>
      </w:pPr>
      <w:r w:rsidRPr="008042A8">
        <w:rPr>
          <w:rFonts w:ascii="Times New Roman" w:hAnsi="Times New Roman"/>
          <w:b/>
          <w:bCs/>
        </w:rPr>
        <w:lastRenderedPageBreak/>
        <w:t>Referen</w:t>
      </w:r>
      <w:r w:rsidR="00E37799" w:rsidRPr="008042A8">
        <w:rPr>
          <w:rFonts w:ascii="Times New Roman" w:hAnsi="Times New Roman"/>
          <w:b/>
          <w:bCs/>
        </w:rPr>
        <w:t>ce</w:t>
      </w:r>
    </w:p>
    <w:p w14:paraId="026888EB" w14:textId="041FC132" w:rsidR="00767DF1" w:rsidRDefault="00C80194" w:rsidP="00767DF1">
      <w:pPr>
        <w:pStyle w:val="ListParagraph"/>
        <w:numPr>
          <w:ilvl w:val="0"/>
          <w:numId w:val="1"/>
        </w:numPr>
        <w:spacing w:after="120"/>
        <w:rPr>
          <w:rFonts w:ascii="Times New Roman" w:eastAsia="tim" w:hAnsi="Times New Roman"/>
          <w:color w:val="000000" w:themeColor="text1"/>
          <w:lang w:val="en-GB"/>
        </w:rPr>
      </w:pPr>
      <w:r w:rsidRPr="00C80194">
        <w:rPr>
          <w:rFonts w:ascii="Times New Roman" w:eastAsia="tim" w:hAnsi="Times New Roman"/>
          <w:color w:val="000000" w:themeColor="text1"/>
          <w:lang w:val="en-GB"/>
        </w:rPr>
        <w:t>RP-252905</w:t>
      </w:r>
      <w:r w:rsidR="00563680">
        <w:rPr>
          <w:rFonts w:ascii="Times New Roman" w:eastAsia="tim" w:hAnsi="Times New Roman"/>
          <w:color w:val="000000" w:themeColor="text1"/>
          <w:lang w:val="en-GB"/>
        </w:rPr>
        <w:t>,</w:t>
      </w:r>
      <w:r w:rsidR="002D749C">
        <w:rPr>
          <w:rFonts w:ascii="Times New Roman" w:eastAsia="tim" w:hAnsi="Times New Roman"/>
          <w:color w:val="000000" w:themeColor="text1"/>
          <w:lang w:val="en-GB"/>
        </w:rPr>
        <w:t xml:space="preserve"> </w:t>
      </w:r>
      <w:r w:rsidRPr="00C80194">
        <w:rPr>
          <w:rFonts w:ascii="Times New Roman" w:eastAsia="tim" w:hAnsi="Times New Roman"/>
          <w:color w:val="000000" w:themeColor="text1"/>
          <w:lang w:val="en-GB"/>
        </w:rPr>
        <w:t>New WID on NR base station (BS) RF requirement evolution for FR1 and testing phase 2</w:t>
      </w:r>
      <w:r w:rsidR="002331CA">
        <w:rPr>
          <w:rFonts w:ascii="Times New Roman" w:eastAsia="tim" w:hAnsi="Times New Roman"/>
          <w:color w:val="000000" w:themeColor="text1"/>
          <w:lang w:val="en-GB"/>
        </w:rPr>
        <w:t>.</w:t>
      </w:r>
    </w:p>
    <w:p w14:paraId="6CBD6C24" w14:textId="6D0939CE" w:rsidR="000A29E1" w:rsidRPr="00D86248" w:rsidRDefault="00D86248" w:rsidP="00D86248">
      <w:pPr>
        <w:pStyle w:val="ListParagraph"/>
        <w:numPr>
          <w:ilvl w:val="0"/>
          <w:numId w:val="1"/>
        </w:numPr>
        <w:spacing w:after="120"/>
        <w:rPr>
          <w:rFonts w:ascii="Times New Roman" w:eastAsia="tim" w:hAnsi="Times New Roman"/>
          <w:color w:val="000000" w:themeColor="text1"/>
          <w:lang w:val="en-GB"/>
        </w:rPr>
      </w:pPr>
      <w:r w:rsidRPr="00D86248">
        <w:rPr>
          <w:rFonts w:ascii="Times New Roman" w:eastAsia="tim" w:hAnsi="Times New Roman"/>
          <w:color w:val="000000" w:themeColor="text1"/>
          <w:lang w:val="en-GB"/>
        </w:rPr>
        <w:t>R4-2505469</w:t>
      </w:r>
      <w:r w:rsidR="00883D98">
        <w:rPr>
          <w:rFonts w:ascii="Times New Roman" w:eastAsia="tim" w:hAnsi="Times New Roman"/>
          <w:color w:val="000000" w:themeColor="text1"/>
          <w:lang w:val="en-GB"/>
        </w:rPr>
        <w:t xml:space="preserve">, </w:t>
      </w:r>
      <w:r w:rsidR="00456CCF" w:rsidRPr="00456CCF">
        <w:rPr>
          <w:rFonts w:ascii="Times New Roman" w:eastAsia="tim" w:hAnsi="Times New Roman"/>
          <w:color w:val="000000" w:themeColor="text1"/>
          <w:lang w:val="en-GB"/>
        </w:rPr>
        <w:t>Views on modification of existing Rx requirements for SBFD</w:t>
      </w:r>
      <w:r w:rsidR="00456CCF">
        <w:rPr>
          <w:rFonts w:ascii="Times New Roman" w:eastAsia="tim" w:hAnsi="Times New Roman"/>
          <w:color w:val="000000" w:themeColor="text1"/>
          <w:lang w:val="en-GB"/>
        </w:rPr>
        <w:t>,</w:t>
      </w:r>
      <w:r w:rsidR="00456CCF" w:rsidRPr="00767DF1">
        <w:rPr>
          <w:rFonts w:ascii="Times New Roman" w:eastAsia="SimSun" w:hAnsi="Times New Roman"/>
          <w:color w:val="000000" w:themeColor="text1"/>
        </w:rPr>
        <w:t xml:space="preserve"> Tejas Networks Ltd.</w:t>
      </w:r>
      <w:r w:rsidR="656D31DE" w:rsidRPr="00D86248">
        <w:rPr>
          <w:rFonts w:ascii="Times New Roman" w:hAnsi="Times New Roman"/>
          <w:lang w:val="en-GB"/>
        </w:rPr>
        <w:t xml:space="preserve"> </w:t>
      </w:r>
      <w:bookmarkEnd w:id="4"/>
    </w:p>
    <w:p w14:paraId="0FB61A82" w14:textId="77777777" w:rsidR="00D86248" w:rsidRPr="00D86248" w:rsidRDefault="00D86248" w:rsidP="00D86248">
      <w:pPr>
        <w:pStyle w:val="ListParagraph"/>
        <w:numPr>
          <w:ilvl w:val="0"/>
          <w:numId w:val="1"/>
        </w:numPr>
        <w:rPr>
          <w:rFonts w:ascii="Times New Roman" w:eastAsia="tim" w:hAnsi="Times New Roman"/>
          <w:color w:val="000000" w:themeColor="text1"/>
          <w:lang w:val="en-GB"/>
        </w:rPr>
      </w:pPr>
      <w:r w:rsidRPr="00D86248">
        <w:rPr>
          <w:rFonts w:ascii="Times New Roman" w:eastAsia="tim" w:hAnsi="Times New Roman"/>
          <w:color w:val="000000" w:themeColor="text1"/>
          <w:lang w:val="en-GB"/>
        </w:rPr>
        <w:t xml:space="preserve">TR 38.858, “Study on evolution of NR duplex operation,” 3GPP. </w:t>
      </w:r>
    </w:p>
    <w:p w14:paraId="15FB94F1" w14:textId="77777777" w:rsidR="00D86248" w:rsidRPr="00D86248" w:rsidRDefault="00D86248" w:rsidP="00D86248">
      <w:pPr>
        <w:pStyle w:val="ListParagraph"/>
        <w:spacing w:after="120"/>
        <w:ind w:left="420"/>
        <w:rPr>
          <w:rFonts w:ascii="Times New Roman" w:eastAsia="tim" w:hAnsi="Times New Roman"/>
          <w:color w:val="000000" w:themeColor="text1"/>
          <w:lang w:val="en-GB"/>
        </w:rPr>
      </w:pPr>
    </w:p>
    <w:sectPr w:rsidR="00D86248" w:rsidRPr="00D862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A321" w14:textId="77777777" w:rsidR="000343EF" w:rsidRDefault="000343EF" w:rsidP="00535554">
      <w:r>
        <w:separator/>
      </w:r>
    </w:p>
  </w:endnote>
  <w:endnote w:type="continuationSeparator" w:id="0">
    <w:p w14:paraId="7B46BB6B" w14:textId="77777777" w:rsidR="000343EF" w:rsidRDefault="000343EF" w:rsidP="00535554">
      <w:r>
        <w:continuationSeparator/>
      </w:r>
    </w:p>
  </w:endnote>
  <w:endnote w:type="continuationNotice" w:id="1">
    <w:p w14:paraId="4AFCE910" w14:textId="77777777" w:rsidR="000343EF" w:rsidRDefault="00034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9C923" w14:textId="77777777" w:rsidR="000343EF" w:rsidRDefault="000343EF" w:rsidP="00535554">
      <w:r>
        <w:separator/>
      </w:r>
    </w:p>
  </w:footnote>
  <w:footnote w:type="continuationSeparator" w:id="0">
    <w:p w14:paraId="745DBE5C" w14:textId="77777777" w:rsidR="000343EF" w:rsidRDefault="000343EF" w:rsidP="00535554">
      <w:r>
        <w:continuationSeparator/>
      </w:r>
    </w:p>
  </w:footnote>
  <w:footnote w:type="continuationNotice" w:id="1">
    <w:p w14:paraId="403D39FA" w14:textId="77777777" w:rsidR="000343EF" w:rsidRDefault="000343EF"/>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WG0WrHam" int2:invalidationBookmarkName="" int2:hashCode="sJ0IuCSomVftAu" int2:id="AkjY5SYj">
      <int2:state int2:type="AugLoop_Text_Critique" int2:value="Rejected"/>
    </int2:bookmark>
    <int2:bookmark int2:bookmarkName="_Int_hKLRLDOM" int2:invalidationBookmarkName="" int2:hashCode="CVXdgYIGpA6JEB" int2:id="48YLU1Ms">
      <int2:state int2:type="AugLoop_Text_Critique" int2:value="Rejected"/>
    </int2:bookmark>
    <int2:bookmark int2:bookmarkName="_Int_TXik7csr" int2:invalidationBookmarkName="" int2:hashCode="P3rqxhR7QBTNMW" int2:id="nmRgqnQX">
      <int2:state int2:type="AugLoop_Text_Critique" int2:value="Rejected"/>
    </int2:bookmark>
    <int2:bookmark int2:bookmarkName="_Int_y82Ws820" int2:invalidationBookmarkName="" int2:hashCode="Bb0TfYRQnF3yLR" int2:id="Zokrsjf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4"/>
  </w:num>
  <w:num w:numId="2">
    <w:abstractNumId w:val="5"/>
  </w:num>
  <w:num w:numId="3">
    <w:abstractNumId w:val="1"/>
  </w:num>
  <w:num w:numId="4">
    <w:abstractNumId w:val="23"/>
  </w:num>
  <w:num w:numId="5">
    <w:abstractNumId w:val="13"/>
  </w:num>
  <w:num w:numId="6">
    <w:abstractNumId w:val="25"/>
  </w:num>
  <w:num w:numId="7">
    <w:abstractNumId w:val="8"/>
  </w:num>
  <w:num w:numId="8">
    <w:abstractNumId w:val="9"/>
  </w:num>
  <w:num w:numId="9">
    <w:abstractNumId w:val="7"/>
  </w:num>
  <w:num w:numId="10">
    <w:abstractNumId w:val="2"/>
  </w:num>
  <w:num w:numId="11">
    <w:abstractNumId w:val="25"/>
  </w:num>
  <w:num w:numId="12">
    <w:abstractNumId w:val="4"/>
  </w:num>
  <w:num w:numId="13">
    <w:abstractNumId w:val="1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1"/>
  </w:num>
  <w:num w:numId="21">
    <w:abstractNumId w:val="5"/>
  </w:num>
  <w:num w:numId="22">
    <w:abstractNumId w:val="18"/>
  </w:num>
  <w:num w:numId="23">
    <w:abstractNumId w:val="5"/>
  </w:num>
  <w:num w:numId="24">
    <w:abstractNumId w:val="5"/>
  </w:num>
  <w:num w:numId="25">
    <w:abstractNumId w:val="5"/>
  </w:num>
  <w:num w:numId="26">
    <w:abstractNumId w:val="5"/>
  </w:num>
  <w:num w:numId="27">
    <w:abstractNumId w:val="10"/>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19"/>
  </w:num>
  <w:num w:numId="35">
    <w:abstractNumId w:val="5"/>
  </w:num>
  <w:num w:numId="36">
    <w:abstractNumId w:val="6"/>
  </w:num>
  <w:num w:numId="37">
    <w:abstractNumId w:val="24"/>
  </w:num>
  <w:num w:numId="38">
    <w:abstractNumId w:val="5"/>
  </w:num>
  <w:num w:numId="39">
    <w:abstractNumId w:val="5"/>
  </w:num>
  <w:num w:numId="40">
    <w:abstractNumId w:val="5"/>
  </w:num>
  <w:num w:numId="41">
    <w:abstractNumId w:val="15"/>
  </w:num>
  <w:num w:numId="4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3EF"/>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50B"/>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4C"/>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E81"/>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57C74"/>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385"/>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AF4"/>
    <w:rsid w:val="00277D11"/>
    <w:rsid w:val="002802FF"/>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8B1"/>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5D9"/>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5C97"/>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B50"/>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9FB"/>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625"/>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2B4C"/>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F9E"/>
    <w:rsid w:val="00750A6F"/>
    <w:rsid w:val="0075115D"/>
    <w:rsid w:val="00751A33"/>
    <w:rsid w:val="00751DD8"/>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0E00"/>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40"/>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6EA8"/>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8E5"/>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068"/>
    <w:rsid w:val="00BD418D"/>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85D"/>
    <w:rsid w:val="00BF2B01"/>
    <w:rsid w:val="00BF32C3"/>
    <w:rsid w:val="00BF3848"/>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104"/>
    <w:rsid w:val="00C67986"/>
    <w:rsid w:val="00C67EC9"/>
    <w:rsid w:val="00C704B1"/>
    <w:rsid w:val="00C7062E"/>
    <w:rsid w:val="00C70EB4"/>
    <w:rsid w:val="00C711BC"/>
    <w:rsid w:val="00C712F3"/>
    <w:rsid w:val="00C71871"/>
    <w:rsid w:val="00C71880"/>
    <w:rsid w:val="00C71E1B"/>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194"/>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0DE7"/>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733"/>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48"/>
    <w:rsid w:val="00D8628E"/>
    <w:rsid w:val="00D86868"/>
    <w:rsid w:val="00D86D03"/>
    <w:rsid w:val="00D87AA1"/>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92F"/>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02"/>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5EFD"/>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667C"/>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1740"/>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CA68A9"/>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1FFD"/>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semiHidden/>
    <w:unhideWhenUsed/>
    <w:rsid w:val="005C2B26"/>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7301ab323720a436b9e1768ca3052131">
  <xsd:schema xmlns:xsd="http://www.w3.org/2001/XMLSchema" xmlns:xs="http://www.w3.org/2001/XMLSchema" xmlns:p="http://schemas.microsoft.com/office/2006/metadata/properties" xmlns:ns2="084f5cea-6fba-4ec7-8c9f-c5d672ce6ecd" targetNamespace="http://schemas.microsoft.com/office/2006/metadata/properties" ma:root="true" ma:fieldsID="8b79ffedeb8c08b3143385be61e0ca30"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4B6F3-27BD-43FD-82AB-6C84C153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730</Words>
  <Characters>4163</Characters>
  <Application>Microsoft Office Word</Application>
  <DocSecurity>0</DocSecurity>
  <Lines>34</Lines>
  <Paragraphs>9</Paragraphs>
  <ScaleCrop>false</ScaleCrop>
  <Company>Tejas Networks Ltd.</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Sreekanth K</cp:lastModifiedBy>
  <cp:revision>2</cp:revision>
  <cp:lastPrinted>2024-09-30T13:27:00Z</cp:lastPrinted>
  <dcterms:created xsi:type="dcterms:W3CDTF">2025-10-03T07:15:00Z</dcterms:created>
  <dcterms:modified xsi:type="dcterms:W3CDTF">2025-10-03T07:15:00Z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