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187D3298" w:rsidR="00406142" w:rsidRDefault="00406142" w:rsidP="00406142">
      <w:pPr>
        <w:pStyle w:val="CRCoverPage"/>
        <w:tabs>
          <w:tab w:val="right" w:pos="9639"/>
        </w:tabs>
        <w:spacing w:after="0"/>
        <w:rPr>
          <w:b/>
          <w:i/>
          <w:noProof/>
          <w:sz w:val="28"/>
        </w:rPr>
      </w:pPr>
      <w:bookmarkStart w:id="0" w:name="_Hlk196669448"/>
      <w:r>
        <w:rPr>
          <w:b/>
          <w:noProof/>
          <w:sz w:val="24"/>
        </w:rPr>
        <w:t>3GPP TSG-RAN WG3 Meeting #129bis</w:t>
      </w:r>
      <w:r>
        <w:rPr>
          <w:b/>
          <w:i/>
          <w:noProof/>
          <w:sz w:val="28"/>
        </w:rPr>
        <w:tab/>
      </w:r>
      <w:r w:rsidRPr="00A348D4">
        <w:rPr>
          <w:b/>
          <w:iCs/>
          <w:noProof/>
          <w:sz w:val="28"/>
        </w:rPr>
        <w:t>R3-2</w:t>
      </w:r>
      <w:r>
        <w:rPr>
          <w:b/>
          <w:iCs/>
          <w:noProof/>
          <w:sz w:val="28"/>
        </w:rPr>
        <w:t>5</w:t>
      </w:r>
      <w:r w:rsidR="001B723B">
        <w:rPr>
          <w:b/>
          <w:iCs/>
          <w:noProof/>
          <w:sz w:val="28"/>
        </w:rPr>
        <w:t>7065</w:t>
      </w:r>
    </w:p>
    <w:p w14:paraId="41AFABAF" w14:textId="299AB3AC" w:rsidR="00406142" w:rsidRDefault="00406142" w:rsidP="00406142">
      <w:pPr>
        <w:pStyle w:val="CRCoverPage"/>
        <w:outlineLvl w:val="0"/>
        <w:rPr>
          <w:b/>
          <w:noProof/>
          <w:sz w:val="24"/>
        </w:rPr>
      </w:pPr>
      <w:bookmarkStart w:id="1" w:name="_Hlk57190503"/>
      <w:r>
        <w:rPr>
          <w:b/>
          <w:noProof/>
          <w:sz w:val="24"/>
        </w:rPr>
        <w:t>Prague, Czech Republic, 13</w:t>
      </w:r>
      <w:r w:rsidRPr="008D0364">
        <w:rPr>
          <w:b/>
          <w:noProof/>
          <w:sz w:val="24"/>
          <w:vertAlign w:val="superscript"/>
        </w:rPr>
        <w:t>th</w:t>
      </w:r>
      <w:r>
        <w:rPr>
          <w:b/>
          <w:noProof/>
          <w:sz w:val="24"/>
        </w:rPr>
        <w:t xml:space="preserve"> - 17</w:t>
      </w:r>
      <w:r w:rsidRPr="008D0364">
        <w:rPr>
          <w:b/>
          <w:noProof/>
          <w:sz w:val="24"/>
          <w:vertAlign w:val="superscript"/>
        </w:rPr>
        <w:t>th</w:t>
      </w:r>
      <w:r>
        <w:rPr>
          <w:b/>
          <w:noProof/>
          <w:sz w:val="24"/>
        </w:rPr>
        <w:t xml:space="preserve"> October 2025</w:t>
      </w:r>
      <w:bookmarkEnd w:id="1"/>
    </w:p>
    <w:bookmarkEnd w:id="0"/>
    <w:p w14:paraId="0C4B67AF" w14:textId="77777777" w:rsidR="00501135" w:rsidRDefault="00501135">
      <w:pPr>
        <w:pStyle w:val="Header"/>
        <w:rPr>
          <w:rFonts w:cs="Arial"/>
          <w:bCs/>
          <w:noProof w:val="0"/>
          <w:sz w:val="24"/>
          <w:lang w:val="en-GB" w:eastAsia="ja-JP"/>
        </w:rPr>
      </w:pPr>
    </w:p>
    <w:p w14:paraId="43D56084" w14:textId="4DB2107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D617F5">
        <w:rPr>
          <w:rFonts w:cs="Arial"/>
          <w:b/>
          <w:bCs/>
          <w:color w:val="000000"/>
          <w:sz w:val="24"/>
          <w:szCs w:val="24"/>
          <w:lang w:val="en-US"/>
        </w:rPr>
        <w:t>14.2</w:t>
      </w:r>
    </w:p>
    <w:p w14:paraId="6BE48DC7" w14:textId="2A9C1CE1"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D617F5">
        <w:rPr>
          <w:rFonts w:cs="Arial"/>
          <w:b/>
          <w:bCs/>
          <w:sz w:val="24"/>
          <w:lang w:val="en-US"/>
        </w:rPr>
        <w:t>Ericsson</w:t>
      </w:r>
    </w:p>
    <w:p w14:paraId="3A2005BA" w14:textId="22E802E8"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617F5">
        <w:rPr>
          <w:rFonts w:cs="Arial"/>
          <w:b/>
          <w:bCs/>
          <w:color w:val="000000"/>
          <w:sz w:val="24"/>
          <w:szCs w:val="24"/>
        </w:rPr>
        <w:t>Topology 2 - Starting points for discussions</w:t>
      </w:r>
    </w:p>
    <w:p w14:paraId="798882EA" w14:textId="046A2F63"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D617F5">
        <w:rPr>
          <w:rFonts w:cs="Arial"/>
          <w:b/>
          <w:bCs/>
          <w:sz w:val="24"/>
          <w:szCs w:val="24"/>
        </w:rPr>
        <w:t>Discusson and Agreement</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2CC0BCBA" w:rsidR="00CD7395" w:rsidRDefault="00F23387" w:rsidP="00117327">
      <w:r>
        <w:t>RAN#108 agreed on an "AIoT Phase 2" WI which was revised at RAN#109 in [1].</w:t>
      </w:r>
    </w:p>
    <w:p w14:paraId="5AA265BA" w14:textId="522315FB" w:rsidR="00F23387" w:rsidRDefault="00F23387" w:rsidP="00117327">
      <w:r>
        <w:t xml:space="preserve">Relevant content for discussions to start after RAN#109 </w:t>
      </w:r>
      <w:r w:rsidR="001B723B">
        <w:t>is</w:t>
      </w:r>
      <w:r>
        <w:t xml:space="preserve"> as follows:</w:t>
      </w:r>
    </w:p>
    <w:p w14:paraId="05CD8064" w14:textId="77777777" w:rsidR="00F23387" w:rsidRPr="00F23387" w:rsidRDefault="00F23387" w:rsidP="00F23387">
      <w:pPr>
        <w:pStyle w:val="ListParagraph"/>
        <w:numPr>
          <w:ilvl w:val="0"/>
          <w:numId w:val="15"/>
        </w:numPr>
        <w:overflowPunct w:val="0"/>
        <w:snapToGrid/>
        <w:spacing w:before="80" w:after="80"/>
        <w:ind w:left="357" w:firstLineChars="0" w:hanging="357"/>
        <w:contextualSpacing/>
        <w:jc w:val="left"/>
        <w:textAlignment w:val="baseline"/>
        <w:rPr>
          <w:rFonts w:eastAsia="DengXian"/>
          <w:color w:val="002060"/>
          <w:sz w:val="20"/>
          <w:szCs w:val="20"/>
        </w:rPr>
      </w:pPr>
      <w:r w:rsidRPr="00F23387">
        <w:rPr>
          <w:rFonts w:eastAsia="DengXian"/>
          <w:color w:val="002060"/>
          <w:sz w:val="20"/>
          <w:szCs w:val="20"/>
        </w:rPr>
        <w:t>Specify support for Deployment Scenario 2 with Topology 2 with intermediate UE as Reader under the following conditions [RAN2-led]:</w:t>
      </w:r>
    </w:p>
    <w:p w14:paraId="37C32D8F"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According to D2T2-B for Device 1 with carrier-wave transmission for waveform 1 only, per TR 38.769.</w:t>
      </w:r>
    </w:p>
    <w:p w14:paraId="55B78763"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No specification support for CW control</w:t>
      </w:r>
    </w:p>
    <w:p w14:paraId="7CD1C2E5"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According to D2T2-C for active Device(s).</w:t>
      </w:r>
    </w:p>
    <w:p w14:paraId="162EB48B"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Start after March 2026</w:t>
      </w:r>
    </w:p>
    <w:p w14:paraId="18D0FAF6"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Traffic types DO-DTT and DT, and DO-A (only for active Device(s)).</w:t>
      </w:r>
    </w:p>
    <w:p w14:paraId="24386744"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RAN2 to start on DO-A for D2T2 when sufficient progress has been made on DO-A for D1T1, after a checkpoint in RAN plenary in September 2026</w:t>
      </w:r>
    </w:p>
    <w:p w14:paraId="22DE6283"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Representative use cases rUC1 (indoor inventory) and rUC4 (indoor command).</w:t>
      </w:r>
    </w:p>
    <w:p w14:paraId="48760804" w14:textId="77777777" w:rsidR="00F23387" w:rsidRPr="00F23387" w:rsidRDefault="00F23387" w:rsidP="00F23387">
      <w:pPr>
        <w:pStyle w:val="ListParagraph"/>
        <w:numPr>
          <w:ilvl w:val="0"/>
          <w:numId w:val="14"/>
        </w:numPr>
        <w:overflowPunct w:val="0"/>
        <w:snapToGrid/>
        <w:spacing w:after="180"/>
        <w:ind w:firstLineChars="0"/>
        <w:contextualSpacing/>
        <w:jc w:val="left"/>
        <w:textAlignment w:val="baseline"/>
        <w:rPr>
          <w:rFonts w:eastAsia="DengXian"/>
          <w:color w:val="002060"/>
          <w:sz w:val="20"/>
          <w:szCs w:val="20"/>
        </w:rPr>
      </w:pPr>
      <w:r w:rsidRPr="00F23387">
        <w:rPr>
          <w:rFonts w:eastAsia="DengXian"/>
          <w:color w:val="002060"/>
          <w:sz w:val="20"/>
          <w:szCs w:val="20"/>
        </w:rPr>
        <w:t>FR1 licensed spectrum in FDD, with R2D in UL spectrum, and D2R and CW in UL spectrum.</w:t>
      </w:r>
    </w:p>
    <w:p w14:paraId="731E65C8"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Specify RRC-based architecture, in coordination with SA2.</w:t>
      </w:r>
    </w:p>
    <w:p w14:paraId="70338BCF"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The following are not supported:</w:t>
      </w:r>
    </w:p>
    <w:p w14:paraId="0487829B"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Coordination between UEs operating as UE readers</w:t>
      </w:r>
    </w:p>
    <w:p w14:paraId="5DAA3844"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New Uu protocol layer(s)</w:t>
      </w:r>
    </w:p>
    <w:p w14:paraId="663D7F3D"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Simultaneous (time overlapping) operation of Uu and A-IoT at the intermediate UE in the same band</w:t>
      </w:r>
    </w:p>
    <w:p w14:paraId="60472EA2" w14:textId="77777777" w:rsidR="00F23387" w:rsidRPr="00F23387" w:rsidRDefault="00F23387" w:rsidP="00F23387">
      <w:pPr>
        <w:spacing w:before="80" w:after="80"/>
        <w:ind w:left="360"/>
        <w:rPr>
          <w:rFonts w:ascii="Times New Roman" w:eastAsia="DengXian" w:hAnsi="Times New Roman"/>
          <w:color w:val="002060"/>
        </w:rPr>
      </w:pPr>
      <w:r w:rsidRPr="00F23387">
        <w:rPr>
          <w:rFonts w:ascii="Times New Roman" w:eastAsia="DengXian" w:hAnsi="Times New Roman"/>
          <w:color w:val="002060"/>
        </w:rPr>
        <w:t>This objective begins after RAN#109 (September 2025), and after RAN1#111 (March 2026) for RAN1.</w:t>
      </w:r>
    </w:p>
    <w:p w14:paraId="25D4F723" w14:textId="77777777" w:rsidR="00F23387" w:rsidRPr="00F23387" w:rsidRDefault="00F23387" w:rsidP="00F23387">
      <w:pPr>
        <w:spacing w:before="80" w:after="80"/>
        <w:ind w:left="360"/>
        <w:rPr>
          <w:rFonts w:ascii="Times New Roman" w:eastAsia="DengXian" w:hAnsi="Times New Roman"/>
          <w:color w:val="002060"/>
        </w:rPr>
      </w:pPr>
    </w:p>
    <w:p w14:paraId="7619BDF9" w14:textId="77777777" w:rsidR="00F23387" w:rsidRPr="00F23387" w:rsidRDefault="00F23387" w:rsidP="00F23387">
      <w:pPr>
        <w:spacing w:before="80" w:after="80"/>
        <w:ind w:left="360"/>
        <w:rPr>
          <w:rFonts w:ascii="Times New Roman" w:eastAsia="DengXian" w:hAnsi="Times New Roman"/>
          <w:color w:val="002060"/>
        </w:rPr>
      </w:pPr>
      <w:r w:rsidRPr="00F23387">
        <w:rPr>
          <w:rFonts w:ascii="Times New Roman" w:eastAsia="DengXian" w:hAnsi="Times New Roman"/>
          <w:color w:val="002060"/>
        </w:rPr>
        <w:t>The work is subject to the following constraints:</w:t>
      </w:r>
    </w:p>
    <w:p w14:paraId="5499E581" w14:textId="77777777" w:rsidR="00F23387" w:rsidRPr="00F23387" w:rsidRDefault="00F23387" w:rsidP="00F23387">
      <w:pPr>
        <w:spacing w:before="80" w:after="80"/>
        <w:ind w:left="360"/>
        <w:rPr>
          <w:rFonts w:ascii="Times New Roman" w:eastAsia="DengXian" w:hAnsi="Times New Roman"/>
          <w:b/>
          <w:bCs/>
          <w:color w:val="002060"/>
          <w:u w:val="single"/>
        </w:rPr>
      </w:pPr>
      <w:r w:rsidRPr="00F23387">
        <w:rPr>
          <w:rFonts w:ascii="Times New Roman" w:eastAsia="DengXian" w:hAnsi="Times New Roman"/>
          <w:b/>
          <w:bCs/>
          <w:color w:val="002060"/>
          <w:u w:val="single"/>
        </w:rPr>
        <w:t>RAN1</w:t>
      </w:r>
    </w:p>
    <w:p w14:paraId="2F065D02"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The objective includes specification of necessary power control and collision handling procedures between intermediate UE and BS.</w:t>
      </w:r>
    </w:p>
    <w:p w14:paraId="222AD2B8"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No physical layer impact for signaling A-IoT resources to the intermediate UE.</w:t>
      </w:r>
    </w:p>
    <w:p w14:paraId="5FE2B123"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No additional specification change on R2D and D2R for Device 1 in Rel-20</w:t>
      </w:r>
    </w:p>
    <w:p w14:paraId="16B272D2" w14:textId="77777777" w:rsidR="00F23387" w:rsidRPr="00F23387" w:rsidRDefault="00F23387" w:rsidP="00F23387">
      <w:pPr>
        <w:spacing w:before="80" w:after="80"/>
        <w:ind w:left="360"/>
        <w:rPr>
          <w:rFonts w:ascii="Times New Roman" w:eastAsia="DengXian" w:hAnsi="Times New Roman"/>
          <w:color w:val="002060"/>
        </w:rPr>
      </w:pPr>
      <w:r w:rsidRPr="00F23387">
        <w:rPr>
          <w:rFonts w:ascii="Times New Roman" w:eastAsia="DengXian" w:hAnsi="Times New Roman"/>
          <w:b/>
          <w:bCs/>
          <w:color w:val="002060"/>
          <w:u w:val="single"/>
        </w:rPr>
        <w:t>RAN2</w:t>
      </w:r>
    </w:p>
    <w:p w14:paraId="56EB935E"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The objective includes specification of necessary Uu procedures to enable the A-IoT operations.</w:t>
      </w:r>
    </w:p>
    <w:p w14:paraId="26815604"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RRC CONNECTED UE reader only, including RLF and handover, without specific enhancement for other temporary out-of-connection scenarios.</w:t>
      </w:r>
    </w:p>
    <w:p w14:paraId="4ACD9B43"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A-IoT radio resource of the UE reader is only valid within the serving cell.</w:t>
      </w:r>
    </w:p>
    <w:p w14:paraId="4CCA41F0" w14:textId="77777777" w:rsidR="00F23387" w:rsidRPr="00F23387" w:rsidRDefault="00F23387" w:rsidP="00F23387">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Resource allocation to the UE Reader shall be via Uu RRC signaling.</w:t>
      </w:r>
    </w:p>
    <w:p w14:paraId="065083E9" w14:textId="77777777" w:rsidR="00F23387" w:rsidRPr="00F23387" w:rsidRDefault="00F23387" w:rsidP="00F23387">
      <w:pPr>
        <w:spacing w:before="80" w:after="80"/>
        <w:ind w:left="360"/>
        <w:rPr>
          <w:rFonts w:ascii="Times New Roman" w:eastAsia="DengXian" w:hAnsi="Times New Roman"/>
          <w:b/>
          <w:bCs/>
          <w:color w:val="002060"/>
          <w:u w:val="single"/>
        </w:rPr>
      </w:pPr>
      <w:r w:rsidRPr="00F23387">
        <w:rPr>
          <w:rFonts w:ascii="Times New Roman" w:eastAsia="DengXian" w:hAnsi="Times New Roman"/>
          <w:b/>
          <w:bCs/>
          <w:color w:val="002060"/>
          <w:u w:val="single"/>
        </w:rPr>
        <w:lastRenderedPageBreak/>
        <w:t>RAN3</w:t>
      </w:r>
    </w:p>
    <w:p w14:paraId="59E12E73"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Specify signaling for Topology 2</w:t>
      </w:r>
    </w:p>
    <w:p w14:paraId="2EBFE372"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The objective includes specification of UE reader authorization, including F1AP support, and UE reader selection.</w:t>
      </w:r>
    </w:p>
    <w:p w14:paraId="128554F3" w14:textId="77777777" w:rsidR="00F23387" w:rsidRPr="00F23387" w:rsidRDefault="00F23387" w:rsidP="00F23387">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NOTE: F1AP/XnAP/NGAP impact is expected to be minimized.</w:t>
      </w:r>
    </w:p>
    <w:p w14:paraId="20189B29" w14:textId="77777777" w:rsidR="00F23387" w:rsidRPr="00F23387" w:rsidRDefault="00F23387" w:rsidP="00F23387">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Inter-gNB resource coordination is not specified.</w:t>
      </w:r>
    </w:p>
    <w:p w14:paraId="6B05462A" w14:textId="77777777" w:rsidR="00F23387" w:rsidRPr="00F23387" w:rsidRDefault="00F23387" w:rsidP="00F23387">
      <w:pPr>
        <w:pStyle w:val="ListParagraph"/>
        <w:numPr>
          <w:ilvl w:val="0"/>
          <w:numId w:val="14"/>
        </w:numPr>
        <w:ind w:firstLineChars="0"/>
        <w:rPr>
          <w:rFonts w:eastAsia="DengXian"/>
          <w:color w:val="002060"/>
          <w:sz w:val="20"/>
          <w:szCs w:val="20"/>
        </w:rPr>
      </w:pPr>
      <w:r w:rsidRPr="00F23387">
        <w:rPr>
          <w:rFonts w:eastAsia="DengXian"/>
          <w:color w:val="002060"/>
          <w:sz w:val="20"/>
          <w:szCs w:val="20"/>
        </w:rPr>
        <w:t>Specify the necessary signaling support for inter-gNB RRC-connected UE Reader Mobility</w:t>
      </w:r>
    </w:p>
    <w:p w14:paraId="3906BD17" w14:textId="77777777" w:rsidR="00F23387" w:rsidRPr="00117327" w:rsidRDefault="00F23387" w:rsidP="00117327"/>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67D6404D" w14:textId="37D05014" w:rsidR="00DB5364" w:rsidRDefault="00F23387" w:rsidP="00F23387">
      <w:pPr>
        <w:pStyle w:val="Heading2"/>
      </w:pPr>
      <w:r>
        <w:t>2.1</w:t>
      </w:r>
      <w:r>
        <w:tab/>
        <w:t>Applicability of solutions specified for Topology 1</w:t>
      </w:r>
    </w:p>
    <w:p w14:paraId="144089AB" w14:textId="5663AD7E" w:rsidR="00F23387" w:rsidRDefault="00F23387" w:rsidP="00DB5364">
      <w:r>
        <w:t>Given the expectation that the RAN3 part should minimize impact on respective interfaces, and following also expectations discussed during the study</w:t>
      </w:r>
      <w:r w:rsidR="006C6AAB">
        <w:t xml:space="preserve"> </w:t>
      </w:r>
      <w:r w:rsidR="00085B6A">
        <w:t xml:space="preserve">for the RRC-based solution </w:t>
      </w:r>
      <w:r w:rsidR="006C6AAB">
        <w:t>(see [2])</w:t>
      </w:r>
      <w:r>
        <w:t>, we would like to establish the following general direction for Rel-20 work on NGAP:</w:t>
      </w:r>
    </w:p>
    <w:p w14:paraId="0F61AC3B" w14:textId="4A221C92" w:rsidR="00F23387" w:rsidRDefault="00F23387" w:rsidP="00F23387">
      <w:pPr>
        <w:pStyle w:val="Eyecatcher"/>
      </w:pPr>
      <w:r>
        <w:t>Proposal 1:</w:t>
      </w:r>
      <w:r>
        <w:tab/>
        <w:t xml:space="preserve">If functional feasible, </w:t>
      </w:r>
      <w:r w:rsidR="006C6AAB">
        <w:t xml:space="preserve">architectural principles and </w:t>
      </w:r>
      <w:r>
        <w:t xml:space="preserve">NGAP protocol functions specified for </w:t>
      </w:r>
      <w:r w:rsidR="006C6AAB">
        <w:t>Topology 1 will be specified to be applicable for Topology 2.</w:t>
      </w:r>
    </w:p>
    <w:p w14:paraId="6115F69E" w14:textId="0CDF91C1" w:rsidR="00113E3C" w:rsidRDefault="00D67458" w:rsidP="00DB5364">
      <w:r>
        <w:t>Applicability of solutions developed for Topology 1</w:t>
      </w:r>
      <w:r w:rsidR="00113E3C">
        <w:t xml:space="preserve"> to Topology 2 </w:t>
      </w:r>
      <w:r>
        <w:t xml:space="preserve"> is dependent on the expectations in which way Topology 2 is used. Main differentiating factor is whether we expect from AIoT RAN solutions using Topology 2</w:t>
      </w:r>
      <w:r w:rsidR="00113E3C">
        <w:t xml:space="preserve"> to provide AIoT services in a contiguous area, which would require a well-planned network setup throughout the projected AIoT service area by means of fixed-installed UE readers ("fixed UE readers"), or whether UE readers are used as handheld devices ("mobile UE readers"</w:t>
      </w:r>
      <w:r w:rsidR="00070CD9">
        <w:t>).</w:t>
      </w:r>
    </w:p>
    <w:p w14:paraId="6C7D02B6" w14:textId="5A8F27D6" w:rsidR="00070CD9" w:rsidRDefault="00070CD9" w:rsidP="00070CD9">
      <w:pPr>
        <w:pStyle w:val="Eyecatcher"/>
      </w:pPr>
      <w:r>
        <w:t>Observation 2:</w:t>
      </w:r>
      <w:r>
        <w:tab/>
        <w:t>It is likely that discussions on Topology 2 would need to take into account different deployment scenarios, like "fixed UE readers" and "mobile UE readers".</w:t>
      </w:r>
    </w:p>
    <w:p w14:paraId="3999E678" w14:textId="77777777" w:rsidR="00070CD9" w:rsidRDefault="00070CD9" w:rsidP="00070CD9">
      <w:r>
        <w:t>Further input to discussions can be found in the WI description [1]:</w:t>
      </w:r>
    </w:p>
    <w:p w14:paraId="397F55A6" w14:textId="77777777" w:rsidR="00085B6A" w:rsidRPr="00F23387" w:rsidRDefault="00085B6A" w:rsidP="00085B6A">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Representative use cases rUC1 (indoor inventory) and rUC4 (indoor command).</w:t>
      </w:r>
    </w:p>
    <w:p w14:paraId="795C2478" w14:textId="432DC633" w:rsidR="00070CD9" w:rsidRDefault="00085B6A" w:rsidP="00085B6A">
      <w:pPr>
        <w:pStyle w:val="Eyecatcher"/>
      </w:pPr>
      <w:r>
        <w:t>Observation 3:</w:t>
      </w:r>
      <w:r>
        <w:tab/>
      </w:r>
      <w:r w:rsidR="00070CD9">
        <w:t>Only indoor deployment scenarios are considered</w:t>
      </w:r>
    </w:p>
    <w:p w14:paraId="1DEB7E18" w14:textId="77777777" w:rsidR="00085B6A" w:rsidRPr="00F23387" w:rsidRDefault="00085B6A" w:rsidP="00085B6A">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The following are not supported:</w:t>
      </w:r>
    </w:p>
    <w:p w14:paraId="6E5126CC" w14:textId="77777777" w:rsidR="00085B6A" w:rsidRPr="00F23387" w:rsidRDefault="00085B6A" w:rsidP="00085B6A">
      <w:pPr>
        <w:numPr>
          <w:ilvl w:val="1"/>
          <w:numId w:val="14"/>
        </w:numPr>
        <w:spacing w:before="80" w:after="80"/>
        <w:rPr>
          <w:rFonts w:ascii="Times New Roman" w:eastAsia="DengXian" w:hAnsi="Times New Roman"/>
          <w:color w:val="002060"/>
        </w:rPr>
      </w:pPr>
      <w:r w:rsidRPr="00F23387">
        <w:rPr>
          <w:rFonts w:ascii="Times New Roman" w:eastAsia="DengXian" w:hAnsi="Times New Roman"/>
          <w:color w:val="002060"/>
        </w:rPr>
        <w:t>Coordination between UEs operating as UE readers</w:t>
      </w:r>
    </w:p>
    <w:p w14:paraId="3DAA62FD" w14:textId="38A04667" w:rsidR="00085B6A" w:rsidRDefault="00085B6A" w:rsidP="00085B6A">
      <w:pPr>
        <w:pStyle w:val="Eyecatcher"/>
      </w:pPr>
      <w:r>
        <w:t>Observation 4:</w:t>
      </w:r>
      <w:r>
        <w:tab/>
        <w:t>Like for Topology 1, the gNB needs to coordinate allocation of AIoT radio resources among readers.</w:t>
      </w:r>
    </w:p>
    <w:p w14:paraId="50EF261E" w14:textId="77777777" w:rsidR="00085B6A" w:rsidRPr="00F23387" w:rsidRDefault="00085B6A" w:rsidP="00085B6A">
      <w:pPr>
        <w:numPr>
          <w:ilvl w:val="0"/>
          <w:numId w:val="14"/>
        </w:numPr>
        <w:spacing w:before="80" w:after="80"/>
        <w:rPr>
          <w:rFonts w:ascii="Times New Roman" w:eastAsia="DengXian" w:hAnsi="Times New Roman"/>
          <w:color w:val="002060"/>
        </w:rPr>
      </w:pPr>
      <w:r w:rsidRPr="00F23387">
        <w:rPr>
          <w:rFonts w:ascii="Times New Roman" w:eastAsia="DengXian" w:hAnsi="Times New Roman"/>
          <w:color w:val="002060"/>
        </w:rPr>
        <w:t>Inter-gNB resource coordination is not specified.</w:t>
      </w:r>
    </w:p>
    <w:p w14:paraId="7B1C1284" w14:textId="0E242AF9" w:rsidR="00085B6A" w:rsidRDefault="00085B6A" w:rsidP="00085B6A">
      <w:pPr>
        <w:pStyle w:val="Eyecatcher"/>
      </w:pPr>
      <w:r>
        <w:t>Observation 5:</w:t>
      </w:r>
      <w:r>
        <w:tab/>
        <w:t>No XnAP protocol functions needed for coordination of A-IoT radio resources.</w:t>
      </w:r>
    </w:p>
    <w:p w14:paraId="28EE0411" w14:textId="77777777" w:rsidR="00855F04" w:rsidRDefault="00855F04" w:rsidP="00855F04">
      <w:pPr>
        <w:pStyle w:val="Eyecatcher"/>
      </w:pPr>
      <w:r>
        <w:t>Proposal 6:</w:t>
      </w:r>
      <w:r>
        <w:tab/>
        <w:t>Acknowledge the deployment scenarios of (1) "fixed UE reader" assuming a well-planned network setup throughout the projected AIoT service area and (2) "mobile UE reader" assuming handheld devices.</w:t>
      </w:r>
    </w:p>
    <w:p w14:paraId="489ADCD1" w14:textId="344D4AF2" w:rsidR="00085B6A" w:rsidRDefault="00085B6A" w:rsidP="00085B6A">
      <w:pPr>
        <w:pStyle w:val="Heading2"/>
      </w:pPr>
      <w:r>
        <w:t>2.2</w:t>
      </w:r>
      <w:r>
        <w:tab/>
        <w:t>Support of "fixed UE reader" deployments</w:t>
      </w:r>
    </w:p>
    <w:p w14:paraId="148B9B25" w14:textId="59F7E711" w:rsidR="000A4A5B" w:rsidRDefault="000A4A5B" w:rsidP="00085B6A">
      <w:r>
        <w:t xml:space="preserve">Following discussions on the "RRC-solution" for Topology 2, we can see that from an AIOTF point of view, there is no difference in requesting inventory or inventory&amp;command in a certain area with either Topology 1 or Topology 2 deployment (or even in mixed scenarios). We believe that it is common understanding that all </w:t>
      </w:r>
      <w:r w:rsidR="00C56182">
        <w:t>AIoT-operation</w:t>
      </w:r>
      <w:r>
        <w:t xml:space="preserve"> specific NGAP protocol solutions specified in NGAP can be re-used in case of "fixed UE reader " deployments.</w:t>
      </w:r>
    </w:p>
    <w:p w14:paraId="1A7D634E" w14:textId="77777777" w:rsidR="000A4A5B" w:rsidRDefault="000A4A5B" w:rsidP="00085B6A">
      <w:r>
        <w:lastRenderedPageBreak/>
        <w:t>One aspect on "fixed UE reader" deployments to be discussed is related to operational states of UE readers and applicability of OAM requirements made for Topology 1:</w:t>
      </w:r>
    </w:p>
    <w:p w14:paraId="629D79D2" w14:textId="3B29B5ED" w:rsidR="000A4A5B" w:rsidRDefault="000A4A5B" w:rsidP="000A4A5B">
      <w:pPr>
        <w:pStyle w:val="B1"/>
      </w:pPr>
      <w:r>
        <w:t>-</w:t>
      </w:r>
      <w:r>
        <w:tab/>
        <w:t xml:space="preserve"> In Topology 1 we have assumed that OAM at RAN and AIOTF is configured with </w:t>
      </w:r>
      <w:r w:rsidR="00C83BD2">
        <w:t>the gNB's served readers, their identity and location and mapping to AIoT Area IDs. If there is a common understanding, that "fixed UE reader" deployments would need well planned network setup as for topology 1, then we can further agree on the following:</w:t>
      </w:r>
    </w:p>
    <w:p w14:paraId="69987A34" w14:textId="1668524B" w:rsidR="00C83BD2" w:rsidRDefault="00C83BD2" w:rsidP="00C83BD2">
      <w:pPr>
        <w:pStyle w:val="Eyecatcher"/>
      </w:pPr>
      <w:r>
        <w:t>Proposal 7:</w:t>
      </w:r>
      <w:r>
        <w:tab/>
        <w:t xml:space="preserve">Agree that for "fixed UE reader" deployments, the gNB and the AIOTF are configured with the UE readers' IDs, their location and mapping to AIOT Area IDs. </w:t>
      </w:r>
    </w:p>
    <w:p w14:paraId="28E3EE84" w14:textId="4A352528" w:rsidR="00EE7468" w:rsidRDefault="00C83BD2" w:rsidP="00C83BD2">
      <w:pPr>
        <w:pStyle w:val="B1"/>
      </w:pPr>
      <w:r>
        <w:t>-</w:t>
      </w:r>
      <w:r>
        <w:tab/>
        <w:t>Further, regarding the operational state of "fixed UE Readers", the above mentioned OAM assumptions would require UE readers to be in RRC_CONNECTED during AIOT operation. In general, whenever the AIOTF assumes the availability of AIoT service provision in a certain area, the "fixed UE readers" would need to be "ready" to provide such service.</w:t>
      </w:r>
      <w:r>
        <w:br/>
        <w:t xml:space="preserve">In our view, such "ready" state of "fixed UE readers", that is known to the network  would require </w:t>
      </w:r>
      <w:r w:rsidR="00EE7468">
        <w:t>an implementation specific solution that "switches on" a network constitute</w:t>
      </w:r>
      <w:r w:rsidR="00C56182">
        <w:t>d</w:t>
      </w:r>
      <w:r w:rsidR="00EE7468">
        <w:t xml:space="preserve"> of "fixed UE readers" which is outside 3GPP specification work.</w:t>
      </w:r>
    </w:p>
    <w:p w14:paraId="2D9BF9A4" w14:textId="3DDB5614" w:rsidR="00EE7468" w:rsidRDefault="00EE7468" w:rsidP="00C83BD2">
      <w:pPr>
        <w:pStyle w:val="B1"/>
      </w:pPr>
      <w:r>
        <w:t>-</w:t>
      </w:r>
      <w:r>
        <w:tab/>
        <w:t>as a next item, we also consider the identification of "fixed UE readers"</w:t>
      </w:r>
      <w:r w:rsidR="0014380A">
        <w:t xml:space="preserve"> for the sake of binding an AIoT operation with the UE specific RRC connection</w:t>
      </w:r>
      <w:r>
        <w:t xml:space="preserve"> at their serving gNB</w:t>
      </w:r>
      <w:r w:rsidR="0014380A">
        <w:t xml:space="preserve">. </w:t>
      </w:r>
      <w:r w:rsidR="00C56182">
        <w:t>One straight forward solution would be to rely on AIoT Area ID only when indicating the Requested Service Area. Indicating the Requested Service Area on reader level, may need further protocol functions which we discuss for "mobile UE readers"</w:t>
      </w:r>
    </w:p>
    <w:p w14:paraId="28DE49A6" w14:textId="240BA0C2" w:rsidR="00C83BD2" w:rsidRDefault="00C83BD2" w:rsidP="00C83BD2">
      <w:pPr>
        <w:pStyle w:val="Eyecatcher"/>
      </w:pPr>
      <w:r>
        <w:t>Proposal 8:</w:t>
      </w:r>
      <w:r>
        <w:tab/>
      </w:r>
      <w:r w:rsidR="00EE7468">
        <w:t>How "fixed UE readers" enter an operational state that allow AIOTF- and RAN-OAM to be aware of their availability for AIoT service provision is outside 3GPP specification work.</w:t>
      </w:r>
    </w:p>
    <w:p w14:paraId="725D6AF6" w14:textId="0CB64A22" w:rsidR="00EE7468" w:rsidRDefault="00EE7468" w:rsidP="00C83BD2">
      <w:pPr>
        <w:pStyle w:val="Eyecatcher"/>
      </w:pPr>
      <w:r>
        <w:t>Proposal 9:</w:t>
      </w:r>
      <w:r>
        <w:tab/>
      </w:r>
      <w:r w:rsidR="00C56182">
        <w:t xml:space="preserve">Acknowledge that indicating the Requested Service Area on AIoT Area ID level only would not require any </w:t>
      </w:r>
      <w:r w:rsidR="00613111">
        <w:t>protocol extension for "fixed UE readers".</w:t>
      </w:r>
    </w:p>
    <w:p w14:paraId="78162C11" w14:textId="6BD7A3D7" w:rsidR="00085B6A" w:rsidRDefault="00EE7468" w:rsidP="00085B6A">
      <w:r>
        <w:t>Given the approach above, re-using "UE Reader ID" and "AIoT Area ID" and applying OAM requirements for "fixed UE reader" deployments is possible.</w:t>
      </w:r>
      <w:r w:rsidR="007C6228">
        <w:t xml:space="preserve"> This also includes the agreement not to exchange e.g. reader lists</w:t>
      </w:r>
      <w:r w:rsidR="00613111">
        <w:t xml:space="preserve"> </w:t>
      </w:r>
      <w:r w:rsidR="007C6228">
        <w:t>by means of NG interface management procedures.</w:t>
      </w:r>
    </w:p>
    <w:p w14:paraId="2A886CC5" w14:textId="0066D253" w:rsidR="00085B6A" w:rsidRDefault="00085B6A" w:rsidP="00085B6A">
      <w:pPr>
        <w:pStyle w:val="Heading2"/>
      </w:pPr>
      <w:r>
        <w:t>2.3</w:t>
      </w:r>
      <w:r>
        <w:tab/>
        <w:t>Support of "mobile UE reader" deployments</w:t>
      </w:r>
    </w:p>
    <w:p w14:paraId="3F281F14" w14:textId="77777777" w:rsidR="007C6228" w:rsidRDefault="007C6228" w:rsidP="00085B6A">
      <w:r>
        <w:t>We acknowledge the use-case of "mobile UE reader" deployments under the following assumptions, which can be derived from principles assumed for topology 1 and constraints captured in the WID [1]:</w:t>
      </w:r>
    </w:p>
    <w:p w14:paraId="6611B69E" w14:textId="77777777" w:rsidR="007C6228" w:rsidRDefault="007C6228" w:rsidP="007C6228">
      <w:pPr>
        <w:pStyle w:val="B1"/>
      </w:pPr>
      <w:r>
        <w:t xml:space="preserve"> -</w:t>
      </w:r>
      <w:r>
        <w:tab/>
        <w:t>how the gNB co-ordinates the usage of AIoT radio resources among different types of readers is a matter of deplyoment/implementation</w:t>
      </w:r>
    </w:p>
    <w:p w14:paraId="14F060AD" w14:textId="4CEE1E4D" w:rsidR="0014380A" w:rsidRDefault="0014380A" w:rsidP="007C6228">
      <w:pPr>
        <w:pStyle w:val="B1"/>
      </w:pPr>
      <w:r>
        <w:t>-</w:t>
      </w:r>
      <w:r>
        <w:tab/>
        <w:t xml:space="preserve">A "mobile UE reader", assumed to be a handheld, </w:t>
      </w:r>
      <w:r w:rsidR="001B723B">
        <w:t xml:space="preserve">probably </w:t>
      </w:r>
      <w:r>
        <w:t xml:space="preserve">human operated device, enters an operational state by means of </w:t>
      </w:r>
      <w:r w:rsidR="001B723B">
        <w:t>UE reader initiated activity on application level</w:t>
      </w:r>
      <w:r>
        <w:t xml:space="preserve"> i.e. NGAP protocol functions can be applicable for such readers as well</w:t>
      </w:r>
      <w:r w:rsidR="001B723B">
        <w:t>, as they are ultimately triggered by the Application Function (AF) which triggers the AIOTF</w:t>
      </w:r>
      <w:r>
        <w:t>.</w:t>
      </w:r>
      <w:r w:rsidR="00CD4029">
        <w:t xml:space="preserve"> </w:t>
      </w:r>
    </w:p>
    <w:p w14:paraId="4A2CF52A" w14:textId="6A7A201E" w:rsidR="00333570" w:rsidRDefault="00333570" w:rsidP="00333570">
      <w:pPr>
        <w:pStyle w:val="Eyecatcher"/>
      </w:pPr>
      <w:r>
        <w:t>Proposal 10:</w:t>
      </w:r>
      <w:r>
        <w:tab/>
        <w:t>"</w:t>
      </w:r>
      <w:r w:rsidR="001B723B">
        <w:t>M</w:t>
      </w:r>
      <w:r>
        <w:t>obile UE readers"</w:t>
      </w:r>
      <w:r w:rsidR="001B723B">
        <w:t xml:space="preserve"> allow use of Topology 1 AIoT device related NGAP protocol functions</w:t>
      </w:r>
      <w:r>
        <w:t>.</w:t>
      </w:r>
    </w:p>
    <w:p w14:paraId="36BFBE98" w14:textId="0D626117" w:rsidR="0014380A" w:rsidRDefault="0014380A" w:rsidP="007C6228">
      <w:pPr>
        <w:pStyle w:val="B1"/>
      </w:pPr>
      <w:r>
        <w:t>-</w:t>
      </w:r>
      <w:r>
        <w:tab/>
      </w:r>
      <w:r w:rsidR="00CD4029">
        <w:t xml:space="preserve">Binding an AIoT operation triggered via NG to a </w:t>
      </w:r>
      <w:r w:rsidR="000C2635">
        <w:t>UE-associated/</w:t>
      </w:r>
      <w:r w:rsidR="00CD4029">
        <w:t xml:space="preserve">RRC signalling connection may </w:t>
      </w:r>
      <w:r w:rsidR="000C2635">
        <w:t xml:space="preserve">be achieved by means of AIOTF-AMF communication: </w:t>
      </w:r>
      <w:r w:rsidR="000C2635">
        <w:br/>
        <w:t xml:space="preserve">Dependent on discussions in SA2, we may assume either to receive a binding identifier within the UE-associated signalling from AMF (e.g. correlation ID or Reader ID) or within AIoT specific signalling from the AIOTF (e.g. AP IDs, TMSI). </w:t>
      </w:r>
    </w:p>
    <w:p w14:paraId="6312F421" w14:textId="6C4F3925" w:rsidR="00441671" w:rsidRDefault="00441671" w:rsidP="00441671">
      <w:pPr>
        <w:pStyle w:val="Eyecatcher"/>
      </w:pPr>
      <w:r>
        <w:t>Proposal 11:</w:t>
      </w:r>
      <w:r>
        <w:tab/>
        <w:t>Discuss how to bind an AIoT operation on NG to a</w:t>
      </w:r>
      <w:r w:rsidR="000C2635">
        <w:t xml:space="preserve"> UE-associated/</w:t>
      </w:r>
      <w:r>
        <w:t>RRC signalling connection</w:t>
      </w:r>
      <w:r w:rsidR="00855F04">
        <w:t>, e.g.</w:t>
      </w:r>
      <w:r>
        <w:t xml:space="preserve"> by means of an identifier provided by </w:t>
      </w:r>
      <w:r w:rsidR="000C2635">
        <w:t xml:space="preserve">either the AMF or </w:t>
      </w:r>
      <w:r>
        <w:t>the AIOTF via NGAP</w:t>
      </w:r>
      <w:r w:rsidR="000C2635">
        <w:t xml:space="preserve">. </w:t>
      </w:r>
      <w:r w:rsidR="001B723B">
        <w:t>It is expected that suc</w:t>
      </w:r>
      <w:r w:rsidR="000C2635">
        <w:t>h approach would involve at least SA2.</w:t>
      </w:r>
    </w:p>
    <w:p w14:paraId="50D4D123" w14:textId="77777777" w:rsidR="0057211D" w:rsidRDefault="0057211D" w:rsidP="0057211D">
      <w:r>
        <w:lastRenderedPageBreak/>
        <w:t>One aspect is on the level of support of mobility for "mobile UE readers". Given the assumption that</w:t>
      </w:r>
    </w:p>
    <w:p w14:paraId="152496C0" w14:textId="77777777" w:rsidR="0057211D" w:rsidRPr="00F23387" w:rsidRDefault="0057211D" w:rsidP="0057211D">
      <w:pPr>
        <w:numPr>
          <w:ilvl w:val="0"/>
          <w:numId w:val="14"/>
        </w:numPr>
        <w:spacing w:before="80" w:after="80"/>
        <w:ind w:hanging="357"/>
        <w:rPr>
          <w:rFonts w:ascii="Times New Roman" w:eastAsia="DengXian" w:hAnsi="Times New Roman"/>
          <w:color w:val="002060"/>
        </w:rPr>
      </w:pPr>
      <w:r w:rsidRPr="00F23387">
        <w:rPr>
          <w:rFonts w:ascii="Times New Roman" w:eastAsia="DengXian" w:hAnsi="Times New Roman"/>
          <w:color w:val="002060"/>
        </w:rPr>
        <w:t>A-IoT radio resource of the UE reader is only valid within the serving cell.</w:t>
      </w:r>
    </w:p>
    <w:p w14:paraId="52FED455" w14:textId="2FCDE435" w:rsidR="0057211D" w:rsidRDefault="0078566F" w:rsidP="0057211D">
      <w:r>
        <w:t xml:space="preserve">continuation </w:t>
      </w:r>
      <w:r w:rsidR="00855F04">
        <w:t xml:space="preserve">of </w:t>
      </w:r>
      <w:r>
        <w:t xml:space="preserve">A-IoT operation would need to stop once the mobile UE reader moves into another cell's area. </w:t>
      </w:r>
      <w:r w:rsidR="005E07F4">
        <w:t xml:space="preserve">For intra-gNB scenarios, the gNB could re-issue A-IoT resource provision, if the UE reader is still in the area where it is allowed to operate. For indoor-scenarios we rule out inter-gNB mobility </w:t>
      </w:r>
      <w:r w:rsidR="00855F04">
        <w:t>(</w:t>
      </w:r>
      <w:r w:rsidR="005E07F4">
        <w:t>and the nice playground that would open widely for possible though not necessarily essential optimisations</w:t>
      </w:r>
      <w:r w:rsidR="00855F04">
        <w:t>)</w:t>
      </w:r>
      <w:r w:rsidR="005E07F4">
        <w:t>.</w:t>
      </w:r>
    </w:p>
    <w:p w14:paraId="69B60BF7" w14:textId="654EBFDC" w:rsidR="0057211D" w:rsidRDefault="0057211D" w:rsidP="0057211D">
      <w:pPr>
        <w:pStyle w:val="Eyecatcher"/>
      </w:pPr>
      <w:r>
        <w:t>Proposal 12:</w:t>
      </w:r>
      <w:r>
        <w:tab/>
      </w:r>
      <w:r w:rsidR="005E07F4">
        <w:t xml:space="preserve">Rel-20 assumptions for Topology </w:t>
      </w:r>
      <w:r w:rsidR="00855F04">
        <w:t xml:space="preserve">2 </w:t>
      </w:r>
      <w:r w:rsidR="005E07F4">
        <w:t>regarding</w:t>
      </w:r>
      <w:r w:rsidR="00855F04">
        <w:t xml:space="preserve"> inter-cell</w:t>
      </w:r>
      <w:r w:rsidR="005E07F4">
        <w:t xml:space="preserve"> mobility do not seem to result in the necessity for introducing AIoT protocol elements on Xn</w:t>
      </w:r>
      <w:r>
        <w:t>.</w:t>
      </w:r>
    </w:p>
    <w:p w14:paraId="12F34989" w14:textId="2008B346" w:rsidR="00333570" w:rsidRDefault="00333570" w:rsidP="00333570">
      <w:pPr>
        <w:pStyle w:val="Heading2"/>
      </w:pPr>
      <w:r>
        <w:t>2.3</w:t>
      </w:r>
      <w:r>
        <w:tab/>
      </w:r>
      <w:r w:rsidR="00441671">
        <w:t>Authorisation of "UE readers"</w:t>
      </w:r>
    </w:p>
    <w:p w14:paraId="1A58BE13" w14:textId="6A60A014" w:rsidR="00333570" w:rsidRDefault="00441671" w:rsidP="00333570">
      <w:r>
        <w:t>It is assumed that the gNB would need to know whether a UE</w:t>
      </w:r>
      <w:r w:rsidR="00480783">
        <w:t xml:space="preserve"> is allowed to consume AIoT radio resources. As a first guess, we would assume that this follows "authorisation" signalling as introduced for other features</w:t>
      </w:r>
      <w:r w:rsidR="005E07F4">
        <w:t xml:space="preserve"> on NG</w:t>
      </w:r>
      <w:r w:rsidR="00480783">
        <w:t xml:space="preserve">. </w:t>
      </w:r>
      <w:r w:rsidR="00855F04">
        <w:t>We have discussed that we do not see any need on the Xn interface. Regarding F1, as hinted in the WID [1], we would like to understand why this was included.</w:t>
      </w:r>
    </w:p>
    <w:p w14:paraId="08517BCC" w14:textId="07878128" w:rsidR="00237F7C" w:rsidRDefault="00237F7C" w:rsidP="00237F7C">
      <w:pPr>
        <w:pStyle w:val="Eyecatcher"/>
      </w:pPr>
      <w:r>
        <w:t>Proposal</w:t>
      </w:r>
      <w:r w:rsidR="00480783">
        <w:t xml:space="preserve"> 1</w:t>
      </w:r>
      <w:r w:rsidR="00855F04">
        <w:t>3</w:t>
      </w:r>
      <w:r>
        <w:t>:</w:t>
      </w:r>
      <w:r>
        <w:tab/>
      </w:r>
      <w:r w:rsidR="00C56182">
        <w:t xml:space="preserve">Introduce "Authorisation" information </w:t>
      </w:r>
      <w:r w:rsidR="005E07F4">
        <w:t>within NGAP UE Context related procedures</w:t>
      </w:r>
      <w:r w:rsidR="00C56182">
        <w:t xml:space="preserve"> following equivalent protocol functions introduced for other features.</w:t>
      </w:r>
    </w:p>
    <w:p w14:paraId="3906E886" w14:textId="77777777" w:rsidR="00237F7C" w:rsidRPr="00DB5364" w:rsidRDefault="00237F7C" w:rsidP="00DB5364"/>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4E7EBC40" w14:textId="7DEB886F" w:rsidR="00D80F19" w:rsidRDefault="00DC3ABD" w:rsidP="00D80F19">
      <w:r>
        <w:t>We have discussed basic principles for work on Topology 2 in RAN3 along the following observations and proposals:</w:t>
      </w:r>
    </w:p>
    <w:p w14:paraId="123006D9" w14:textId="047B3588" w:rsidR="00DC3ABD" w:rsidRDefault="00DC3ABD" w:rsidP="00DC3ABD">
      <w:pPr>
        <w:pStyle w:val="Eyecatcher"/>
      </w:pPr>
      <w:r>
        <w:t>Proposal 1:</w:t>
      </w:r>
      <w:r>
        <w:tab/>
        <w:t>If functional</w:t>
      </w:r>
      <w:r w:rsidR="00855F04">
        <w:t>ly</w:t>
      </w:r>
      <w:r>
        <w:t xml:space="preserve"> feasible, architectural principles and NGAP protocol functions specified for Topology 1 will be specified to be applicable for Topology 2</w:t>
      </w:r>
      <w:r w:rsidR="00855F04">
        <w:t xml:space="preserve"> as well</w:t>
      </w:r>
      <w:r>
        <w:t>.</w:t>
      </w:r>
    </w:p>
    <w:p w14:paraId="244E835B" w14:textId="77777777" w:rsidR="0057211D" w:rsidRDefault="0057211D" w:rsidP="0057211D">
      <w:pPr>
        <w:pStyle w:val="Eyecatcher"/>
      </w:pPr>
      <w:r>
        <w:t>Observation 2:</w:t>
      </w:r>
      <w:r>
        <w:tab/>
        <w:t>It is likely that discussions on Topology 2 would need to take into account different deployment scenarios, like "fixed UE readers" and "mobile UE readers".</w:t>
      </w:r>
    </w:p>
    <w:p w14:paraId="28B1F106" w14:textId="77777777" w:rsidR="0057211D" w:rsidRDefault="0057211D" w:rsidP="0057211D">
      <w:pPr>
        <w:pStyle w:val="Eyecatcher"/>
      </w:pPr>
      <w:r>
        <w:t>Observation 3:</w:t>
      </w:r>
      <w:r>
        <w:tab/>
        <w:t>Only indoor deployment scenarios are considered</w:t>
      </w:r>
    </w:p>
    <w:p w14:paraId="18C8662B" w14:textId="77777777" w:rsidR="0057211D" w:rsidRDefault="0057211D" w:rsidP="0057211D">
      <w:pPr>
        <w:pStyle w:val="Eyecatcher"/>
      </w:pPr>
      <w:r>
        <w:t>Observation 4:</w:t>
      </w:r>
      <w:r>
        <w:tab/>
        <w:t>Like for Topology 1, the gNB needs to coordinate allocation of AIoT radio resources among readers.</w:t>
      </w:r>
    </w:p>
    <w:p w14:paraId="4B06994E" w14:textId="05C15C08" w:rsidR="0057211D" w:rsidRDefault="0057211D" w:rsidP="0057211D">
      <w:pPr>
        <w:pStyle w:val="Eyecatcher"/>
      </w:pPr>
      <w:r>
        <w:t>Observation 5:</w:t>
      </w:r>
      <w:r w:rsidR="00855F04">
        <w:tab/>
      </w:r>
      <w:r>
        <w:tab/>
        <w:t>No XnAP protocol functions needed for coordination of A-IoT radio resources.</w:t>
      </w:r>
    </w:p>
    <w:p w14:paraId="073500A9" w14:textId="3015E6A5" w:rsidR="0057211D" w:rsidRDefault="0057211D" w:rsidP="0057211D">
      <w:pPr>
        <w:pStyle w:val="Eyecatcher"/>
      </w:pPr>
      <w:r>
        <w:t>Proposal 6:</w:t>
      </w:r>
      <w:r>
        <w:tab/>
        <w:t>Acknowledge the deployment scenarios of (1) "fixed UE reader" assuming a well-planned network setup throughout the projected AIoT service area and (2) "mobile UE reader" assuming handheld devices.</w:t>
      </w:r>
    </w:p>
    <w:p w14:paraId="64F87C45" w14:textId="77777777" w:rsidR="0057211D" w:rsidRDefault="0057211D" w:rsidP="0057211D">
      <w:pPr>
        <w:pStyle w:val="Eyecatcher"/>
      </w:pPr>
      <w:r>
        <w:t>Proposal 7:</w:t>
      </w:r>
      <w:r>
        <w:tab/>
        <w:t xml:space="preserve">Agree that for "fixed UE reader" deployments, the gNB and the AIOTF are configured with the UE readers' IDs, their location and mapping to AIOT Area IDs. </w:t>
      </w:r>
    </w:p>
    <w:p w14:paraId="5D223992" w14:textId="77777777" w:rsidR="0057211D" w:rsidRDefault="0057211D" w:rsidP="0057211D">
      <w:pPr>
        <w:pStyle w:val="Eyecatcher"/>
      </w:pPr>
      <w:r>
        <w:t>Proposal 8:</w:t>
      </w:r>
      <w:r>
        <w:tab/>
        <w:t>How "fixed UE readers" enter an operational state that allow AIOTF- and RAN-OAM to be aware of their availability for AIoT service provision is outside 3GPP specification work.</w:t>
      </w:r>
    </w:p>
    <w:p w14:paraId="05078A2F" w14:textId="4E1EBFF0" w:rsidR="0057211D" w:rsidRDefault="0057211D" w:rsidP="0057211D">
      <w:pPr>
        <w:pStyle w:val="Eyecatcher"/>
      </w:pPr>
      <w:r>
        <w:t>Proposal 9:</w:t>
      </w:r>
      <w:r>
        <w:tab/>
        <w:t xml:space="preserve">Acknowledge that indicating the Requested Service Area on AIoT Area ID level only would not require any protocol extension for "fixed UE readers". </w:t>
      </w:r>
    </w:p>
    <w:p w14:paraId="7A160A7A" w14:textId="77777777" w:rsidR="00C55EB4" w:rsidRDefault="00C55EB4" w:rsidP="00C55EB4">
      <w:pPr>
        <w:pStyle w:val="Eyecatcher"/>
      </w:pPr>
      <w:r>
        <w:t>Proposal 10:</w:t>
      </w:r>
      <w:r>
        <w:tab/>
        <w:t>"Mobile UE readers" allow use of Topology 1 AIoT device related NGAP protocol functions.</w:t>
      </w:r>
    </w:p>
    <w:p w14:paraId="380659B2" w14:textId="77777777" w:rsidR="001B723B" w:rsidRDefault="001B723B" w:rsidP="001B723B">
      <w:pPr>
        <w:pStyle w:val="Eyecatcher"/>
      </w:pPr>
      <w:r>
        <w:t>Proposal 11:</w:t>
      </w:r>
      <w:r>
        <w:tab/>
        <w:t>Discuss how to bind an AIoT operation on NG to a UE-associated/RRC signalling connection, e.g. by means of an identifier provided by either the AMF or the AIOTF via NGAP. It is expected that such approach would involve at least SA2.</w:t>
      </w:r>
    </w:p>
    <w:p w14:paraId="1B41BACE" w14:textId="77777777" w:rsidR="000D6F1F" w:rsidRDefault="000D6F1F" w:rsidP="000D6F1F">
      <w:pPr>
        <w:pStyle w:val="Eyecatcher"/>
      </w:pPr>
      <w:r>
        <w:lastRenderedPageBreak/>
        <w:t>Proposal 12:</w:t>
      </w:r>
      <w:r>
        <w:tab/>
        <w:t>Rel-20 assumptions for Topology 2 regarding inter-cell mobility do not seem to result in the necessity for introducing AIoT protocol elements on Xn.</w:t>
      </w:r>
    </w:p>
    <w:p w14:paraId="64CE2C34" w14:textId="77777777" w:rsidR="00855F04" w:rsidRDefault="00855F04" w:rsidP="00855F04">
      <w:pPr>
        <w:pStyle w:val="Eyecatcher"/>
      </w:pPr>
      <w:r>
        <w:t>Proposal 13:</w:t>
      </w:r>
      <w:r>
        <w:tab/>
        <w:t>Introduce "Authorisation" information within NGAP UE Context related procedures following equivalent protocol functions introduced for other features.</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1572387B" w:rsidR="00CD7395" w:rsidRDefault="00CD7395" w:rsidP="00EF403A">
      <w:pPr>
        <w:pStyle w:val="Reference"/>
      </w:pPr>
      <w:r>
        <w:rPr>
          <w:rFonts w:eastAsia="SimSun" w:hint="eastAsia"/>
          <w:bCs/>
          <w:lang w:eastAsia="zh-CN"/>
        </w:rPr>
        <w:t>[1]</w:t>
      </w:r>
      <w:r>
        <w:rPr>
          <w:rFonts w:eastAsia="SimSun" w:hint="eastAsia"/>
          <w:bCs/>
          <w:lang w:eastAsia="zh-CN"/>
        </w:rPr>
        <w:tab/>
      </w:r>
      <w:r w:rsidR="00F23387">
        <w:rPr>
          <w:rFonts w:eastAsia="SimSun"/>
          <w:bCs/>
          <w:lang w:eastAsia="zh-CN"/>
        </w:rPr>
        <w:t xml:space="preserve">RP-252894 </w:t>
      </w:r>
      <w:r w:rsidR="00D80F19" w:rsidRPr="00F23387">
        <w:rPr>
          <w:rFonts w:eastAsia="SimSun"/>
          <w:bCs/>
          <w:lang w:eastAsia="zh-CN"/>
        </w:rPr>
        <w:t>"</w:t>
      </w:r>
      <w:r w:rsidR="00F23387" w:rsidRPr="00F23387">
        <w:rPr>
          <w:rFonts w:eastAsia="SimSun"/>
          <w:bCs/>
          <w:lang w:eastAsia="zh-CN"/>
        </w:rPr>
        <w:t>Revised WI: Solutions for Ambient IoT (Internet of Things) in NR Phase 2</w:t>
      </w:r>
      <w:r w:rsidR="00D80F19" w:rsidRPr="00F23387">
        <w:rPr>
          <w:rFonts w:eastAsia="SimSun"/>
          <w:bCs/>
          <w:lang w:eastAsia="zh-CN"/>
        </w:rPr>
        <w:t>"</w:t>
      </w:r>
      <w:bookmarkEnd w:id="23"/>
      <w:r w:rsidR="00F23387" w:rsidRPr="00F23387">
        <w:rPr>
          <w:rFonts w:eastAsia="SimSun"/>
          <w:bCs/>
          <w:lang w:eastAsia="zh-CN"/>
        </w:rPr>
        <w:t xml:space="preserve">, agreed at </w:t>
      </w:r>
      <w:r w:rsidR="00F23387">
        <w:t>RAN#109</w:t>
      </w:r>
    </w:p>
    <w:p w14:paraId="031CF86D" w14:textId="08BE99C0" w:rsidR="006C6AAB" w:rsidRPr="006763C7" w:rsidRDefault="006C6AAB" w:rsidP="00EF403A">
      <w:pPr>
        <w:pStyle w:val="Reference"/>
        <w:rPr>
          <w:rFonts w:eastAsia="SimSun"/>
          <w:lang w:eastAsia="zh-CN"/>
        </w:rPr>
      </w:pPr>
      <w:r>
        <w:t>[2]</w:t>
      </w:r>
      <w:r>
        <w:tab/>
        <w:t xml:space="preserve">TR 38.769 </w:t>
      </w:r>
      <w:r w:rsidRPr="00F23387">
        <w:rPr>
          <w:rFonts w:eastAsia="SimSun"/>
          <w:bCs/>
          <w:lang w:eastAsia="zh-CN"/>
        </w:rPr>
        <w:t>"</w:t>
      </w:r>
      <w:r>
        <w:rPr>
          <w:rFonts w:eastAsia="SimSun"/>
          <w:bCs/>
          <w:lang w:eastAsia="zh-CN"/>
        </w:rPr>
        <w:t>Study on solut</w:t>
      </w:r>
      <w:r w:rsidR="00480783">
        <w:rPr>
          <w:rFonts w:eastAsia="SimSun"/>
          <w:bCs/>
          <w:lang w:eastAsia="zh-CN"/>
        </w:rPr>
        <w:t>i</w:t>
      </w:r>
      <w:r>
        <w:rPr>
          <w:rFonts w:eastAsia="SimSun"/>
          <w:bCs/>
          <w:lang w:eastAsia="zh-CN"/>
        </w:rPr>
        <w:t>ons for Ambient IoT (Internet of Things) in NR</w:t>
      </w:r>
      <w:r w:rsidRPr="00F23387">
        <w:rPr>
          <w:rFonts w:eastAsia="SimSun"/>
          <w:bCs/>
          <w:lang w:eastAsia="zh-CN"/>
        </w:rPr>
        <w:t>"</w:t>
      </w:r>
      <w:r>
        <w:rPr>
          <w:rFonts w:eastAsia="SimSun"/>
          <w:bCs/>
          <w:lang w:eastAsia="zh-CN"/>
        </w:rPr>
        <w:t>, latest version</w:t>
      </w:r>
    </w:p>
    <w:sectPr w:rsidR="006C6AAB"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6AC" w14:textId="77777777" w:rsidR="00D90D01" w:rsidRDefault="00D90D01">
      <w:r>
        <w:separator/>
      </w:r>
    </w:p>
  </w:endnote>
  <w:endnote w:type="continuationSeparator" w:id="0">
    <w:p w14:paraId="7DB824E7"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54DA" w14:textId="77777777" w:rsidR="00D90D01" w:rsidRDefault="00D90D01">
      <w:r>
        <w:separator/>
      </w:r>
    </w:p>
  </w:footnote>
  <w:footnote w:type="continuationSeparator" w:id="0">
    <w:p w14:paraId="335B6AB7"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2"/>
  </w:num>
  <w:num w:numId="12" w16cid:durableId="536897276">
    <w:abstractNumId w:val="14"/>
  </w:num>
  <w:num w:numId="13" w16cid:durableId="1399549895">
    <w:abstractNumId w:val="11"/>
  </w:num>
  <w:num w:numId="14" w16cid:durableId="1566913393">
    <w:abstractNumId w:val="13"/>
  </w:num>
  <w:num w:numId="15" w16cid:durableId="13110147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0CD9"/>
    <w:rsid w:val="000719E7"/>
    <w:rsid w:val="00085B6A"/>
    <w:rsid w:val="000A05B2"/>
    <w:rsid w:val="000A0A38"/>
    <w:rsid w:val="000A4A5B"/>
    <w:rsid w:val="000B318F"/>
    <w:rsid w:val="000C2635"/>
    <w:rsid w:val="000C2BFF"/>
    <w:rsid w:val="000D6F1F"/>
    <w:rsid w:val="000D77DB"/>
    <w:rsid w:val="000F02C3"/>
    <w:rsid w:val="0010503B"/>
    <w:rsid w:val="00113E3C"/>
    <w:rsid w:val="00117327"/>
    <w:rsid w:val="00122EA7"/>
    <w:rsid w:val="00126984"/>
    <w:rsid w:val="0014380A"/>
    <w:rsid w:val="001601A9"/>
    <w:rsid w:val="00162A98"/>
    <w:rsid w:val="001634D2"/>
    <w:rsid w:val="001B723B"/>
    <w:rsid w:val="001D1142"/>
    <w:rsid w:val="001D3360"/>
    <w:rsid w:val="00203F86"/>
    <w:rsid w:val="002174CA"/>
    <w:rsid w:val="002177A7"/>
    <w:rsid w:val="002300C6"/>
    <w:rsid w:val="00230764"/>
    <w:rsid w:val="002336F5"/>
    <w:rsid w:val="00237F7C"/>
    <w:rsid w:val="00247F22"/>
    <w:rsid w:val="00257E42"/>
    <w:rsid w:val="00284417"/>
    <w:rsid w:val="00294C24"/>
    <w:rsid w:val="002A739F"/>
    <w:rsid w:val="002B54A1"/>
    <w:rsid w:val="00305FE0"/>
    <w:rsid w:val="00312F43"/>
    <w:rsid w:val="003229C8"/>
    <w:rsid w:val="00333570"/>
    <w:rsid w:val="00335217"/>
    <w:rsid w:val="003514CE"/>
    <w:rsid w:val="00362FD6"/>
    <w:rsid w:val="003658DB"/>
    <w:rsid w:val="00383916"/>
    <w:rsid w:val="00391D10"/>
    <w:rsid w:val="003A0811"/>
    <w:rsid w:val="003A6BAA"/>
    <w:rsid w:val="003A72C5"/>
    <w:rsid w:val="003A7669"/>
    <w:rsid w:val="003B1332"/>
    <w:rsid w:val="003B5037"/>
    <w:rsid w:val="003B602E"/>
    <w:rsid w:val="003D108B"/>
    <w:rsid w:val="003D15C1"/>
    <w:rsid w:val="003F04CA"/>
    <w:rsid w:val="003F438B"/>
    <w:rsid w:val="003F49ED"/>
    <w:rsid w:val="003F6D4D"/>
    <w:rsid w:val="00406142"/>
    <w:rsid w:val="00412C70"/>
    <w:rsid w:val="00431125"/>
    <w:rsid w:val="00436463"/>
    <w:rsid w:val="00440215"/>
    <w:rsid w:val="00440EB3"/>
    <w:rsid w:val="00441671"/>
    <w:rsid w:val="004475D4"/>
    <w:rsid w:val="00456756"/>
    <w:rsid w:val="00456836"/>
    <w:rsid w:val="00464F3D"/>
    <w:rsid w:val="00474F20"/>
    <w:rsid w:val="00480783"/>
    <w:rsid w:val="0048554E"/>
    <w:rsid w:val="00486CAA"/>
    <w:rsid w:val="0049743E"/>
    <w:rsid w:val="004A605A"/>
    <w:rsid w:val="004E3A07"/>
    <w:rsid w:val="004E3AF3"/>
    <w:rsid w:val="004F4425"/>
    <w:rsid w:val="00501135"/>
    <w:rsid w:val="00506D99"/>
    <w:rsid w:val="00507D9D"/>
    <w:rsid w:val="00523AA3"/>
    <w:rsid w:val="00536615"/>
    <w:rsid w:val="00543DB8"/>
    <w:rsid w:val="005475C5"/>
    <w:rsid w:val="005718AB"/>
    <w:rsid w:val="0057211D"/>
    <w:rsid w:val="00580121"/>
    <w:rsid w:val="005855D2"/>
    <w:rsid w:val="005A1D2C"/>
    <w:rsid w:val="005B14C0"/>
    <w:rsid w:val="005C1208"/>
    <w:rsid w:val="005D0EC8"/>
    <w:rsid w:val="005D43DF"/>
    <w:rsid w:val="005E07F4"/>
    <w:rsid w:val="005E193E"/>
    <w:rsid w:val="005E51D2"/>
    <w:rsid w:val="005E68AB"/>
    <w:rsid w:val="00604237"/>
    <w:rsid w:val="0060423C"/>
    <w:rsid w:val="006103E2"/>
    <w:rsid w:val="00612679"/>
    <w:rsid w:val="00613111"/>
    <w:rsid w:val="00617344"/>
    <w:rsid w:val="00620E77"/>
    <w:rsid w:val="00621D84"/>
    <w:rsid w:val="00622010"/>
    <w:rsid w:val="006264D8"/>
    <w:rsid w:val="00631729"/>
    <w:rsid w:val="00631954"/>
    <w:rsid w:val="006367F1"/>
    <w:rsid w:val="0064585D"/>
    <w:rsid w:val="00665891"/>
    <w:rsid w:val="00671A7F"/>
    <w:rsid w:val="006A4516"/>
    <w:rsid w:val="006A461D"/>
    <w:rsid w:val="006A4FF6"/>
    <w:rsid w:val="006A693D"/>
    <w:rsid w:val="006C0235"/>
    <w:rsid w:val="006C6AAB"/>
    <w:rsid w:val="006C7ADE"/>
    <w:rsid w:val="00707B18"/>
    <w:rsid w:val="007159BF"/>
    <w:rsid w:val="0073451F"/>
    <w:rsid w:val="007433DE"/>
    <w:rsid w:val="007466BD"/>
    <w:rsid w:val="0075406E"/>
    <w:rsid w:val="0078566F"/>
    <w:rsid w:val="0079087F"/>
    <w:rsid w:val="00796EFE"/>
    <w:rsid w:val="0079764C"/>
    <w:rsid w:val="007B42A3"/>
    <w:rsid w:val="007C6228"/>
    <w:rsid w:val="007D41E9"/>
    <w:rsid w:val="007F669C"/>
    <w:rsid w:val="00805AD4"/>
    <w:rsid w:val="008514ED"/>
    <w:rsid w:val="00853BBD"/>
    <w:rsid w:val="00855F04"/>
    <w:rsid w:val="00873094"/>
    <w:rsid w:val="00874E71"/>
    <w:rsid w:val="008755E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57FBC"/>
    <w:rsid w:val="00A71A00"/>
    <w:rsid w:val="00A72A5B"/>
    <w:rsid w:val="00A8073C"/>
    <w:rsid w:val="00A81F54"/>
    <w:rsid w:val="00A86D0B"/>
    <w:rsid w:val="00A97481"/>
    <w:rsid w:val="00AA22F9"/>
    <w:rsid w:val="00AA3AC6"/>
    <w:rsid w:val="00AB4E41"/>
    <w:rsid w:val="00AE2347"/>
    <w:rsid w:val="00AF1555"/>
    <w:rsid w:val="00AF1A71"/>
    <w:rsid w:val="00AF4A12"/>
    <w:rsid w:val="00AF780A"/>
    <w:rsid w:val="00B06C16"/>
    <w:rsid w:val="00B117E3"/>
    <w:rsid w:val="00B13580"/>
    <w:rsid w:val="00B15DB4"/>
    <w:rsid w:val="00B17533"/>
    <w:rsid w:val="00B231F4"/>
    <w:rsid w:val="00B31D70"/>
    <w:rsid w:val="00B329D3"/>
    <w:rsid w:val="00B532EB"/>
    <w:rsid w:val="00B56F1A"/>
    <w:rsid w:val="00B60F98"/>
    <w:rsid w:val="00B7329F"/>
    <w:rsid w:val="00B85C0E"/>
    <w:rsid w:val="00B86868"/>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55EB4"/>
    <w:rsid w:val="00C56182"/>
    <w:rsid w:val="00C61AA7"/>
    <w:rsid w:val="00C70DF4"/>
    <w:rsid w:val="00C778A5"/>
    <w:rsid w:val="00C83BD2"/>
    <w:rsid w:val="00CB5951"/>
    <w:rsid w:val="00CC1F81"/>
    <w:rsid w:val="00CD0FFD"/>
    <w:rsid w:val="00CD4029"/>
    <w:rsid w:val="00CD6923"/>
    <w:rsid w:val="00CD7395"/>
    <w:rsid w:val="00CE153C"/>
    <w:rsid w:val="00CE3F90"/>
    <w:rsid w:val="00CF0789"/>
    <w:rsid w:val="00D0317F"/>
    <w:rsid w:val="00D115B3"/>
    <w:rsid w:val="00D25476"/>
    <w:rsid w:val="00D371F0"/>
    <w:rsid w:val="00D53C0D"/>
    <w:rsid w:val="00D617F5"/>
    <w:rsid w:val="00D67458"/>
    <w:rsid w:val="00D67DC3"/>
    <w:rsid w:val="00D7590A"/>
    <w:rsid w:val="00D75F06"/>
    <w:rsid w:val="00D80F19"/>
    <w:rsid w:val="00D8543C"/>
    <w:rsid w:val="00D90D01"/>
    <w:rsid w:val="00D91A1D"/>
    <w:rsid w:val="00D9600A"/>
    <w:rsid w:val="00D971BA"/>
    <w:rsid w:val="00DB5364"/>
    <w:rsid w:val="00DB797B"/>
    <w:rsid w:val="00DC3007"/>
    <w:rsid w:val="00DC3ABD"/>
    <w:rsid w:val="00DC3BE7"/>
    <w:rsid w:val="00DC53D2"/>
    <w:rsid w:val="00DD35C8"/>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E7468"/>
    <w:rsid w:val="00EF0D35"/>
    <w:rsid w:val="00EF1C71"/>
    <w:rsid w:val="00EF291A"/>
    <w:rsid w:val="00EF403A"/>
    <w:rsid w:val="00F14B26"/>
    <w:rsid w:val="00F23387"/>
    <w:rsid w:val="00F31F35"/>
    <w:rsid w:val="00F34A82"/>
    <w:rsid w:val="00F6139A"/>
    <w:rsid w:val="00F6616C"/>
    <w:rsid w:val="00F812EA"/>
    <w:rsid w:val="00F92DEB"/>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rsid w:val="00F23387"/>
    <w:rPr>
      <w:sz w:val="16"/>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23387"/>
    <w:pPr>
      <w:overflowPunct/>
      <w:snapToGrid w:val="0"/>
      <w:ind w:firstLineChars="200" w:firstLine="420"/>
      <w:jc w:val="both"/>
      <w:textAlignment w:val="auto"/>
    </w:pPr>
    <w:rPr>
      <w:rFonts w:ascii="Times New Roman" w:eastAsia="SimSun" w:hAnsi="Times New Roman"/>
      <w:sz w:val="22"/>
      <w:szCs w:val="22"/>
      <w:lang w:val="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F23387"/>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3A7F2-4317-4B7D-8BD6-5D4B332978CC}">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d8762117-8292-4133-b1c7-eab5c6487cfd"/>
    <ds:schemaRef ds:uri="9b239327-9e80-40e4-b1b7-4394fed77a33"/>
    <ds:schemaRef ds:uri="http://purl.org/dc/terms/"/>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95F7D4C1-3C48-4E6D-8434-2915496D90AC}">
  <ds:schemaRefs>
    <ds:schemaRef ds:uri="http://schemas.microsoft.com/sharepoint/v3/contenttype/forms"/>
  </ds:schemaRefs>
</ds:datastoreItem>
</file>

<file path=customXml/itemProps3.xml><?xml version="1.0" encoding="utf-8"?>
<ds:datastoreItem xmlns:ds="http://schemas.openxmlformats.org/officeDocument/2006/customXml" ds:itemID="{89A3DDFB-7B95-4D97-AD4A-9D0E984F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5</Pages>
  <Words>1845</Words>
  <Characters>10522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129bis</vt:lpstr>
      <vt:lpstr>3GPP TSG-RAN WG3 Meeting #60</vt:lpstr>
    </vt:vector>
  </TitlesOfParts>
  <Company>Siemens AG</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129bis</dc:title>
  <dc:subject/>
  <dc:creator>Ericsson</dc:creator>
  <cp:keywords/>
  <cp:lastModifiedBy>Ericsson User</cp:lastModifiedBy>
  <cp:revision>12</cp:revision>
  <dcterms:created xsi:type="dcterms:W3CDTF">2025-10-02T05:23:00Z</dcterms:created>
  <dcterms:modified xsi:type="dcterms:W3CDTF">2025-10-02T18:47:00Z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