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1E401" w14:textId="3AD6054D" w:rsidR="00A755D2" w:rsidRPr="00201C3A"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sidR="002740A2">
        <w:rPr>
          <w:rFonts w:ascii="Arial" w:hAnsi="Arial" w:cs="Arial"/>
          <w:b/>
          <w:sz w:val="24"/>
          <w:szCs w:val="24"/>
        </w:rPr>
        <w:t>2</w:t>
      </w:r>
      <w:r w:rsidR="006B23AE">
        <w:rPr>
          <w:rFonts w:ascii="Arial" w:hAnsi="Arial" w:cs="Arial"/>
          <w:b/>
          <w:sz w:val="24"/>
          <w:szCs w:val="24"/>
        </w:rPr>
        <w:tab/>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t xml:space="preserve"> </w:t>
      </w:r>
      <w:r w:rsidR="00BE36EC" w:rsidRPr="00BE36EC">
        <w:rPr>
          <w:rFonts w:ascii="Arial" w:eastAsia="MS Mincho" w:hAnsi="Arial" w:cs="Arial"/>
          <w:b/>
          <w:sz w:val="24"/>
          <w:szCs w:val="24"/>
        </w:rPr>
        <w:t>R2-2508702</w:t>
      </w:r>
    </w:p>
    <w:p w14:paraId="3FB4C8D0" w14:textId="1967DE7C" w:rsidR="00A755D2" w:rsidRDefault="00FA5C21" w:rsidP="00A755D2">
      <w:pPr>
        <w:keepLines/>
        <w:tabs>
          <w:tab w:val="left" w:pos="567"/>
        </w:tabs>
        <w:rPr>
          <w:rFonts w:ascii="Arial" w:hAnsi="Arial" w:cs="Arial"/>
          <w:b/>
          <w:sz w:val="24"/>
          <w:szCs w:val="24"/>
        </w:rPr>
      </w:pPr>
      <w:r>
        <w:rPr>
          <w:rFonts w:ascii="Arial" w:hAnsi="Arial" w:cs="Arial"/>
          <w:b/>
          <w:sz w:val="24"/>
          <w:szCs w:val="24"/>
        </w:rPr>
        <w:t>Dallas</w:t>
      </w:r>
      <w:r w:rsidR="00A755D2">
        <w:rPr>
          <w:rFonts w:ascii="Arial" w:hAnsi="Arial" w:cs="Arial"/>
          <w:b/>
          <w:sz w:val="24"/>
          <w:szCs w:val="24"/>
        </w:rPr>
        <w:t xml:space="preserve">, </w:t>
      </w:r>
      <w:r>
        <w:rPr>
          <w:rFonts w:ascii="Arial" w:hAnsi="Arial" w:cs="Arial"/>
          <w:b/>
          <w:sz w:val="24"/>
          <w:szCs w:val="24"/>
        </w:rPr>
        <w:t>USA</w:t>
      </w:r>
      <w:r w:rsidR="00A755D2">
        <w:rPr>
          <w:rFonts w:ascii="Arial" w:hAnsi="Arial" w:cs="Arial"/>
          <w:b/>
          <w:sz w:val="24"/>
          <w:szCs w:val="24"/>
        </w:rPr>
        <w:t xml:space="preserve">, </w:t>
      </w:r>
      <w:r>
        <w:rPr>
          <w:rFonts w:ascii="Arial" w:hAnsi="Arial" w:cs="Arial"/>
          <w:b/>
          <w:sz w:val="24"/>
          <w:szCs w:val="24"/>
        </w:rPr>
        <w:t>17</w:t>
      </w:r>
      <w:r w:rsidR="00A755D2">
        <w:rPr>
          <w:rFonts w:ascii="Arial" w:hAnsi="Arial" w:cs="Arial"/>
          <w:b/>
          <w:sz w:val="24"/>
          <w:szCs w:val="24"/>
        </w:rPr>
        <w:t xml:space="preserve"> - </w:t>
      </w:r>
      <w:r>
        <w:rPr>
          <w:rFonts w:ascii="Arial" w:hAnsi="Arial" w:cs="Arial"/>
          <w:b/>
          <w:sz w:val="24"/>
          <w:szCs w:val="24"/>
        </w:rPr>
        <w:t>21</w:t>
      </w:r>
      <w:r w:rsidR="00A755D2">
        <w:rPr>
          <w:rFonts w:ascii="Arial" w:hAnsi="Arial" w:cs="Arial"/>
          <w:b/>
          <w:sz w:val="24"/>
          <w:szCs w:val="24"/>
        </w:rPr>
        <w:t xml:space="preserve"> </w:t>
      </w:r>
      <w:r>
        <w:rPr>
          <w:rFonts w:ascii="Arial" w:hAnsi="Arial" w:cs="Arial"/>
          <w:b/>
          <w:sz w:val="24"/>
          <w:szCs w:val="24"/>
        </w:rPr>
        <w:t>Nov</w:t>
      </w:r>
      <w:r w:rsidR="00BE36EC">
        <w:rPr>
          <w:rFonts w:ascii="Arial" w:hAnsi="Arial" w:cs="Arial"/>
          <w:b/>
          <w:sz w:val="24"/>
          <w:szCs w:val="24"/>
        </w:rPr>
        <w:t>ember</w:t>
      </w:r>
      <w:r w:rsidR="00A755D2">
        <w:rPr>
          <w:rFonts w:ascii="Arial" w:hAnsi="Arial" w:cs="Arial"/>
          <w:b/>
          <w:sz w:val="24"/>
          <w:szCs w:val="24"/>
        </w:rPr>
        <w:t>, 2025</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6A34B9E4"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Pr="00E607FB">
        <w:rPr>
          <w:rFonts w:ascii="Arial" w:hAnsi="Arial"/>
          <w:sz w:val="24"/>
        </w:rPr>
        <w:t xml:space="preserve">Discussion on </w:t>
      </w:r>
      <w:r w:rsidR="002740A2">
        <w:rPr>
          <w:rFonts w:ascii="Arial" w:hAnsi="Arial"/>
          <w:sz w:val="24"/>
        </w:rPr>
        <w:t>RRM measurement event prediction</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285AD9B6"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2740A2">
        <w:rPr>
          <w:rFonts w:ascii="Arial" w:eastAsia="PMingLiU" w:hAnsi="Arial"/>
          <w:sz w:val="24"/>
          <w:lang w:eastAsia="zh-TW"/>
        </w:rPr>
        <w:t>9</w:t>
      </w:r>
      <w:r w:rsidRPr="00C11C8C">
        <w:rPr>
          <w:rFonts w:ascii="Arial" w:eastAsia="PMingLiU" w:hAnsi="Arial"/>
          <w:sz w:val="24"/>
          <w:lang w:eastAsia="zh-TW"/>
        </w:rPr>
        <w:t>.</w:t>
      </w:r>
      <w:r>
        <w:rPr>
          <w:rFonts w:ascii="Arial" w:eastAsia="PMingLiU" w:hAnsi="Arial"/>
          <w:sz w:val="24"/>
          <w:lang w:eastAsia="zh-TW"/>
        </w:rPr>
        <w:t>3</w:t>
      </w:r>
      <w:r w:rsidRPr="00C11C8C">
        <w:rPr>
          <w:rFonts w:ascii="Arial" w:eastAsia="PMingLiU" w:hAnsi="Arial"/>
          <w:sz w:val="24"/>
          <w:lang w:eastAsia="zh-TW"/>
        </w:rPr>
        <w:t>.</w:t>
      </w:r>
      <w:r w:rsidR="00092B0A">
        <w:rPr>
          <w:rFonts w:ascii="Arial" w:eastAsia="PMingLiU" w:hAnsi="Arial"/>
          <w:sz w:val="24"/>
          <w:lang w:eastAsia="zh-TW"/>
        </w:rPr>
        <w:t>3</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6070B4FD" w14:textId="3DD1932A" w:rsidR="006124A6" w:rsidRDefault="006124A6" w:rsidP="006124A6">
      <w:pPr>
        <w:rPr>
          <w:rFonts w:eastAsiaTheme="minorEastAsia"/>
        </w:rPr>
      </w:pPr>
      <w:r w:rsidRPr="006124A6">
        <w:rPr>
          <w:rFonts w:eastAsiaTheme="minorEastAsia"/>
        </w:rPr>
        <w:t>In RAN2#1</w:t>
      </w:r>
      <w:r>
        <w:rPr>
          <w:rFonts w:eastAsiaTheme="minorEastAsia"/>
        </w:rPr>
        <w:t>31</w:t>
      </w:r>
      <w:r w:rsidRPr="006124A6">
        <w:rPr>
          <w:rFonts w:eastAsiaTheme="minorEastAsia"/>
        </w:rPr>
        <w:t xml:space="preserve"> meeting, agreements related to functionality management </w:t>
      </w:r>
      <w:r>
        <w:rPr>
          <w:rFonts w:eastAsiaTheme="minorEastAsia"/>
        </w:rPr>
        <w:t xml:space="preserve">for RRM measurement event prediction </w:t>
      </w:r>
      <w:r w:rsidRPr="006124A6">
        <w:rPr>
          <w:rFonts w:eastAsiaTheme="minorEastAsia"/>
        </w:rPr>
        <w:t>were reached as follows [1]:</w:t>
      </w:r>
    </w:p>
    <w:tbl>
      <w:tblPr>
        <w:tblStyle w:val="TableGrid"/>
        <w:tblW w:w="0" w:type="auto"/>
        <w:tblLook w:val="04A0" w:firstRow="1" w:lastRow="0" w:firstColumn="1" w:lastColumn="0" w:noHBand="0" w:noVBand="1"/>
      </w:tblPr>
      <w:tblGrid>
        <w:gridCol w:w="9629"/>
      </w:tblGrid>
      <w:tr w:rsidR="00D76EEB" w14:paraId="0DCF2011" w14:textId="77777777" w:rsidTr="00D76EEB">
        <w:tc>
          <w:tcPr>
            <w:tcW w:w="9629" w:type="dxa"/>
          </w:tcPr>
          <w:p w14:paraId="61EBAD1C" w14:textId="77777777" w:rsidR="00D76EEB" w:rsidRPr="00D03E6C" w:rsidRDefault="00D76EEB" w:rsidP="00D76EEB">
            <w:pPr>
              <w:pStyle w:val="Doc-text2"/>
              <w:ind w:left="0" w:firstLine="0"/>
              <w:rPr>
                <w:b/>
                <w:bCs/>
                <w:lang w:val="en-US"/>
              </w:rPr>
            </w:pPr>
            <w:r w:rsidRPr="00D03E6C">
              <w:rPr>
                <w:b/>
                <w:bCs/>
                <w:lang w:val="en-US"/>
              </w:rPr>
              <w:t>Agreements</w:t>
            </w:r>
          </w:p>
          <w:p w14:paraId="3945C572" w14:textId="77777777" w:rsidR="00D76EEB" w:rsidRDefault="00D76EEB" w:rsidP="00D76EEB">
            <w:pPr>
              <w:pStyle w:val="Agreement"/>
              <w:numPr>
                <w:ilvl w:val="0"/>
                <w:numId w:val="20"/>
              </w:numPr>
              <w:spacing w:before="0"/>
              <w:rPr>
                <w:b w:val="0"/>
                <w:bCs/>
                <w:lang w:val="en-US"/>
              </w:rPr>
            </w:pPr>
            <w:r w:rsidRPr="005D6A50">
              <w:rPr>
                <w:b w:val="0"/>
                <w:bCs/>
                <w:lang w:val="en-US"/>
              </w:rPr>
              <w:t xml:space="preserve">Aim for a single framework for event prediction and performance monitoring.  </w:t>
            </w:r>
            <w:r w:rsidRPr="009D44F9">
              <w:rPr>
                <w:b w:val="0"/>
                <w:bCs/>
                <w:lang w:val="en-US"/>
              </w:rPr>
              <w:t>Fr</w:t>
            </w:r>
            <w:r>
              <w:rPr>
                <w:b w:val="0"/>
                <w:bCs/>
                <w:lang w:val="en-US"/>
              </w:rPr>
              <w:t>om RAN2 point of view</w:t>
            </w:r>
            <w:r w:rsidRPr="009D44F9">
              <w:rPr>
                <w:b w:val="0"/>
                <w:bCs/>
                <w:lang w:val="en-US"/>
              </w:rPr>
              <w:t xml:space="preserve"> indirect event prediction, RSRP differences can be used as the performance metric for monitoring.</w:t>
            </w:r>
            <w:r>
              <w:rPr>
                <w:b w:val="0"/>
                <w:bCs/>
                <w:lang w:val="en-US"/>
              </w:rPr>
              <w:t xml:space="preserve">  </w:t>
            </w:r>
            <w:r w:rsidRPr="005D6A50">
              <w:rPr>
                <w:b w:val="0"/>
                <w:bCs/>
                <w:lang w:val="en-US"/>
              </w:rPr>
              <w:t xml:space="preserve">Capture in the TR that there is no consensus on the feasibility of performance monitoring of the direct event prediction and this would need to be resolved in WI phase before proceeding with specifying direct event prediction.  </w:t>
            </w:r>
          </w:p>
          <w:p w14:paraId="76A4FA9E" w14:textId="6E1283FE" w:rsidR="00D76EEB" w:rsidRPr="00B5326F" w:rsidRDefault="00D76EEB" w:rsidP="00D76EEB">
            <w:pPr>
              <w:pStyle w:val="Doc-text2"/>
              <w:numPr>
                <w:ilvl w:val="0"/>
                <w:numId w:val="20"/>
              </w:numPr>
              <w:rPr>
                <w:lang w:val="en-US"/>
              </w:rPr>
            </w:pPr>
            <w:r w:rsidRPr="00B5326F">
              <w:rPr>
                <w:lang w:val="en-US"/>
              </w:rPr>
              <w:t>For RRM measurement event prediction, the following are included in the inference configuration:</w:t>
            </w:r>
          </w:p>
          <w:p w14:paraId="322F7A6F" w14:textId="77777777" w:rsidR="00D76EEB" w:rsidRPr="00B5326F" w:rsidRDefault="00D76EEB" w:rsidP="00D76EEB">
            <w:pPr>
              <w:pStyle w:val="Doc-text2"/>
              <w:numPr>
                <w:ilvl w:val="0"/>
                <w:numId w:val="26"/>
              </w:numPr>
              <w:rPr>
                <w:lang w:val="en-US"/>
              </w:rPr>
            </w:pPr>
            <w:r w:rsidRPr="00B5326F">
              <w:rPr>
                <w:lang w:val="en-US"/>
              </w:rPr>
              <w:t>The length of PW for the associated AIML model</w:t>
            </w:r>
          </w:p>
          <w:p w14:paraId="6278B1B0" w14:textId="77777777" w:rsidR="00D76EEB" w:rsidRPr="00B5326F" w:rsidRDefault="00D76EEB" w:rsidP="00D76EEB">
            <w:pPr>
              <w:pStyle w:val="Doc-text2"/>
              <w:numPr>
                <w:ilvl w:val="0"/>
                <w:numId w:val="26"/>
              </w:numPr>
              <w:rPr>
                <w:lang w:val="en-US"/>
              </w:rPr>
            </w:pPr>
            <w:r w:rsidRPr="00B5326F">
              <w:rPr>
                <w:lang w:val="en-US"/>
              </w:rPr>
              <w:t>Event-related information (event type and event-related parameters)</w:t>
            </w:r>
          </w:p>
          <w:p w14:paraId="4B45A413" w14:textId="643211BD" w:rsidR="00D76EEB" w:rsidRPr="00E242A2" w:rsidRDefault="00D76EEB" w:rsidP="00D76EEB">
            <w:pPr>
              <w:pStyle w:val="Doc-text2"/>
              <w:numPr>
                <w:ilvl w:val="0"/>
                <w:numId w:val="25"/>
              </w:numPr>
              <w:rPr>
                <w:lang w:val="en-US"/>
              </w:rPr>
            </w:pPr>
            <w:r w:rsidRPr="00E242A2">
              <w:rPr>
                <w:lang w:val="en-US"/>
              </w:rPr>
              <w:t xml:space="preserve">For RRM measurement event prediction, the event prediction report </w:t>
            </w:r>
            <w:r>
              <w:rPr>
                <w:lang w:val="en-US"/>
              </w:rPr>
              <w:t xml:space="preserve">can </w:t>
            </w:r>
            <w:r w:rsidRPr="00E242A2">
              <w:rPr>
                <w:lang w:val="en-US"/>
              </w:rPr>
              <w:t>include:</w:t>
            </w:r>
          </w:p>
          <w:p w14:paraId="49B43F66" w14:textId="1FCBCB3F" w:rsidR="00D76EEB" w:rsidRPr="00E242A2" w:rsidRDefault="00D76EEB" w:rsidP="00D76EEB">
            <w:pPr>
              <w:pStyle w:val="Doc-text2"/>
              <w:numPr>
                <w:ilvl w:val="0"/>
                <w:numId w:val="27"/>
              </w:numPr>
              <w:rPr>
                <w:lang w:val="en-US"/>
              </w:rPr>
            </w:pPr>
            <w:r w:rsidRPr="00E242A2">
              <w:rPr>
                <w:lang w:val="en-US"/>
              </w:rPr>
              <w:t>RRM measurement</w:t>
            </w:r>
            <w:r>
              <w:rPr>
                <w:lang w:val="en-US"/>
              </w:rPr>
              <w:t>s (For normative phase to define what types of measurements)</w:t>
            </w:r>
          </w:p>
          <w:p w14:paraId="2A825C2D" w14:textId="0C16DB09" w:rsidR="00D76EEB" w:rsidRDefault="00D76EEB" w:rsidP="00D76EEB">
            <w:pPr>
              <w:pStyle w:val="Doc-text2"/>
              <w:numPr>
                <w:ilvl w:val="0"/>
                <w:numId w:val="27"/>
              </w:numPr>
              <w:rPr>
                <w:lang w:val="en-US"/>
              </w:rPr>
            </w:pPr>
            <w:r w:rsidRPr="00E242A2">
              <w:rPr>
                <w:lang w:val="en-US"/>
              </w:rPr>
              <w:t>Time-related information about the predicted event (e.g., the time</w:t>
            </w:r>
            <w:r>
              <w:rPr>
                <w:lang w:val="en-US"/>
              </w:rPr>
              <w:t>/window</w:t>
            </w:r>
            <w:r w:rsidRPr="00E242A2">
              <w:rPr>
                <w:lang w:val="en-US"/>
              </w:rPr>
              <w:t xml:space="preserve"> of occurrence)</w:t>
            </w:r>
          </w:p>
          <w:p w14:paraId="4483C2A5" w14:textId="2504588C" w:rsidR="00D76EEB" w:rsidRPr="00D76EEB" w:rsidRDefault="00D76EEB" w:rsidP="00D76EEB">
            <w:pPr>
              <w:pStyle w:val="Doc-text2"/>
              <w:numPr>
                <w:ilvl w:val="0"/>
                <w:numId w:val="24"/>
              </w:numPr>
              <w:rPr>
                <w:lang w:val="en-US"/>
              </w:rPr>
            </w:pPr>
            <w:r w:rsidRPr="00E113BE">
              <w:rPr>
                <w:lang w:val="en-US"/>
              </w:rPr>
              <w:t xml:space="preserve">For measurement event </w:t>
            </w:r>
            <w:r>
              <w:rPr>
                <w:lang w:val="en-US"/>
              </w:rPr>
              <w:t>determined, when the UE is configured with</w:t>
            </w:r>
            <w:r w:rsidRPr="00E113BE">
              <w:rPr>
                <w:lang w:val="en-US"/>
              </w:rPr>
              <w:t xml:space="preserve"> temporal domain case B, and frequency domain prediction, UE report</w:t>
            </w:r>
            <w:r>
              <w:rPr>
                <w:lang w:val="en-US"/>
              </w:rPr>
              <w:t>s</w:t>
            </w:r>
            <w:r w:rsidRPr="00E113BE">
              <w:rPr>
                <w:lang w:val="en-US"/>
              </w:rPr>
              <w:t xml:space="preserve"> measurement event by following</w:t>
            </w:r>
            <w:r>
              <w:rPr>
                <w:lang w:val="en-US"/>
              </w:rPr>
              <w:t xml:space="preserve"> an approach similar</w:t>
            </w:r>
            <w:r w:rsidRPr="00E113BE">
              <w:rPr>
                <w:lang w:val="en-US"/>
              </w:rPr>
              <w:t xml:space="preserve"> legacy procedure</w:t>
            </w:r>
            <w:r>
              <w:rPr>
                <w:lang w:val="en-US"/>
              </w:rPr>
              <w:t xml:space="preserve">. This can be achieved without spec </w:t>
            </w:r>
            <w:r w:rsidRPr="00E113BE">
              <w:rPr>
                <w:lang w:val="en-US"/>
              </w:rPr>
              <w:t>impact</w:t>
            </w:r>
            <w:r>
              <w:rPr>
                <w:lang w:val="en-US"/>
              </w:rPr>
              <w:t xml:space="preserve"> for measurement reporting</w:t>
            </w:r>
            <w:r w:rsidRPr="00E113BE">
              <w:rPr>
                <w:lang w:val="en-US"/>
              </w:rPr>
              <w:t>.</w:t>
            </w:r>
            <w:r>
              <w:rPr>
                <w:lang w:val="en-US"/>
              </w:rPr>
              <w:t xml:space="preserve">  </w:t>
            </w:r>
            <w:r w:rsidRPr="00D82210">
              <w:rPr>
                <w:highlight w:val="yellow"/>
                <w:lang w:val="en-US"/>
              </w:rPr>
              <w:t>FFS</w:t>
            </w:r>
            <w:r>
              <w:rPr>
                <w:lang w:val="en-US"/>
              </w:rPr>
              <w:t xml:space="preserve"> for normative phase if additional information needs to be added.  </w:t>
            </w:r>
          </w:p>
        </w:tc>
      </w:tr>
    </w:tbl>
    <w:p w14:paraId="355B45FC" w14:textId="77777777" w:rsidR="00D76EEB" w:rsidRPr="00D76EEB" w:rsidRDefault="00D76EEB" w:rsidP="00D76EEB">
      <w:pPr>
        <w:rPr>
          <w:lang w:eastAsia="en-GB"/>
        </w:rPr>
      </w:pPr>
    </w:p>
    <w:p w14:paraId="1A537D48" w14:textId="00A1C96C" w:rsidR="00CA1546" w:rsidRPr="000C6576" w:rsidRDefault="000C6576" w:rsidP="007977C9">
      <w:pPr>
        <w:rPr>
          <w:bCs/>
        </w:rPr>
      </w:pPr>
      <w:r w:rsidRPr="000C6576">
        <w:rPr>
          <w:bCs/>
        </w:rPr>
        <w:t xml:space="preserve">In accordance with the WID, this document </w:t>
      </w:r>
      <w:r w:rsidR="000A7776">
        <w:rPr>
          <w:bCs/>
        </w:rPr>
        <w:t>discusses</w:t>
      </w:r>
      <w:r w:rsidRPr="000C6576">
        <w:rPr>
          <w:bCs/>
        </w:rPr>
        <w:t xml:space="preserve"> functional</w:t>
      </w:r>
      <w:r w:rsidR="000A7776">
        <w:rPr>
          <w:bCs/>
        </w:rPr>
        <w:t>ity</w:t>
      </w:r>
      <w:r w:rsidRPr="000C6576">
        <w:rPr>
          <w:bCs/>
        </w:rPr>
        <w:t xml:space="preserve"> management for RRM measurement </w:t>
      </w:r>
      <w:r w:rsidR="000A7776">
        <w:rPr>
          <w:bCs/>
        </w:rPr>
        <w:t xml:space="preserve">event </w:t>
      </w:r>
      <w:r w:rsidRPr="000C6576">
        <w:rPr>
          <w:bCs/>
        </w:rPr>
        <w:t xml:space="preserve">prediction, covering aspects such as </w:t>
      </w:r>
      <w:r w:rsidR="000A0203">
        <w:rPr>
          <w:bCs/>
        </w:rPr>
        <w:t xml:space="preserve">UE </w:t>
      </w:r>
      <w:r w:rsidRPr="000C6576">
        <w:rPr>
          <w:bCs/>
        </w:rPr>
        <w:t xml:space="preserve">capability, applicability, and inference configuration/reporting. Furthermore, </w:t>
      </w:r>
      <w:r w:rsidR="00893DE5">
        <w:rPr>
          <w:bCs/>
        </w:rPr>
        <w:t xml:space="preserve">as </w:t>
      </w:r>
      <w:r w:rsidRPr="000C6576">
        <w:rPr>
          <w:bCs/>
        </w:rPr>
        <w:t>aligned with the agreements from RAN2#131</w:t>
      </w:r>
      <w:r w:rsidR="000A0203">
        <w:rPr>
          <w:bCs/>
        </w:rPr>
        <w:t>,</w:t>
      </w:r>
      <w:r w:rsidR="00893DE5">
        <w:rPr>
          <w:bCs/>
        </w:rPr>
        <w:t xml:space="preserve"> with</w:t>
      </w:r>
      <w:r w:rsidRPr="000C6576">
        <w:rPr>
          <w:bCs/>
        </w:rPr>
        <w:t xml:space="preserve"> the lack of consensus on the feasibility of performance monitoring for direct event prediction, this document proceeds with </w:t>
      </w:r>
      <w:r w:rsidR="00893DE5">
        <w:rPr>
          <w:bCs/>
        </w:rPr>
        <w:t>discussing the functional management</w:t>
      </w:r>
      <w:r w:rsidRPr="000C6576">
        <w:rPr>
          <w:bCs/>
        </w:rPr>
        <w:t xml:space="preserve"> f</w:t>
      </w:r>
      <w:r w:rsidR="00893DE5">
        <w:rPr>
          <w:bCs/>
        </w:rPr>
        <w:t>or</w:t>
      </w:r>
      <w:r w:rsidRPr="000C6576">
        <w:rPr>
          <w:bCs/>
        </w:rPr>
        <w:t xml:space="preserve"> indirect </w:t>
      </w:r>
      <w:r w:rsidR="000A0203">
        <w:rPr>
          <w:bCs/>
        </w:rPr>
        <w:t xml:space="preserve">measurement </w:t>
      </w:r>
      <w:r w:rsidRPr="000C6576">
        <w:rPr>
          <w:bCs/>
        </w:rPr>
        <w:t>event prediction only.</w:t>
      </w:r>
    </w:p>
    <w:p w14:paraId="09487BCB" w14:textId="3F2064D9"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E955BD2" w14:textId="5ED07112" w:rsidR="00285451" w:rsidRDefault="008610C5" w:rsidP="00DA1FCB">
      <w:pPr>
        <w:pStyle w:val="Heading2"/>
        <w:ind w:left="578" w:hanging="578"/>
        <w:rPr>
          <w:lang w:eastAsia="zh-CN"/>
        </w:rPr>
      </w:pPr>
      <w:r>
        <w:rPr>
          <w:lang w:eastAsia="zh-CN"/>
        </w:rPr>
        <w:t>P</w:t>
      </w:r>
      <w:r w:rsidR="00285451">
        <w:rPr>
          <w:lang w:eastAsia="zh-CN"/>
        </w:rPr>
        <w:t>rocedure for applicability</w:t>
      </w:r>
      <w:r w:rsidR="00303201">
        <w:rPr>
          <w:lang w:eastAsia="zh-CN"/>
        </w:rPr>
        <w:t xml:space="preserve"> reporting</w:t>
      </w:r>
    </w:p>
    <w:p w14:paraId="07B9067E" w14:textId="40327917" w:rsidR="00F500A6" w:rsidRDefault="00F500A6" w:rsidP="00F500A6">
      <w:pPr>
        <w:rPr>
          <w:lang w:eastAsia="zh-CN"/>
        </w:rPr>
      </w:pPr>
      <w:r>
        <w:rPr>
          <w:lang w:eastAsia="zh-CN"/>
        </w:rPr>
        <w:t xml:space="preserve">RAN2 #130 </w:t>
      </w:r>
      <w:r w:rsidR="00922193">
        <w:rPr>
          <w:lang w:eastAsia="zh-CN"/>
        </w:rPr>
        <w:t>made the agreement as following:</w:t>
      </w:r>
    </w:p>
    <w:tbl>
      <w:tblPr>
        <w:tblStyle w:val="TableGrid"/>
        <w:tblW w:w="0" w:type="auto"/>
        <w:tblLook w:val="04A0" w:firstRow="1" w:lastRow="0" w:firstColumn="1" w:lastColumn="0" w:noHBand="0" w:noVBand="1"/>
      </w:tblPr>
      <w:tblGrid>
        <w:gridCol w:w="9629"/>
      </w:tblGrid>
      <w:tr w:rsidR="00922193" w14:paraId="0F23DB6D" w14:textId="77777777" w:rsidTr="00922193">
        <w:tc>
          <w:tcPr>
            <w:tcW w:w="9629" w:type="dxa"/>
          </w:tcPr>
          <w:p w14:paraId="26D07063" w14:textId="77777777" w:rsidR="00EF1B22" w:rsidRDefault="00EF1B22" w:rsidP="00EF1B22">
            <w:pPr>
              <w:pStyle w:val="Doc-text2"/>
              <w:numPr>
                <w:ilvl w:val="0"/>
                <w:numId w:val="28"/>
              </w:numPr>
              <w:ind w:left="360"/>
            </w:pPr>
            <w:r>
              <w:t xml:space="preserve">Use the beam management agreements as the baseline, including the following aspects (details can be updated after further progress is made in AI/ML PHY BM use case) </w:t>
            </w:r>
          </w:p>
          <w:p w14:paraId="25743A57" w14:textId="77777777" w:rsidR="00EF1B22" w:rsidRDefault="00EF1B22" w:rsidP="00EF1B22">
            <w:pPr>
              <w:pStyle w:val="Doc-text2"/>
              <w:ind w:left="723"/>
            </w:pPr>
            <w:r w:rsidRPr="00AB7928">
              <w:rPr>
                <w:highlight w:val="yellow"/>
              </w:rPr>
              <w:t>•</w:t>
            </w:r>
            <w:r w:rsidRPr="00AB7928">
              <w:rPr>
                <w:highlight w:val="yellow"/>
              </w:rPr>
              <w:tab/>
              <w:t>Consider Option A and Option B like scheme (if/when AI/ML PHY makes further progress)</w:t>
            </w:r>
          </w:p>
          <w:p w14:paraId="76EEF42B" w14:textId="77777777" w:rsidR="00EF1B22" w:rsidRDefault="00EF1B22" w:rsidP="00EF1B22">
            <w:pPr>
              <w:pStyle w:val="Doc-text2"/>
              <w:ind w:left="723"/>
            </w:pPr>
            <w:r>
              <w:lastRenderedPageBreak/>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481A0A49" w14:textId="77777777" w:rsidR="00EF1B22" w:rsidRDefault="00EF1B22" w:rsidP="00EF1B22">
            <w:pPr>
              <w:pStyle w:val="Doc-text2"/>
              <w:ind w:left="723"/>
            </w:pPr>
            <w:r>
              <w:t>•</w:t>
            </w:r>
            <w:r>
              <w:tab/>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2A096551" w14:textId="77777777" w:rsidR="00EF1B22" w:rsidRDefault="00EF1B22" w:rsidP="00EF1B22">
            <w:pPr>
              <w:pStyle w:val="Doc-text2"/>
              <w:ind w:left="723"/>
            </w:pPr>
            <w:r>
              <w:t>•</w:t>
            </w:r>
            <w:r>
              <w:tab/>
              <w:t>Support the explicit reporting of applicability/inapplicability in the initial report and subsequent reporting when the applicability changes.</w:t>
            </w:r>
          </w:p>
          <w:p w14:paraId="6C67B38C" w14:textId="77777777" w:rsidR="00EF1B22" w:rsidRDefault="00EF1B22" w:rsidP="00EF1B22">
            <w:pPr>
              <w:pStyle w:val="Doc-text2"/>
              <w:ind w:left="723"/>
            </w:pPr>
            <w:r>
              <w:t>•</w:t>
            </w:r>
            <w:r>
              <w:tab/>
              <w:t>Together with inapplicability reporting, UE further indicates a simple cause value of inapplicability (FFS pending AI/ML PHY progress).</w:t>
            </w:r>
          </w:p>
          <w:p w14:paraId="0CF431B6" w14:textId="3CA04AF0" w:rsidR="00922193" w:rsidRDefault="00EF1B22" w:rsidP="00EF1B22">
            <w:pPr>
              <w:pStyle w:val="Doc-text2"/>
              <w:numPr>
                <w:ilvl w:val="0"/>
                <w:numId w:val="29"/>
              </w:numPr>
            </w:pPr>
            <w:r>
              <w:t>No prohibit timer is introduced.</w:t>
            </w:r>
          </w:p>
        </w:tc>
      </w:tr>
    </w:tbl>
    <w:p w14:paraId="27DD0226" w14:textId="33D02CBD" w:rsidR="00BE3860" w:rsidRDefault="00BE3860" w:rsidP="00BE3860">
      <w:pPr>
        <w:rPr>
          <w:lang w:eastAsia="zh-CN"/>
        </w:rPr>
      </w:pPr>
    </w:p>
    <w:p w14:paraId="54512AE5" w14:textId="4AF86C75" w:rsidR="00BE3860" w:rsidRDefault="008610C5" w:rsidP="00BE3860">
      <w:pPr>
        <w:rPr>
          <w:lang w:eastAsia="zh-CN"/>
        </w:rPr>
      </w:pPr>
      <w:r>
        <w:rPr>
          <w:lang w:eastAsia="zh-CN"/>
        </w:rPr>
        <w:t>As mentioned</w:t>
      </w:r>
      <w:r w:rsidR="00303201">
        <w:rPr>
          <w:lang w:eastAsia="zh-CN"/>
        </w:rPr>
        <w:t xml:space="preserve"> above</w:t>
      </w:r>
      <w:r>
        <w:rPr>
          <w:lang w:eastAsia="zh-CN"/>
        </w:rPr>
        <w:t>,</w:t>
      </w:r>
      <w:r w:rsidR="00E521E1">
        <w:rPr>
          <w:lang w:eastAsia="zh-CN"/>
        </w:rPr>
        <w:t xml:space="preserve"> indirect measurement event prediction </w:t>
      </w:r>
      <w:r w:rsidR="00303201">
        <w:rPr>
          <w:lang w:eastAsia="zh-CN"/>
        </w:rPr>
        <w:t xml:space="preserve">is based on measurement prediction </w:t>
      </w:r>
      <w:r w:rsidR="00E521E1">
        <w:rPr>
          <w:lang w:eastAsia="zh-CN"/>
        </w:rPr>
        <w:t>for</w:t>
      </w:r>
      <w:r>
        <w:rPr>
          <w:lang w:eastAsia="zh-CN"/>
        </w:rPr>
        <w:t xml:space="preserve"> different use cases</w:t>
      </w:r>
      <w:r w:rsidR="00303201">
        <w:rPr>
          <w:lang w:eastAsia="zh-CN"/>
        </w:rPr>
        <w:t>, such as</w:t>
      </w:r>
      <w:r>
        <w:rPr>
          <w:lang w:eastAsia="zh-CN"/>
        </w:rPr>
        <w:t xml:space="preserve"> frequency domain,</w:t>
      </w:r>
      <w:r w:rsidR="00E521E1">
        <w:rPr>
          <w:lang w:eastAsia="zh-CN"/>
        </w:rPr>
        <w:t xml:space="preserve"> intra-frequency temporal domain case A, temporal domain case B or spatial domain</w:t>
      </w:r>
      <w:r w:rsidR="00303201">
        <w:rPr>
          <w:lang w:eastAsia="zh-CN"/>
        </w:rPr>
        <w:t xml:space="preserve">, as </w:t>
      </w:r>
      <w:r w:rsidR="00B421A5">
        <w:rPr>
          <w:lang w:eastAsia="zh-CN"/>
        </w:rPr>
        <w:t xml:space="preserve">captured </w:t>
      </w:r>
      <w:r w:rsidR="00E521E1">
        <w:rPr>
          <w:lang w:eastAsia="zh-CN"/>
        </w:rPr>
        <w:t xml:space="preserve">in </w:t>
      </w:r>
      <w:r>
        <w:rPr>
          <w:lang w:eastAsia="zh-CN"/>
        </w:rPr>
        <w:t xml:space="preserve">[1]. The applicability reporting procedure for the indirect measurement event prediction </w:t>
      </w:r>
      <w:r w:rsidR="004274A1">
        <w:rPr>
          <w:lang w:eastAsia="zh-CN"/>
        </w:rPr>
        <w:t xml:space="preserve">can </w:t>
      </w:r>
      <w:r>
        <w:rPr>
          <w:lang w:eastAsia="zh-CN"/>
        </w:rPr>
        <w:t>thus follow</w:t>
      </w:r>
      <w:r w:rsidR="00363E91">
        <w:rPr>
          <w:lang w:eastAsia="zh-CN"/>
        </w:rPr>
        <w:t xml:space="preserve"> exactly the same </w:t>
      </w:r>
      <w:r w:rsidR="00385F9F">
        <w:rPr>
          <w:lang w:eastAsia="zh-CN"/>
        </w:rPr>
        <w:t xml:space="preserve">procedure </w:t>
      </w:r>
      <w:r w:rsidR="00363E91">
        <w:rPr>
          <w:lang w:eastAsia="zh-CN"/>
        </w:rPr>
        <w:t>as</w:t>
      </w:r>
      <w:r>
        <w:rPr>
          <w:lang w:eastAsia="zh-CN"/>
        </w:rPr>
        <w:t xml:space="preserve"> the applicability reporting </w:t>
      </w:r>
      <w:r w:rsidR="00363E91">
        <w:rPr>
          <w:lang w:eastAsia="zh-CN"/>
        </w:rPr>
        <w:t>for</w:t>
      </w:r>
      <w:r>
        <w:rPr>
          <w:lang w:eastAsia="zh-CN"/>
        </w:rPr>
        <w:t xml:space="preserve"> </w:t>
      </w:r>
      <w:r w:rsidR="00363E91">
        <w:rPr>
          <w:lang w:eastAsia="zh-CN"/>
        </w:rPr>
        <w:t>RRM measurement prediction.</w:t>
      </w:r>
    </w:p>
    <w:p w14:paraId="15972B31" w14:textId="7AF99E23" w:rsidR="00E521E1" w:rsidRDefault="00E521E1" w:rsidP="00BE3860">
      <w:pPr>
        <w:rPr>
          <w:b/>
          <w:bCs/>
          <w:lang w:eastAsia="zh-CN"/>
        </w:rPr>
      </w:pPr>
      <w:r w:rsidRPr="00B9356F">
        <w:rPr>
          <w:b/>
          <w:bCs/>
          <w:lang w:eastAsia="zh-CN"/>
        </w:rPr>
        <w:t>Ob</w:t>
      </w:r>
      <w:r w:rsidR="00B9356F" w:rsidRPr="00B9356F">
        <w:rPr>
          <w:b/>
          <w:bCs/>
          <w:lang w:eastAsia="zh-CN"/>
        </w:rPr>
        <w:t>ser</w:t>
      </w:r>
      <w:r w:rsidRPr="00B9356F">
        <w:rPr>
          <w:b/>
          <w:bCs/>
          <w:lang w:eastAsia="zh-CN"/>
        </w:rPr>
        <w:t>v</w:t>
      </w:r>
      <w:r w:rsidR="00B9356F" w:rsidRPr="00B9356F">
        <w:rPr>
          <w:b/>
          <w:bCs/>
          <w:lang w:eastAsia="zh-CN"/>
        </w:rPr>
        <w:t>at</w:t>
      </w:r>
      <w:r w:rsidRPr="00B9356F">
        <w:rPr>
          <w:b/>
          <w:bCs/>
          <w:lang w:eastAsia="zh-CN"/>
        </w:rPr>
        <w:t xml:space="preserve">ion </w:t>
      </w:r>
      <w:r w:rsidR="00B94ABB">
        <w:rPr>
          <w:b/>
          <w:bCs/>
          <w:lang w:eastAsia="zh-CN"/>
        </w:rPr>
        <w:t>1</w:t>
      </w:r>
      <w:r w:rsidR="00B9356F" w:rsidRPr="00B9356F">
        <w:rPr>
          <w:b/>
          <w:bCs/>
          <w:lang w:eastAsia="zh-CN"/>
        </w:rPr>
        <w:t xml:space="preserve">: </w:t>
      </w:r>
      <w:r w:rsidR="00ED57D6">
        <w:rPr>
          <w:b/>
          <w:lang w:eastAsia="zh-CN"/>
        </w:rPr>
        <w:t>Since indirect measurement event prediction is based on measurement prediction, a</w:t>
      </w:r>
      <w:r w:rsidR="00363E91" w:rsidRPr="00D067BD">
        <w:rPr>
          <w:b/>
          <w:lang w:eastAsia="zh-CN"/>
        </w:rPr>
        <w:t xml:space="preserve">pplicability reporting procedure for the indirect measurement event prediction </w:t>
      </w:r>
      <w:r w:rsidR="00ED57D6">
        <w:rPr>
          <w:b/>
          <w:lang w:eastAsia="zh-CN"/>
        </w:rPr>
        <w:t>can follow the same procedure</w:t>
      </w:r>
      <w:r w:rsidR="00363E91" w:rsidRPr="00D067BD">
        <w:rPr>
          <w:b/>
          <w:lang w:eastAsia="zh-CN"/>
        </w:rPr>
        <w:t xml:space="preserve"> as applicability reporting for the RRM measurement prediction</w:t>
      </w:r>
      <w:r w:rsidR="00B9356F" w:rsidRPr="00B9356F">
        <w:rPr>
          <w:b/>
          <w:bCs/>
          <w:lang w:eastAsia="zh-CN"/>
        </w:rPr>
        <w:t>.</w:t>
      </w:r>
    </w:p>
    <w:p w14:paraId="3D60F18E" w14:textId="35C403C7" w:rsidR="000C6576" w:rsidRPr="000C6576" w:rsidRDefault="000C6576" w:rsidP="00BE3860">
      <w:pPr>
        <w:rPr>
          <w:lang w:eastAsia="zh-CN"/>
        </w:rPr>
      </w:pPr>
      <w:r w:rsidRPr="000C6576">
        <w:rPr>
          <w:lang w:eastAsia="zh-CN"/>
        </w:rPr>
        <w:t xml:space="preserve">Based on </w:t>
      </w:r>
      <w:r w:rsidR="00207D30">
        <w:rPr>
          <w:lang w:eastAsia="zh-CN"/>
        </w:rPr>
        <w:t xml:space="preserve">this </w:t>
      </w:r>
      <w:r w:rsidRPr="000C6576">
        <w:rPr>
          <w:lang w:eastAsia="zh-CN"/>
        </w:rPr>
        <w:t xml:space="preserve">observation and RAN2 agreement to </w:t>
      </w:r>
      <w:r w:rsidR="00385F9F">
        <w:rPr>
          <w:lang w:eastAsia="zh-CN"/>
        </w:rPr>
        <w:t>follow</w:t>
      </w:r>
      <w:r w:rsidRPr="000C6576">
        <w:rPr>
          <w:lang w:eastAsia="zh-CN"/>
        </w:rPr>
        <w:t xml:space="preserve"> the beam management agreements for both RRM measurement prediction and RRM measurement event prediction, the applicability reporting procedure for RRM measurement event prediction shall align with that of RRM measurement prediction. Furthermore, the parameters for the applicability check can be reused from those defined for RRM measurement prediction.</w:t>
      </w:r>
    </w:p>
    <w:p w14:paraId="63E0A84D" w14:textId="5BF027D9" w:rsidR="00B9356F" w:rsidRDefault="00B9356F" w:rsidP="00BE3860">
      <w:pPr>
        <w:rPr>
          <w:b/>
          <w:bCs/>
          <w:lang w:eastAsia="zh-CN"/>
        </w:rPr>
      </w:pPr>
      <w:bookmarkStart w:id="2" w:name="_GoBack"/>
      <w:r w:rsidRPr="00B9356F">
        <w:rPr>
          <w:b/>
          <w:bCs/>
          <w:lang w:eastAsia="zh-CN"/>
        </w:rPr>
        <w:t>Proposal</w:t>
      </w:r>
      <w:bookmarkEnd w:id="2"/>
      <w:r w:rsidRPr="00B9356F">
        <w:rPr>
          <w:b/>
          <w:bCs/>
          <w:lang w:eastAsia="zh-CN"/>
        </w:rPr>
        <w:t xml:space="preserve"> </w:t>
      </w:r>
      <w:r w:rsidR="00B94ABB">
        <w:rPr>
          <w:b/>
          <w:bCs/>
          <w:lang w:eastAsia="zh-CN"/>
        </w:rPr>
        <w:t>1</w:t>
      </w:r>
      <w:r w:rsidRPr="00B9356F">
        <w:rPr>
          <w:b/>
          <w:bCs/>
          <w:lang w:eastAsia="zh-CN"/>
        </w:rPr>
        <w:t xml:space="preserve">: The applicability </w:t>
      </w:r>
      <w:r w:rsidR="00363E91">
        <w:rPr>
          <w:b/>
          <w:bCs/>
          <w:lang w:eastAsia="zh-CN"/>
        </w:rPr>
        <w:t xml:space="preserve">configuration and </w:t>
      </w:r>
      <w:r w:rsidRPr="00B9356F">
        <w:rPr>
          <w:b/>
          <w:bCs/>
          <w:lang w:eastAsia="zh-CN"/>
        </w:rPr>
        <w:t xml:space="preserve">report procedure for RRM measurement event prediction </w:t>
      </w:r>
      <w:r w:rsidR="00363E91">
        <w:rPr>
          <w:b/>
          <w:bCs/>
          <w:lang w:eastAsia="zh-CN"/>
        </w:rPr>
        <w:t>is</w:t>
      </w:r>
      <w:r w:rsidRPr="00B9356F">
        <w:rPr>
          <w:b/>
          <w:bCs/>
          <w:lang w:eastAsia="zh-CN"/>
        </w:rPr>
        <w:t xml:space="preserve"> the same as </w:t>
      </w:r>
      <w:r w:rsidR="00363E91">
        <w:rPr>
          <w:b/>
          <w:bCs/>
          <w:lang w:eastAsia="zh-CN"/>
        </w:rPr>
        <w:t xml:space="preserve">for </w:t>
      </w:r>
      <w:r w:rsidRPr="00B9356F">
        <w:rPr>
          <w:b/>
          <w:bCs/>
          <w:lang w:eastAsia="zh-CN"/>
        </w:rPr>
        <w:t>RRM measurement prediction</w:t>
      </w:r>
      <w:r w:rsidR="00A47F20">
        <w:rPr>
          <w:b/>
          <w:bCs/>
          <w:lang w:eastAsia="zh-CN"/>
        </w:rPr>
        <w:t>, including the set of inference related parameters</w:t>
      </w:r>
      <w:r w:rsidRPr="00B9356F">
        <w:rPr>
          <w:b/>
          <w:bCs/>
          <w:lang w:eastAsia="zh-CN"/>
        </w:rPr>
        <w:t>.</w:t>
      </w:r>
    </w:p>
    <w:p w14:paraId="6C0552C6" w14:textId="35D11821" w:rsidR="008E5EFB" w:rsidRDefault="008E5EFB" w:rsidP="00BE3860">
      <w:pPr>
        <w:rPr>
          <w:b/>
          <w:bCs/>
          <w:lang w:eastAsia="zh-CN"/>
        </w:rPr>
      </w:pPr>
    </w:p>
    <w:p w14:paraId="381A190B" w14:textId="7FD9893A" w:rsidR="00285451" w:rsidRDefault="001014F3" w:rsidP="00DA1FCB">
      <w:pPr>
        <w:pStyle w:val="Heading2"/>
        <w:ind w:left="578" w:hanging="578"/>
        <w:rPr>
          <w:lang w:eastAsia="zh-CN"/>
        </w:rPr>
      </w:pPr>
      <w:r>
        <w:rPr>
          <w:lang w:eastAsia="zh-CN"/>
        </w:rPr>
        <w:t>I</w:t>
      </w:r>
      <w:r w:rsidR="00285451">
        <w:rPr>
          <w:lang w:eastAsia="zh-CN"/>
        </w:rPr>
        <w:t>nference</w:t>
      </w:r>
      <w:r w:rsidR="00543ED7">
        <w:rPr>
          <w:lang w:eastAsia="zh-CN"/>
        </w:rPr>
        <w:t xml:space="preserve"> and reporting</w:t>
      </w:r>
      <w:r w:rsidR="00285451">
        <w:rPr>
          <w:lang w:eastAsia="zh-CN"/>
        </w:rPr>
        <w:t xml:space="preserve"> configuration</w:t>
      </w:r>
    </w:p>
    <w:p w14:paraId="77F1B874" w14:textId="02D9966C" w:rsidR="004871CE" w:rsidRPr="004871CE" w:rsidRDefault="004871CE" w:rsidP="004871CE">
      <w:pPr>
        <w:pStyle w:val="Doc-text2"/>
        <w:spacing w:line="240" w:lineRule="exact"/>
        <w:ind w:left="0" w:firstLine="0"/>
        <w:rPr>
          <w:rFonts w:ascii="Times New Roman" w:eastAsia="SimSun" w:hAnsi="Times New Roman"/>
          <w:sz w:val="22"/>
          <w:szCs w:val="22"/>
          <w:lang w:val="en-US" w:eastAsia="zh-CN"/>
        </w:rPr>
      </w:pPr>
      <w:r w:rsidRPr="004871CE">
        <w:rPr>
          <w:rFonts w:ascii="Times New Roman" w:eastAsia="SimSun" w:hAnsi="Times New Roman" w:hint="eastAsia"/>
          <w:sz w:val="22"/>
          <w:szCs w:val="22"/>
          <w:lang w:val="en-US" w:eastAsia="zh-CN"/>
        </w:rPr>
        <w:t>I</w:t>
      </w:r>
      <w:r w:rsidRPr="004871CE">
        <w:rPr>
          <w:rFonts w:ascii="Times New Roman" w:eastAsia="SimSun" w:hAnsi="Times New Roman"/>
          <w:sz w:val="22"/>
          <w:szCs w:val="22"/>
          <w:lang w:val="en-US" w:eastAsia="zh-CN"/>
        </w:rPr>
        <w:t xml:space="preserve">n RAN2 #130 meeting, </w:t>
      </w:r>
      <w:r>
        <w:rPr>
          <w:rFonts w:ascii="Times New Roman" w:eastAsia="SimSun" w:hAnsi="Times New Roman"/>
          <w:sz w:val="22"/>
          <w:szCs w:val="22"/>
          <w:lang w:val="en-US" w:eastAsia="zh-CN"/>
        </w:rPr>
        <w:t xml:space="preserve">we agreed </w:t>
      </w:r>
      <w:r w:rsidRPr="004871CE">
        <w:rPr>
          <w:rFonts w:ascii="Times New Roman" w:eastAsia="SimSun" w:hAnsi="Times New Roman"/>
          <w:sz w:val="22"/>
          <w:szCs w:val="22"/>
          <w:lang w:val="en-US" w:eastAsia="zh-CN"/>
        </w:rPr>
        <w:t xml:space="preserve">the following </w:t>
      </w:r>
      <w:r w:rsidR="004627A7">
        <w:rPr>
          <w:rFonts w:ascii="Times New Roman" w:eastAsia="SimSun" w:hAnsi="Times New Roman"/>
          <w:sz w:val="22"/>
          <w:szCs w:val="22"/>
          <w:lang w:val="en-US" w:eastAsia="zh-CN"/>
        </w:rPr>
        <w:t>to be</w:t>
      </w:r>
      <w:r w:rsidR="004627A7" w:rsidRPr="004871CE">
        <w:rPr>
          <w:rFonts w:ascii="Times New Roman" w:eastAsia="SimSun" w:hAnsi="Times New Roman"/>
          <w:sz w:val="22"/>
          <w:szCs w:val="22"/>
          <w:lang w:val="en-US" w:eastAsia="zh-CN"/>
        </w:rPr>
        <w:t xml:space="preserve"> </w:t>
      </w:r>
      <w:r w:rsidRPr="004871CE">
        <w:rPr>
          <w:rFonts w:ascii="Times New Roman" w:eastAsia="SimSun" w:hAnsi="Times New Roman"/>
          <w:sz w:val="22"/>
          <w:szCs w:val="22"/>
          <w:lang w:val="en-US" w:eastAsia="zh-CN"/>
        </w:rPr>
        <w:t>included in the inference configuration</w:t>
      </w:r>
      <w:r>
        <w:rPr>
          <w:rFonts w:ascii="Times New Roman" w:eastAsia="SimSun" w:hAnsi="Times New Roman"/>
          <w:sz w:val="22"/>
          <w:szCs w:val="22"/>
          <w:lang w:val="en-US" w:eastAsia="zh-CN"/>
        </w:rPr>
        <w:t xml:space="preserve"> for RRM measurement event prediction</w:t>
      </w:r>
      <w:r w:rsidRPr="004871CE">
        <w:rPr>
          <w:rFonts w:ascii="Times New Roman" w:eastAsia="SimSun" w:hAnsi="Times New Roman"/>
          <w:sz w:val="22"/>
          <w:szCs w:val="22"/>
          <w:lang w:val="en-US" w:eastAsia="zh-CN"/>
        </w:rPr>
        <w:t>:</w:t>
      </w:r>
    </w:p>
    <w:p w14:paraId="0F3E27C4" w14:textId="77777777" w:rsidR="004871CE" w:rsidRPr="00295A90" w:rsidRDefault="004871CE" w:rsidP="004871CE">
      <w:pPr>
        <w:pStyle w:val="Doc-text2"/>
        <w:numPr>
          <w:ilvl w:val="0"/>
          <w:numId w:val="29"/>
        </w:numPr>
        <w:spacing w:line="240" w:lineRule="exact"/>
        <w:rPr>
          <w:rFonts w:ascii="Times New Roman" w:eastAsia="SimSun" w:hAnsi="Times New Roman"/>
          <w:b/>
          <w:bCs/>
          <w:sz w:val="22"/>
          <w:szCs w:val="22"/>
          <w:lang w:val="en-US" w:eastAsia="zh-CN"/>
        </w:rPr>
      </w:pPr>
      <w:r w:rsidRPr="00295A90">
        <w:rPr>
          <w:rFonts w:ascii="Times New Roman" w:eastAsia="SimSun" w:hAnsi="Times New Roman"/>
          <w:b/>
          <w:bCs/>
          <w:sz w:val="22"/>
          <w:szCs w:val="22"/>
          <w:lang w:val="en-US" w:eastAsia="zh-CN"/>
        </w:rPr>
        <w:t>The length of PW for the associated AIML model</w:t>
      </w:r>
    </w:p>
    <w:p w14:paraId="5E8833C9" w14:textId="77777777" w:rsidR="004871CE" w:rsidRPr="00295A90" w:rsidRDefault="004871CE" w:rsidP="004871CE">
      <w:pPr>
        <w:pStyle w:val="Doc-text2"/>
        <w:numPr>
          <w:ilvl w:val="0"/>
          <w:numId w:val="29"/>
        </w:numPr>
        <w:spacing w:line="240" w:lineRule="exact"/>
        <w:rPr>
          <w:rFonts w:ascii="Times New Roman" w:eastAsia="SimSun" w:hAnsi="Times New Roman"/>
          <w:b/>
          <w:bCs/>
          <w:sz w:val="22"/>
          <w:szCs w:val="22"/>
          <w:lang w:val="en-US" w:eastAsia="zh-CN"/>
        </w:rPr>
      </w:pPr>
      <w:r w:rsidRPr="00295A90">
        <w:rPr>
          <w:rFonts w:ascii="Times New Roman" w:eastAsia="SimSun" w:hAnsi="Times New Roman"/>
          <w:b/>
          <w:bCs/>
          <w:sz w:val="22"/>
          <w:szCs w:val="22"/>
          <w:lang w:val="en-US" w:eastAsia="zh-CN"/>
        </w:rPr>
        <w:t>Event-related information (event type and event-related parameters)</w:t>
      </w:r>
    </w:p>
    <w:p w14:paraId="38A91455" w14:textId="77777777" w:rsidR="00385F9F" w:rsidRDefault="00385F9F" w:rsidP="00A86BCF">
      <w:pPr>
        <w:rPr>
          <w:lang w:eastAsia="zh-CN"/>
        </w:rPr>
      </w:pPr>
    </w:p>
    <w:p w14:paraId="0FBF9E84" w14:textId="0AE35F7B" w:rsidR="00295A90" w:rsidRDefault="005E5FDC" w:rsidP="002E3807">
      <w:pPr>
        <w:rPr>
          <w:b/>
          <w:bCs/>
          <w:lang w:eastAsia="zh-CN"/>
        </w:rPr>
      </w:pPr>
      <w:r w:rsidRPr="00CD7126">
        <w:rPr>
          <w:lang w:eastAsia="zh-CN"/>
        </w:rPr>
        <w:t xml:space="preserve">TR 38.744 has clarified that the inference configuration for RRM measurement event prediction, except for the event type, will be defined within RRM measurement prediction. </w:t>
      </w:r>
      <w:r>
        <w:rPr>
          <w:lang w:eastAsia="zh-CN"/>
        </w:rPr>
        <w:t>As for the event related information (event type and the event-related parameters), c</w:t>
      </w:r>
      <w:r w:rsidR="00215F08">
        <w:rPr>
          <w:lang w:eastAsia="zh-CN"/>
        </w:rPr>
        <w:t>onsidering that the existing RRM measurement framework is reused for RRM measurement prediction, t</w:t>
      </w:r>
      <w:r w:rsidR="00CD7126" w:rsidRPr="00CD7126">
        <w:rPr>
          <w:lang w:eastAsia="zh-CN"/>
        </w:rPr>
        <w:t>he content</w:t>
      </w:r>
      <w:r w:rsidR="00215F08">
        <w:rPr>
          <w:lang w:eastAsia="zh-CN"/>
        </w:rPr>
        <w:t>s</w:t>
      </w:r>
      <w:r w:rsidR="00CD7126" w:rsidRPr="00CD7126">
        <w:rPr>
          <w:lang w:eastAsia="zh-CN"/>
        </w:rPr>
        <w:t xml:space="preserve"> of event-related information (e.g., A1-A6 thresholds, </w:t>
      </w:r>
      <w:proofErr w:type="spellStart"/>
      <w:r w:rsidR="00CD7126" w:rsidRPr="00CD7126">
        <w:rPr>
          <w:lang w:eastAsia="zh-CN"/>
        </w:rPr>
        <w:t>timeToTrigger</w:t>
      </w:r>
      <w:proofErr w:type="spellEnd"/>
      <w:r w:rsidR="00CD7126" w:rsidRPr="00CD7126">
        <w:rPr>
          <w:lang w:eastAsia="zh-CN"/>
        </w:rPr>
        <w:t xml:space="preserve">, etc.) can be </w:t>
      </w:r>
      <w:r w:rsidR="00215F08">
        <w:rPr>
          <w:lang w:eastAsia="zh-CN"/>
        </w:rPr>
        <w:t>based on</w:t>
      </w:r>
      <w:r w:rsidR="00CD7126" w:rsidRPr="00CD7126">
        <w:rPr>
          <w:lang w:eastAsia="zh-CN"/>
        </w:rPr>
        <w:t xml:space="preserve"> the legacy design. </w:t>
      </w:r>
    </w:p>
    <w:p w14:paraId="173692B1" w14:textId="4F115913" w:rsidR="00A86BCF" w:rsidRPr="00A86BCF" w:rsidRDefault="00A86BCF" w:rsidP="00B9356F">
      <w:pPr>
        <w:rPr>
          <w:b/>
          <w:bCs/>
          <w:lang w:eastAsia="zh-CN"/>
        </w:rPr>
      </w:pPr>
      <w:r w:rsidRPr="00A86BCF">
        <w:rPr>
          <w:b/>
          <w:bCs/>
          <w:lang w:eastAsia="zh-CN"/>
        </w:rPr>
        <w:t xml:space="preserve">Proposal </w:t>
      </w:r>
      <w:r w:rsidR="00B94ABB">
        <w:rPr>
          <w:b/>
          <w:bCs/>
          <w:lang w:eastAsia="zh-CN"/>
        </w:rPr>
        <w:t>2</w:t>
      </w:r>
      <w:r w:rsidR="006F7BD1">
        <w:rPr>
          <w:b/>
          <w:bCs/>
          <w:lang w:eastAsia="zh-CN"/>
        </w:rPr>
        <w:t>:</w:t>
      </w:r>
      <w:r w:rsidRPr="00A86BCF">
        <w:rPr>
          <w:b/>
          <w:bCs/>
          <w:lang w:eastAsia="zh-CN"/>
        </w:rPr>
        <w:t xml:space="preserve"> </w:t>
      </w:r>
      <w:r w:rsidR="00671BB7">
        <w:rPr>
          <w:b/>
          <w:bCs/>
          <w:lang w:eastAsia="zh-CN"/>
        </w:rPr>
        <w:t>The same i</w:t>
      </w:r>
      <w:r w:rsidRPr="00A86BCF">
        <w:rPr>
          <w:b/>
          <w:bCs/>
          <w:lang w:eastAsia="zh-CN"/>
        </w:rPr>
        <w:t xml:space="preserve">nference </w:t>
      </w:r>
      <w:r w:rsidR="00543ED7">
        <w:rPr>
          <w:b/>
          <w:bCs/>
          <w:lang w:eastAsia="zh-CN"/>
        </w:rPr>
        <w:t xml:space="preserve">and reporting </w:t>
      </w:r>
      <w:r w:rsidRPr="00A86BCF">
        <w:rPr>
          <w:b/>
          <w:bCs/>
          <w:lang w:eastAsia="zh-CN"/>
        </w:rPr>
        <w:t>configuration</w:t>
      </w:r>
      <w:r w:rsidR="00F76AC6">
        <w:rPr>
          <w:b/>
          <w:bCs/>
          <w:lang w:eastAsia="zh-CN"/>
        </w:rPr>
        <w:t xml:space="preserve"> (e.g., the length of PW</w:t>
      </w:r>
      <w:r w:rsidR="00543ED7">
        <w:rPr>
          <w:b/>
          <w:bCs/>
          <w:lang w:eastAsia="zh-CN"/>
        </w:rPr>
        <w:t>, and the inclusion of the event-related information into the reporting configuration</w:t>
      </w:r>
      <w:r w:rsidR="00F76AC6">
        <w:rPr>
          <w:b/>
          <w:bCs/>
          <w:lang w:eastAsia="zh-CN"/>
        </w:rPr>
        <w:t>)</w:t>
      </w:r>
      <w:r w:rsidRPr="00A86BCF">
        <w:rPr>
          <w:b/>
          <w:bCs/>
          <w:lang w:eastAsia="zh-CN"/>
        </w:rPr>
        <w:t xml:space="preserve"> </w:t>
      </w:r>
      <w:r w:rsidR="00671BB7">
        <w:rPr>
          <w:b/>
          <w:bCs/>
          <w:lang w:eastAsia="zh-CN"/>
        </w:rPr>
        <w:t xml:space="preserve">is used for both </w:t>
      </w:r>
      <w:r w:rsidRPr="00A86BCF">
        <w:rPr>
          <w:b/>
          <w:bCs/>
          <w:lang w:eastAsia="zh-CN"/>
        </w:rPr>
        <w:t xml:space="preserve">RRM measurement </w:t>
      </w:r>
      <w:r>
        <w:rPr>
          <w:b/>
          <w:bCs/>
          <w:lang w:eastAsia="zh-CN"/>
        </w:rPr>
        <w:t>event prediction and RRM measurement prediction.</w:t>
      </w:r>
    </w:p>
    <w:p w14:paraId="05878BF8" w14:textId="2D5ECEDA" w:rsidR="00285451" w:rsidRDefault="00B17283" w:rsidP="00285451">
      <w:pPr>
        <w:pStyle w:val="Heading2"/>
        <w:ind w:left="578" w:hanging="578"/>
        <w:rPr>
          <w:lang w:eastAsia="sv-SE"/>
        </w:rPr>
      </w:pPr>
      <w:r>
        <w:rPr>
          <w:lang w:eastAsia="sv-SE"/>
        </w:rPr>
        <w:t>Event r</w:t>
      </w:r>
      <w:r w:rsidR="00285451">
        <w:rPr>
          <w:lang w:eastAsia="sv-SE"/>
        </w:rPr>
        <w:t>eporting aspect</w:t>
      </w:r>
      <w:r w:rsidR="001F4277">
        <w:rPr>
          <w:lang w:eastAsia="sv-SE"/>
        </w:rPr>
        <w:t>s</w:t>
      </w:r>
    </w:p>
    <w:p w14:paraId="118063F6" w14:textId="528D8AA1" w:rsidR="00285451" w:rsidRDefault="00434564" w:rsidP="00285451">
      <w:pPr>
        <w:rPr>
          <w:lang w:eastAsia="zh-CN"/>
        </w:rPr>
      </w:pPr>
      <w:r>
        <w:rPr>
          <w:rFonts w:hint="eastAsia"/>
          <w:lang w:eastAsia="zh-CN"/>
        </w:rPr>
        <w:t xml:space="preserve">The handover model </w:t>
      </w:r>
      <w:r w:rsidR="001F4277">
        <w:rPr>
          <w:lang w:eastAsia="zh-CN"/>
        </w:rPr>
        <w:t>wa</w:t>
      </w:r>
      <w:r>
        <w:rPr>
          <w:rFonts w:hint="eastAsia"/>
          <w:lang w:eastAsia="zh-CN"/>
        </w:rPr>
        <w:t xml:space="preserve">s defined to facilitate SLS, where </w:t>
      </w:r>
      <w:r>
        <w:rPr>
          <w:lang w:eastAsia="zh-CN"/>
        </w:rPr>
        <w:t>measurement</w:t>
      </w:r>
      <w:r>
        <w:rPr>
          <w:rFonts w:hint="eastAsia"/>
          <w:lang w:eastAsia="zh-CN"/>
        </w:rPr>
        <w:t xml:space="preserve"> event is predicted based on either intra-frequency temporal domain case A or intra-frequency temporal </w:t>
      </w:r>
      <w:r>
        <w:rPr>
          <w:lang w:eastAsia="zh-CN"/>
        </w:rPr>
        <w:t>domain</w:t>
      </w:r>
      <w:r>
        <w:rPr>
          <w:rFonts w:hint="eastAsia"/>
          <w:lang w:eastAsia="zh-CN"/>
        </w:rPr>
        <w:t xml:space="preserve"> case B. For both cases, n</w:t>
      </w:r>
      <w:r w:rsidRPr="005636C2">
        <w:rPr>
          <w:lang w:eastAsia="zh-CN"/>
        </w:rPr>
        <w:t>etwork start</w:t>
      </w:r>
      <w:r>
        <w:rPr>
          <w:rFonts w:hint="eastAsia"/>
          <w:lang w:eastAsia="zh-CN"/>
        </w:rPr>
        <w:t>s</w:t>
      </w:r>
      <w:r w:rsidRPr="005636C2">
        <w:rPr>
          <w:lang w:eastAsia="zh-CN"/>
        </w:rPr>
        <w:t xml:space="preserve"> with</w:t>
      </w:r>
      <w:r>
        <w:rPr>
          <w:rFonts w:hint="eastAsia"/>
          <w:lang w:eastAsia="zh-CN"/>
        </w:rPr>
        <w:t xml:space="preserve"> 40ms</w:t>
      </w:r>
      <w:r w:rsidRPr="005636C2">
        <w:rPr>
          <w:lang w:eastAsia="zh-CN"/>
        </w:rPr>
        <w:t xml:space="preserve"> handover preparation once a predicted measurement event is received. A handover command will be transmitted after preparation is completed</w:t>
      </w:r>
      <w:r w:rsidR="007E3028">
        <w:rPr>
          <w:lang w:eastAsia="zh-CN"/>
        </w:rPr>
        <w:t xml:space="preserve"> at the earliest</w:t>
      </w:r>
      <w:r w:rsidRPr="005636C2">
        <w:rPr>
          <w:lang w:eastAsia="zh-CN"/>
        </w:rPr>
        <w:t xml:space="preserve">. After </w:t>
      </w:r>
      <w:r>
        <w:rPr>
          <w:rFonts w:hint="eastAsia"/>
          <w:lang w:eastAsia="zh-CN"/>
        </w:rPr>
        <w:t>handover command</w:t>
      </w:r>
      <w:r w:rsidR="007E3028">
        <w:rPr>
          <w:lang w:eastAsia="zh-CN"/>
        </w:rPr>
        <w:t xml:space="preserve"> is sent</w:t>
      </w:r>
      <w:r>
        <w:rPr>
          <w:rFonts w:hint="eastAsia"/>
          <w:lang w:eastAsia="zh-CN"/>
        </w:rPr>
        <w:t>,</w:t>
      </w:r>
      <w:r w:rsidRPr="005636C2">
        <w:rPr>
          <w:lang w:eastAsia="zh-CN"/>
        </w:rPr>
        <w:t xml:space="preserve"> </w:t>
      </w:r>
      <w:r w:rsidR="007E3028">
        <w:rPr>
          <w:lang w:eastAsia="zh-CN"/>
        </w:rPr>
        <w:t xml:space="preserve">another </w:t>
      </w:r>
      <w:r>
        <w:rPr>
          <w:rFonts w:hint="eastAsia"/>
          <w:lang w:eastAsia="zh-CN"/>
        </w:rPr>
        <w:t xml:space="preserve">40ms </w:t>
      </w:r>
      <w:r w:rsidR="007E3028">
        <w:rPr>
          <w:lang w:eastAsia="zh-CN"/>
        </w:rPr>
        <w:t xml:space="preserve">is assumed for HO </w:t>
      </w:r>
      <w:r>
        <w:rPr>
          <w:rFonts w:hint="eastAsia"/>
          <w:lang w:eastAsia="zh-CN"/>
        </w:rPr>
        <w:t>execution duration</w:t>
      </w:r>
      <w:r w:rsidR="007E3028">
        <w:rPr>
          <w:lang w:eastAsia="zh-CN"/>
        </w:rPr>
        <w:t>.</w:t>
      </w:r>
      <w:r w:rsidRPr="005636C2">
        <w:rPr>
          <w:lang w:eastAsia="zh-CN"/>
        </w:rPr>
        <w:t xml:space="preserve"> </w:t>
      </w:r>
      <w:r w:rsidR="007E3028">
        <w:rPr>
          <w:lang w:eastAsia="zh-CN"/>
        </w:rPr>
        <w:t xml:space="preserve">Based on the modelling described </w:t>
      </w:r>
      <w:r w:rsidR="00F76AC6">
        <w:rPr>
          <w:lang w:eastAsia="zh-CN"/>
        </w:rPr>
        <w:t xml:space="preserve">in TR 38.744, if </w:t>
      </w:r>
      <w:r w:rsidR="004627A7">
        <w:rPr>
          <w:lang w:eastAsia="zh-CN"/>
        </w:rPr>
        <w:t xml:space="preserve">a </w:t>
      </w:r>
      <w:r w:rsidR="00F76AC6">
        <w:rPr>
          <w:lang w:eastAsia="zh-CN"/>
        </w:rPr>
        <w:t xml:space="preserve">measurement event </w:t>
      </w:r>
      <w:r w:rsidR="00F76AC6">
        <w:rPr>
          <w:lang w:eastAsia="zh-CN"/>
        </w:rPr>
        <w:lastRenderedPageBreak/>
        <w:t xml:space="preserve">is predicted based on intra-frequency temporal </w:t>
      </w:r>
      <w:r w:rsidR="00FD7974">
        <w:rPr>
          <w:lang w:eastAsia="zh-CN"/>
        </w:rPr>
        <w:t>domain case A, there are two options for deciding the time point to transmit handover command:</w:t>
      </w:r>
    </w:p>
    <w:p w14:paraId="176A59BD" w14:textId="143FF86D" w:rsidR="00FD7974" w:rsidRDefault="00FD7974" w:rsidP="00285451">
      <w:pPr>
        <w:rPr>
          <w:lang w:eastAsia="zh-CN"/>
        </w:rPr>
      </w:pPr>
      <w:r w:rsidRPr="00EE6433">
        <w:rPr>
          <w:b/>
          <w:bCs/>
          <w:lang w:eastAsia="zh-CN"/>
        </w:rPr>
        <w:t>Option 1: Relying on legacy measurement event</w:t>
      </w:r>
      <w:r w:rsidR="00EE6433">
        <w:rPr>
          <w:lang w:eastAsia="zh-CN"/>
        </w:rPr>
        <w:t xml:space="preserve">. E.g., </w:t>
      </w:r>
      <w:r w:rsidR="007E3028">
        <w:rPr>
          <w:lang w:eastAsia="zh-CN"/>
        </w:rPr>
        <w:t xml:space="preserve">at </w:t>
      </w:r>
      <w:r w:rsidR="00EE6433">
        <w:rPr>
          <w:rFonts w:hint="eastAsia"/>
          <w:lang w:eastAsia="zh-CN"/>
        </w:rPr>
        <w:t>t0</w:t>
      </w:r>
      <w:r w:rsidR="007E3028">
        <w:rPr>
          <w:lang w:eastAsia="zh-CN"/>
        </w:rPr>
        <w:t xml:space="preserve"> a</w:t>
      </w:r>
      <w:r w:rsidR="00EE6433">
        <w:rPr>
          <w:rFonts w:hint="eastAsia"/>
          <w:lang w:eastAsia="zh-CN"/>
        </w:rPr>
        <w:t xml:space="preserve"> measurement event is predicted at some point of time in future. </w:t>
      </w:r>
      <w:r w:rsidR="007E3028">
        <w:rPr>
          <w:lang w:eastAsia="zh-CN"/>
        </w:rPr>
        <w:t xml:space="preserve">Network performs HO preparation but </w:t>
      </w:r>
      <w:r w:rsidR="00EE6433">
        <w:rPr>
          <w:rFonts w:hint="eastAsia"/>
          <w:lang w:eastAsia="zh-CN"/>
        </w:rPr>
        <w:t xml:space="preserve">will not transmit </w:t>
      </w:r>
      <w:r w:rsidR="007E3028">
        <w:rPr>
          <w:lang w:eastAsia="zh-CN"/>
        </w:rPr>
        <w:t xml:space="preserve">a </w:t>
      </w:r>
      <w:r w:rsidR="00EE6433">
        <w:rPr>
          <w:rFonts w:hint="eastAsia"/>
          <w:lang w:eastAsia="zh-CN"/>
        </w:rPr>
        <w:t xml:space="preserve">handover command until a real measurement event is reported for the same </w:t>
      </w:r>
      <w:r w:rsidR="00EE6433">
        <w:rPr>
          <w:lang w:eastAsia="zh-CN"/>
        </w:rPr>
        <w:t>neighboring</w:t>
      </w:r>
      <w:r w:rsidR="00EE6433">
        <w:rPr>
          <w:rFonts w:hint="eastAsia"/>
          <w:lang w:eastAsia="zh-CN"/>
        </w:rPr>
        <w:t xml:space="preserve"> cell.</w:t>
      </w:r>
    </w:p>
    <w:p w14:paraId="761D229D" w14:textId="0DD8ABC1" w:rsidR="00C64C4F" w:rsidRPr="00EE6433" w:rsidRDefault="00C64C4F" w:rsidP="00C64C4F">
      <w:pPr>
        <w:jc w:val="center"/>
        <w:rPr>
          <w:lang w:eastAsia="zh-CN"/>
        </w:rPr>
      </w:pPr>
      <w:r>
        <w:rPr>
          <w:noProof/>
        </w:rPr>
        <w:drawing>
          <wp:inline distT="0" distB="0" distL="0" distR="0" wp14:anchorId="4C41B8D2" wp14:editId="5752F30D">
            <wp:extent cx="3412509" cy="132537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23059" cy="1329471"/>
                    </a:xfrm>
                    <a:prstGeom prst="rect">
                      <a:avLst/>
                    </a:prstGeom>
                  </pic:spPr>
                </pic:pic>
              </a:graphicData>
            </a:graphic>
          </wp:inline>
        </w:drawing>
      </w:r>
    </w:p>
    <w:p w14:paraId="435EEF27" w14:textId="6CBF4203" w:rsidR="00EE6433" w:rsidRDefault="00FD7974" w:rsidP="00EE6433">
      <w:pPr>
        <w:rPr>
          <w:lang w:eastAsia="zh-CN"/>
        </w:rPr>
      </w:pPr>
      <w:r w:rsidRPr="00EE6433">
        <w:rPr>
          <w:b/>
          <w:bCs/>
          <w:lang w:eastAsia="zh-CN"/>
        </w:rPr>
        <w:t>Option 2: Relying on predicted measurement event</w:t>
      </w:r>
      <w:r w:rsidR="00EE6433">
        <w:rPr>
          <w:b/>
          <w:bCs/>
          <w:lang w:eastAsia="zh-CN"/>
        </w:rPr>
        <w:t xml:space="preserve">. </w:t>
      </w:r>
      <w:r w:rsidR="00EE6433" w:rsidRPr="007E3028">
        <w:rPr>
          <w:bCs/>
          <w:lang w:eastAsia="zh-CN"/>
        </w:rPr>
        <w:t>E.g.,</w:t>
      </w:r>
      <w:r w:rsidR="007E3028">
        <w:rPr>
          <w:lang w:eastAsia="zh-CN"/>
        </w:rPr>
        <w:t xml:space="preserve"> at</w:t>
      </w:r>
      <w:r w:rsidR="00EE6433" w:rsidRPr="007E3028">
        <w:rPr>
          <w:lang w:eastAsia="zh-CN"/>
        </w:rPr>
        <w:t xml:space="preserve"> </w:t>
      </w:r>
      <w:r w:rsidR="00EE6433">
        <w:rPr>
          <w:rFonts w:hint="eastAsia"/>
          <w:lang w:eastAsia="zh-CN"/>
        </w:rPr>
        <w:t xml:space="preserve">t0, measurement event is predicted </w:t>
      </w:r>
      <w:r w:rsidR="00EE6433">
        <w:rPr>
          <w:lang w:eastAsia="zh-CN"/>
        </w:rPr>
        <w:t xml:space="preserve">at </w:t>
      </w:r>
      <w:r w:rsidR="00EE6433">
        <w:rPr>
          <w:rFonts w:hint="eastAsia"/>
          <w:lang w:eastAsia="zh-CN"/>
        </w:rPr>
        <w:t xml:space="preserve">future time t1. Network </w:t>
      </w:r>
      <w:r w:rsidR="007E3028">
        <w:rPr>
          <w:lang w:eastAsia="zh-CN"/>
        </w:rPr>
        <w:t xml:space="preserve">performs HO preparation and </w:t>
      </w:r>
      <w:r w:rsidR="00EE6433">
        <w:rPr>
          <w:rFonts w:hint="eastAsia"/>
          <w:lang w:eastAsia="zh-CN"/>
        </w:rPr>
        <w:t>transmits</w:t>
      </w:r>
      <w:r w:rsidR="007E3028">
        <w:rPr>
          <w:lang w:eastAsia="zh-CN"/>
        </w:rPr>
        <w:t xml:space="preserve"> a</w:t>
      </w:r>
      <w:r w:rsidR="00EE6433">
        <w:rPr>
          <w:rFonts w:hint="eastAsia"/>
          <w:lang w:eastAsia="zh-CN"/>
        </w:rPr>
        <w:t xml:space="preserve"> handover command when </w:t>
      </w:r>
      <w:r w:rsidR="007E3028">
        <w:rPr>
          <w:lang w:eastAsia="zh-CN"/>
        </w:rPr>
        <w:t xml:space="preserve">an </w:t>
      </w:r>
      <w:r w:rsidR="00EE6433">
        <w:rPr>
          <w:rFonts w:hint="eastAsia"/>
          <w:lang w:eastAsia="zh-CN"/>
        </w:rPr>
        <w:t xml:space="preserve">entry condition of the predicted measurement event is met based on actual measurement result </w:t>
      </w:r>
      <w:r w:rsidR="00EE6433">
        <w:rPr>
          <w:lang w:eastAsia="zh-CN"/>
        </w:rPr>
        <w:t>at</w:t>
      </w:r>
      <w:r w:rsidR="00EE6433">
        <w:rPr>
          <w:rFonts w:hint="eastAsia"/>
          <w:lang w:eastAsia="zh-CN"/>
        </w:rPr>
        <w:t xml:space="preserve"> t2</w:t>
      </w:r>
      <w:r w:rsidR="007E3028">
        <w:rPr>
          <w:lang w:eastAsia="zh-CN"/>
        </w:rPr>
        <w:t>,</w:t>
      </w:r>
      <w:r w:rsidR="00EE6433">
        <w:rPr>
          <w:rFonts w:hint="eastAsia"/>
          <w:lang w:eastAsia="zh-CN"/>
        </w:rPr>
        <w:t xml:space="preserve"> unless t2 is earlier than handover preparation phase</w:t>
      </w:r>
      <w:r w:rsidR="007E3028">
        <w:rPr>
          <w:lang w:eastAsia="zh-CN"/>
        </w:rPr>
        <w:t xml:space="preserve"> end time</w:t>
      </w:r>
      <w:r w:rsidR="00EE6433">
        <w:rPr>
          <w:rFonts w:hint="eastAsia"/>
          <w:lang w:eastAsia="zh-CN"/>
        </w:rPr>
        <w:t xml:space="preserve">. In </w:t>
      </w:r>
      <w:r w:rsidR="007E3028">
        <w:rPr>
          <w:lang w:eastAsia="zh-CN"/>
        </w:rPr>
        <w:t xml:space="preserve">the </w:t>
      </w:r>
      <w:r w:rsidR="00EE6433">
        <w:rPr>
          <w:rFonts w:hint="eastAsia"/>
          <w:lang w:eastAsia="zh-CN"/>
        </w:rPr>
        <w:t>lat</w:t>
      </w:r>
      <w:r w:rsidR="007E3028">
        <w:rPr>
          <w:lang w:eastAsia="zh-CN"/>
        </w:rPr>
        <w:t>t</w:t>
      </w:r>
      <w:r w:rsidR="00EE6433">
        <w:rPr>
          <w:rFonts w:hint="eastAsia"/>
          <w:lang w:eastAsia="zh-CN"/>
        </w:rPr>
        <w:t xml:space="preserve">er case, network transmits </w:t>
      </w:r>
      <w:r w:rsidR="007E3028">
        <w:rPr>
          <w:lang w:eastAsia="zh-CN"/>
        </w:rPr>
        <w:t xml:space="preserve">a </w:t>
      </w:r>
      <w:r w:rsidR="00EE6433">
        <w:rPr>
          <w:rFonts w:hint="eastAsia"/>
          <w:lang w:eastAsia="zh-CN"/>
        </w:rPr>
        <w:t xml:space="preserve">handover command immediately after handover preparation phase. In this way, not only handover </w:t>
      </w:r>
      <w:r w:rsidR="00EE6433">
        <w:rPr>
          <w:lang w:eastAsia="zh-CN"/>
        </w:rPr>
        <w:t>preparation</w:t>
      </w:r>
      <w:r w:rsidR="00EE6433">
        <w:rPr>
          <w:rFonts w:hint="eastAsia"/>
          <w:lang w:eastAsia="zh-CN"/>
        </w:rPr>
        <w:t xml:space="preserve"> </w:t>
      </w:r>
      <w:r w:rsidR="007E3028">
        <w:rPr>
          <w:lang w:eastAsia="zh-CN"/>
        </w:rPr>
        <w:t xml:space="preserve">time can </w:t>
      </w:r>
      <w:r w:rsidR="00EE6433">
        <w:rPr>
          <w:rFonts w:hint="eastAsia"/>
          <w:lang w:eastAsia="zh-CN"/>
        </w:rPr>
        <w:t xml:space="preserve">be saved but also </w:t>
      </w:r>
      <w:r w:rsidR="007E3028">
        <w:rPr>
          <w:lang w:eastAsia="zh-CN"/>
        </w:rPr>
        <w:t xml:space="preserve">a </w:t>
      </w:r>
      <w:r w:rsidR="00EE6433">
        <w:rPr>
          <w:rFonts w:hint="eastAsia"/>
          <w:lang w:eastAsia="zh-CN"/>
        </w:rPr>
        <w:t>handover can be executed earlier.</w:t>
      </w:r>
    </w:p>
    <w:p w14:paraId="3ED63004" w14:textId="4225E246" w:rsidR="00C64C4F" w:rsidRDefault="00C64C4F" w:rsidP="00C64C4F">
      <w:pPr>
        <w:jc w:val="center"/>
        <w:rPr>
          <w:lang w:eastAsia="zh-CN"/>
        </w:rPr>
      </w:pPr>
      <w:r>
        <w:rPr>
          <w:noProof/>
        </w:rPr>
        <w:drawing>
          <wp:inline distT="0" distB="0" distL="0" distR="0" wp14:anchorId="42667E3B" wp14:editId="5C85C627">
            <wp:extent cx="3508020" cy="8461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6045" cy="852921"/>
                    </a:xfrm>
                    <a:prstGeom prst="rect">
                      <a:avLst/>
                    </a:prstGeom>
                  </pic:spPr>
                </pic:pic>
              </a:graphicData>
            </a:graphic>
          </wp:inline>
        </w:drawing>
      </w:r>
    </w:p>
    <w:p w14:paraId="50B897AB" w14:textId="6CB3937B" w:rsidR="007E3028" w:rsidRDefault="007E3028" w:rsidP="00285451">
      <w:pPr>
        <w:rPr>
          <w:lang w:eastAsia="zh-CN"/>
        </w:rPr>
      </w:pPr>
      <w:r>
        <w:rPr>
          <w:lang w:eastAsia="zh-CN"/>
        </w:rPr>
        <w:t xml:space="preserve">In general, the handover modelling option can be left to NW implementation. It means that it should be possible for the network to configure both predicted event reporting and actual event reporting at the same time, for the same measurement object. </w:t>
      </w:r>
      <w:r w:rsidR="00AA78CC">
        <w:rPr>
          <w:lang w:eastAsia="zh-CN"/>
        </w:rPr>
        <w:t xml:space="preserve">Then, the network may decide when to execute the handover preparation and send the handover command. </w:t>
      </w:r>
    </w:p>
    <w:p w14:paraId="639D0E06" w14:textId="0EB6B489" w:rsidR="00AA78CC" w:rsidRPr="00AA78CC" w:rsidRDefault="00AA78CC" w:rsidP="00AA78CC">
      <w:pPr>
        <w:rPr>
          <w:b/>
          <w:lang w:eastAsia="zh-CN"/>
        </w:rPr>
      </w:pPr>
      <w:r w:rsidRPr="00AA78CC">
        <w:rPr>
          <w:b/>
          <w:lang w:eastAsia="zh-CN"/>
        </w:rPr>
        <w:t xml:space="preserve">Observation </w:t>
      </w:r>
      <w:r w:rsidR="00B94ABB">
        <w:rPr>
          <w:b/>
          <w:lang w:eastAsia="zh-CN"/>
        </w:rPr>
        <w:t>2</w:t>
      </w:r>
      <w:r w:rsidRPr="00AA78CC">
        <w:rPr>
          <w:b/>
          <w:lang w:eastAsia="zh-CN"/>
        </w:rPr>
        <w:t xml:space="preserve">: It should be possible for the network to configure both predicted event reporting and actual event reporting at the same time, for the same measurement object. </w:t>
      </w:r>
    </w:p>
    <w:p w14:paraId="5C4F863B" w14:textId="786D8E5E" w:rsidR="006974EA" w:rsidRDefault="00AA78CC" w:rsidP="00285451">
      <w:pPr>
        <w:rPr>
          <w:lang w:eastAsia="zh-CN"/>
        </w:rPr>
      </w:pPr>
      <w:r>
        <w:rPr>
          <w:lang w:eastAsia="zh-CN"/>
        </w:rPr>
        <w:t>Furthermore</w:t>
      </w:r>
      <w:r w:rsidR="000C6576" w:rsidRPr="000C6576">
        <w:rPr>
          <w:lang w:eastAsia="zh-CN"/>
        </w:rPr>
        <w:t xml:space="preserve">, the network </w:t>
      </w:r>
      <w:r>
        <w:rPr>
          <w:lang w:eastAsia="zh-CN"/>
        </w:rPr>
        <w:t>should be able to</w:t>
      </w:r>
      <w:r w:rsidRPr="000C6576">
        <w:rPr>
          <w:lang w:eastAsia="zh-CN"/>
        </w:rPr>
        <w:t xml:space="preserve"> </w:t>
      </w:r>
      <w:r w:rsidR="000C6576" w:rsidRPr="000C6576">
        <w:rPr>
          <w:lang w:eastAsia="zh-CN"/>
        </w:rPr>
        <w:t>distinguish whether the event report is for a legacy event or a predicted event. This distinction enables the network to decide when to initiate the transmission of the handover command based on either option 1 or option 2. Consequently, an indication is required to identify whether the reported event is actual or predicted.</w:t>
      </w:r>
    </w:p>
    <w:p w14:paraId="55D34422" w14:textId="2161A423" w:rsidR="006974EA" w:rsidRPr="006974EA" w:rsidRDefault="006974EA" w:rsidP="00285451">
      <w:pPr>
        <w:rPr>
          <w:b/>
          <w:bCs/>
          <w:lang w:eastAsia="zh-CN"/>
        </w:rPr>
      </w:pPr>
      <w:r w:rsidRPr="006974EA">
        <w:rPr>
          <w:rFonts w:hint="eastAsia"/>
          <w:b/>
          <w:bCs/>
          <w:lang w:eastAsia="zh-CN"/>
        </w:rPr>
        <w:t>P</w:t>
      </w:r>
      <w:r w:rsidRPr="006974EA">
        <w:rPr>
          <w:b/>
          <w:bCs/>
          <w:lang w:eastAsia="zh-CN"/>
        </w:rPr>
        <w:t xml:space="preserve">roposal </w:t>
      </w:r>
      <w:r w:rsidR="00B94ABB">
        <w:rPr>
          <w:b/>
          <w:bCs/>
          <w:lang w:eastAsia="zh-CN"/>
        </w:rPr>
        <w:t>3</w:t>
      </w:r>
      <w:r w:rsidRPr="006974EA">
        <w:rPr>
          <w:b/>
          <w:bCs/>
          <w:lang w:eastAsia="zh-CN"/>
        </w:rPr>
        <w:t xml:space="preserve">: </w:t>
      </w:r>
      <w:r w:rsidR="00B8290C">
        <w:rPr>
          <w:b/>
          <w:bCs/>
          <w:lang w:eastAsia="zh-CN"/>
        </w:rPr>
        <w:t>An</w:t>
      </w:r>
      <w:r w:rsidRPr="006974EA">
        <w:rPr>
          <w:b/>
          <w:bCs/>
          <w:lang w:eastAsia="zh-CN"/>
        </w:rPr>
        <w:t xml:space="preserve"> indication is needed to indicate whether the </w:t>
      </w:r>
      <w:r w:rsidR="00B8290C">
        <w:rPr>
          <w:b/>
          <w:bCs/>
          <w:lang w:eastAsia="zh-CN"/>
        </w:rPr>
        <w:t xml:space="preserve">measurement event </w:t>
      </w:r>
      <w:r w:rsidRPr="006974EA">
        <w:rPr>
          <w:b/>
          <w:bCs/>
          <w:lang w:eastAsia="zh-CN"/>
        </w:rPr>
        <w:t xml:space="preserve">report is </w:t>
      </w:r>
      <w:r w:rsidR="00B8290C">
        <w:rPr>
          <w:b/>
          <w:bCs/>
          <w:lang w:eastAsia="zh-CN"/>
        </w:rPr>
        <w:t xml:space="preserve">triggered based on an </w:t>
      </w:r>
      <w:r w:rsidRPr="006974EA">
        <w:rPr>
          <w:b/>
          <w:bCs/>
          <w:lang w:eastAsia="zh-CN"/>
        </w:rPr>
        <w:t>actual or predict</w:t>
      </w:r>
      <w:r w:rsidR="00B8290C">
        <w:rPr>
          <w:b/>
          <w:bCs/>
          <w:lang w:eastAsia="zh-CN"/>
        </w:rPr>
        <w:t>ed</w:t>
      </w:r>
      <w:r w:rsidRPr="006974EA">
        <w:rPr>
          <w:b/>
          <w:bCs/>
          <w:lang w:eastAsia="zh-CN"/>
        </w:rPr>
        <w:t xml:space="preserve"> </w:t>
      </w:r>
      <w:r w:rsidR="00B8290C">
        <w:rPr>
          <w:b/>
          <w:bCs/>
          <w:lang w:eastAsia="zh-CN"/>
        </w:rPr>
        <w:t xml:space="preserve">event </w:t>
      </w:r>
      <w:r w:rsidRPr="006974EA">
        <w:rPr>
          <w:b/>
          <w:bCs/>
          <w:lang w:eastAsia="zh-CN"/>
        </w:rPr>
        <w:t xml:space="preserve">to help </w:t>
      </w:r>
      <w:r w:rsidR="00B8290C">
        <w:rPr>
          <w:b/>
          <w:bCs/>
          <w:lang w:eastAsia="zh-CN"/>
        </w:rPr>
        <w:t xml:space="preserve">the </w:t>
      </w:r>
      <w:r w:rsidR="004627A7">
        <w:rPr>
          <w:b/>
          <w:bCs/>
          <w:lang w:eastAsia="zh-CN"/>
        </w:rPr>
        <w:t>network</w:t>
      </w:r>
      <w:r w:rsidRPr="006974EA">
        <w:rPr>
          <w:b/>
          <w:bCs/>
          <w:lang w:eastAsia="zh-CN"/>
        </w:rPr>
        <w:t xml:space="preserve"> decide the time </w:t>
      </w:r>
      <w:r>
        <w:rPr>
          <w:b/>
          <w:bCs/>
          <w:lang w:eastAsia="zh-CN"/>
        </w:rPr>
        <w:t xml:space="preserve">point </w:t>
      </w:r>
      <w:r w:rsidRPr="006974EA">
        <w:rPr>
          <w:b/>
          <w:bCs/>
          <w:lang w:eastAsia="zh-CN"/>
        </w:rPr>
        <w:t>to transmit</w:t>
      </w:r>
      <w:r w:rsidR="00481BBB">
        <w:rPr>
          <w:b/>
          <w:bCs/>
          <w:lang w:eastAsia="zh-CN"/>
        </w:rPr>
        <w:t xml:space="preserve"> a</w:t>
      </w:r>
      <w:r w:rsidRPr="006974EA">
        <w:rPr>
          <w:b/>
          <w:bCs/>
          <w:lang w:eastAsia="zh-CN"/>
        </w:rPr>
        <w:t xml:space="preserve"> handover command.</w:t>
      </w:r>
    </w:p>
    <w:p w14:paraId="25114970" w14:textId="77777777" w:rsidR="00B94ABB" w:rsidRDefault="00B94ABB" w:rsidP="00B94ABB">
      <w:pPr>
        <w:pStyle w:val="Heading2"/>
        <w:ind w:left="578" w:hanging="578"/>
        <w:rPr>
          <w:lang w:eastAsia="sv-SE"/>
        </w:rPr>
      </w:pPr>
      <w:r>
        <w:rPr>
          <w:lang w:eastAsia="sv-SE"/>
        </w:rPr>
        <w:t>UE capability for RRM measurement event prediction</w:t>
      </w:r>
    </w:p>
    <w:p w14:paraId="233B012A" w14:textId="77777777" w:rsidR="00B94ABB" w:rsidRDefault="00B94ABB" w:rsidP="00B94ABB">
      <w:pPr>
        <w:rPr>
          <w:bCs/>
        </w:rPr>
      </w:pPr>
      <w:r>
        <w:rPr>
          <w:bCs/>
        </w:rPr>
        <w:t xml:space="preserve">Indirect measurement event prediction for the use cases of intra-frequency temporal domain case A and B and frequency domain is based on the measurement result(s) predicted by </w:t>
      </w:r>
      <w:proofErr w:type="gramStart"/>
      <w:r>
        <w:rPr>
          <w:bCs/>
        </w:rPr>
        <w:t>a</w:t>
      </w:r>
      <w:proofErr w:type="gramEnd"/>
      <w:r>
        <w:rPr>
          <w:bCs/>
        </w:rPr>
        <w:t xml:space="preserve"> RRM measurement prediction model [1]. The support of indirect measurement event prediction for a use case will hence depend on whether UE also supports the RRM measurement prediction for the corresponding use case.</w:t>
      </w:r>
    </w:p>
    <w:p w14:paraId="29A879EE" w14:textId="77777777" w:rsidR="00B94ABB" w:rsidRDefault="00B94ABB" w:rsidP="00B94ABB">
      <w:pPr>
        <w:rPr>
          <w:bCs/>
        </w:rPr>
      </w:pPr>
    </w:p>
    <w:p w14:paraId="3F5A78DA" w14:textId="46E60210" w:rsidR="00B94ABB" w:rsidRPr="0034763E" w:rsidRDefault="00B94ABB" w:rsidP="00B94ABB">
      <w:pPr>
        <w:rPr>
          <w:b/>
          <w:bCs/>
        </w:rPr>
      </w:pPr>
      <w:r w:rsidRPr="0034763E">
        <w:rPr>
          <w:b/>
          <w:bCs/>
        </w:rPr>
        <w:t>Observation</w:t>
      </w:r>
      <w:r>
        <w:rPr>
          <w:b/>
          <w:bCs/>
        </w:rPr>
        <w:t xml:space="preserve"> </w:t>
      </w:r>
      <w:r>
        <w:rPr>
          <w:b/>
          <w:bCs/>
        </w:rPr>
        <w:t>3</w:t>
      </w:r>
      <w:r w:rsidRPr="0034763E">
        <w:rPr>
          <w:b/>
          <w:bCs/>
        </w:rPr>
        <w:t>: The support of indirect measurement event prediction for a use case depends on whether UE also supports the RRM measurement prediction for the corresponding use case.</w:t>
      </w:r>
    </w:p>
    <w:p w14:paraId="0CDB116D" w14:textId="77777777" w:rsidR="00B94ABB" w:rsidRDefault="00B94ABB" w:rsidP="00B94ABB">
      <w:pPr>
        <w:rPr>
          <w:bCs/>
          <w:lang w:eastAsia="zh-CN"/>
        </w:rPr>
      </w:pPr>
      <w:r>
        <w:rPr>
          <w:bCs/>
          <w:lang w:eastAsia="zh-CN"/>
        </w:rPr>
        <w:t xml:space="preserve">On whether the UE needs to additionally report separate capabilities for different event types A1~A6, as long as the UE supports the RRM measurement prediction for a use case, the UE should be able to support all the event types in our view. Hence there is no need to indicate which event types are supported in the UE capability </w:t>
      </w:r>
      <w:r>
        <w:rPr>
          <w:bCs/>
          <w:lang w:eastAsia="zh-CN"/>
        </w:rPr>
        <w:lastRenderedPageBreak/>
        <w:t>signaling for a use case. As long as the legacy events A1-A6 are supported (as in</w:t>
      </w:r>
      <w:r w:rsidRPr="00751011">
        <w:t xml:space="preserve"> </w:t>
      </w:r>
      <w:proofErr w:type="spellStart"/>
      <w:r w:rsidRPr="00751011">
        <w:rPr>
          <w:bCs/>
          <w:i/>
          <w:lang w:eastAsia="zh-CN"/>
        </w:rPr>
        <w:t>eventA-MeasAndReport</w:t>
      </w:r>
      <w:proofErr w:type="spellEnd"/>
      <w:r>
        <w:rPr>
          <w:bCs/>
          <w:lang w:eastAsia="zh-CN"/>
        </w:rPr>
        <w:t xml:space="preserve">), it should also be applicable to the indirect measurement event prediction (i.e. a pre-requisite can be added to the capability for each use case that it can only be set if the legacy </w:t>
      </w:r>
      <w:proofErr w:type="spellStart"/>
      <w:r w:rsidRPr="00751011">
        <w:rPr>
          <w:bCs/>
          <w:i/>
          <w:lang w:eastAsia="zh-CN"/>
        </w:rPr>
        <w:t>eventA-MeasAndReport</w:t>
      </w:r>
      <w:proofErr w:type="spellEnd"/>
      <w:r>
        <w:rPr>
          <w:bCs/>
          <w:lang w:eastAsia="zh-CN"/>
        </w:rPr>
        <w:t xml:space="preserve"> is supported).</w:t>
      </w:r>
    </w:p>
    <w:p w14:paraId="4B3827FD" w14:textId="28F0864D" w:rsidR="00B94ABB" w:rsidRPr="00751011" w:rsidRDefault="00B94ABB" w:rsidP="00B94ABB">
      <w:pPr>
        <w:rPr>
          <w:b/>
          <w:bCs/>
          <w:lang w:eastAsia="zh-CN"/>
        </w:rPr>
      </w:pPr>
      <w:r w:rsidRPr="00751011">
        <w:rPr>
          <w:b/>
          <w:bCs/>
          <w:lang w:eastAsia="zh-CN"/>
        </w:rPr>
        <w:t>Observation</w:t>
      </w:r>
      <w:r>
        <w:rPr>
          <w:b/>
          <w:bCs/>
          <w:lang w:eastAsia="zh-CN"/>
        </w:rPr>
        <w:t xml:space="preserve"> </w:t>
      </w:r>
      <w:r>
        <w:rPr>
          <w:b/>
          <w:bCs/>
          <w:lang w:eastAsia="zh-CN"/>
        </w:rPr>
        <w:t>4</w:t>
      </w:r>
      <w:r w:rsidRPr="00751011">
        <w:rPr>
          <w:b/>
          <w:bCs/>
          <w:lang w:eastAsia="zh-CN"/>
        </w:rPr>
        <w:t>: There is no need to separately indicate the support of the different event types A1-A6 that can be predicted and reported. As long as the legacy events A1-A6 are supported (as in</w:t>
      </w:r>
      <w:r w:rsidRPr="00751011">
        <w:rPr>
          <w:b/>
        </w:rPr>
        <w:t xml:space="preserve"> </w:t>
      </w:r>
      <w:proofErr w:type="spellStart"/>
      <w:r w:rsidRPr="00751011">
        <w:rPr>
          <w:b/>
          <w:bCs/>
          <w:i/>
          <w:lang w:eastAsia="zh-CN"/>
        </w:rPr>
        <w:t>eventA-MeasAndReport</w:t>
      </w:r>
      <w:proofErr w:type="spellEnd"/>
      <w:r w:rsidRPr="00751011">
        <w:rPr>
          <w:b/>
          <w:bCs/>
          <w:lang w:eastAsia="zh-CN"/>
        </w:rPr>
        <w:t>), it should also be applicable to the indirect measurement event prediction</w:t>
      </w:r>
      <w:r>
        <w:rPr>
          <w:b/>
          <w:bCs/>
          <w:lang w:eastAsia="zh-CN"/>
        </w:rPr>
        <w:t>.</w:t>
      </w:r>
    </w:p>
    <w:p w14:paraId="4462E0E3" w14:textId="77777777" w:rsidR="00B94ABB" w:rsidRDefault="00B94ABB" w:rsidP="00B94ABB">
      <w:pPr>
        <w:rPr>
          <w:bCs/>
          <w:lang w:eastAsia="zh-CN"/>
        </w:rPr>
      </w:pPr>
    </w:p>
    <w:p w14:paraId="205A4559" w14:textId="765DF45F" w:rsidR="00B94ABB" w:rsidRDefault="00B94ABB" w:rsidP="00B94ABB">
      <w:pPr>
        <w:rPr>
          <w:bCs/>
          <w:lang w:eastAsia="zh-CN"/>
        </w:rPr>
      </w:pPr>
      <w:r>
        <w:rPr>
          <w:bCs/>
          <w:lang w:eastAsia="zh-CN"/>
        </w:rPr>
        <w:t xml:space="preserve">Based on the observation </w:t>
      </w:r>
      <w:r w:rsidR="00D97E81">
        <w:rPr>
          <w:bCs/>
          <w:lang w:eastAsia="zh-CN"/>
        </w:rPr>
        <w:t>3</w:t>
      </w:r>
      <w:r>
        <w:rPr>
          <w:bCs/>
          <w:lang w:eastAsia="zh-CN"/>
        </w:rPr>
        <w:t xml:space="preserve"> and </w:t>
      </w:r>
      <w:r w:rsidR="00D97E81">
        <w:rPr>
          <w:bCs/>
          <w:lang w:eastAsia="zh-CN"/>
        </w:rPr>
        <w:t>4</w:t>
      </w:r>
      <w:r>
        <w:rPr>
          <w:bCs/>
          <w:lang w:eastAsia="zh-CN"/>
        </w:rPr>
        <w:t xml:space="preserve">, it is clear that there is no need for an explicit capability signaling for indirect measurement event prediction. Hence it is proposed: </w:t>
      </w:r>
    </w:p>
    <w:p w14:paraId="42233BDA" w14:textId="41E6283B" w:rsidR="00B94ABB" w:rsidRDefault="00B94ABB" w:rsidP="00B94ABB">
      <w:pPr>
        <w:rPr>
          <w:b/>
        </w:rPr>
      </w:pPr>
      <w:r w:rsidRPr="00103037">
        <w:rPr>
          <w:b/>
        </w:rPr>
        <w:t xml:space="preserve">Proposal </w:t>
      </w:r>
      <w:r>
        <w:rPr>
          <w:b/>
        </w:rPr>
        <w:t>4</w:t>
      </w:r>
      <w:r w:rsidRPr="00103037">
        <w:rPr>
          <w:b/>
        </w:rPr>
        <w:t xml:space="preserve">: </w:t>
      </w:r>
      <w:r w:rsidRPr="002E3807">
        <w:rPr>
          <w:b/>
        </w:rPr>
        <w:t>No explicit capability signaling is required for indirect measurement event prediction. It will be a component in the RRM measurement prediction capability signaling</w:t>
      </w:r>
      <w:r>
        <w:rPr>
          <w:b/>
        </w:rPr>
        <w:t xml:space="preserve">. </w:t>
      </w:r>
    </w:p>
    <w:p w14:paraId="5CBBEFD6" w14:textId="77777777" w:rsidR="00B94ABB" w:rsidRPr="00303201" w:rsidRDefault="00B94ABB" w:rsidP="00B94ABB">
      <w:r>
        <w:t>W</w:t>
      </w:r>
      <w:r w:rsidRPr="00303201">
        <w:t xml:space="preserve">hether RRM measurement prediction capability </w:t>
      </w:r>
      <w:proofErr w:type="spellStart"/>
      <w:r w:rsidRPr="00303201">
        <w:t>signalling</w:t>
      </w:r>
      <w:proofErr w:type="spellEnd"/>
      <w:r w:rsidRPr="00303201">
        <w:t xml:space="preserve"> is per use case or sub-use case is discussed in our RRM measurement prediction </w:t>
      </w:r>
      <w:proofErr w:type="spellStart"/>
      <w:r w:rsidRPr="00303201">
        <w:t>Tdoc</w:t>
      </w:r>
      <w:proofErr w:type="spellEnd"/>
      <w:r w:rsidRPr="00303201">
        <w:t xml:space="preserve"> [3]. </w:t>
      </w:r>
    </w:p>
    <w:p w14:paraId="6B081558" w14:textId="77777777" w:rsidR="00FD7974" w:rsidRPr="00004F63" w:rsidRDefault="00FD7974" w:rsidP="00285451">
      <w:pPr>
        <w:rPr>
          <w:lang w:eastAsia="zh-CN"/>
        </w:rPr>
      </w:pPr>
    </w:p>
    <w:p w14:paraId="141CB8BE" w14:textId="045C37C0" w:rsidR="000171D3" w:rsidRP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52CF54A1" w14:textId="11C7DC04" w:rsidR="00B94ABB" w:rsidRPr="00B94ABB" w:rsidRDefault="00B94ABB" w:rsidP="00B94ABB">
      <w:pPr>
        <w:rPr>
          <w:u w:val="single"/>
          <w:lang w:eastAsia="sv-SE"/>
        </w:rPr>
      </w:pPr>
      <w:r>
        <w:rPr>
          <w:u w:val="single"/>
          <w:lang w:eastAsia="sv-SE"/>
        </w:rPr>
        <w:t>A</w:t>
      </w:r>
      <w:r w:rsidRPr="00B94ABB">
        <w:rPr>
          <w:u w:val="single"/>
          <w:lang w:eastAsia="sv-SE"/>
        </w:rPr>
        <w:t>pplicability reporting</w:t>
      </w:r>
    </w:p>
    <w:p w14:paraId="30645937" w14:textId="29F0C5D9" w:rsidR="00B94ABB" w:rsidRPr="00B94ABB" w:rsidRDefault="00B94ABB" w:rsidP="00B94ABB">
      <w:pPr>
        <w:rPr>
          <w:b/>
          <w:bCs/>
        </w:rPr>
      </w:pPr>
      <w:r w:rsidRPr="00B94ABB">
        <w:rPr>
          <w:b/>
          <w:bCs/>
        </w:rPr>
        <w:t xml:space="preserve">Observation </w:t>
      </w:r>
      <w:r>
        <w:rPr>
          <w:b/>
          <w:bCs/>
        </w:rPr>
        <w:t>1</w:t>
      </w:r>
      <w:r w:rsidRPr="00B94ABB">
        <w:rPr>
          <w:b/>
          <w:bCs/>
        </w:rPr>
        <w:t>: Since indirect measurement event prediction is based on measurement prediction, applicability reporting procedure for the indirect measurement event prediction can follow the same procedure as applicability reporting for the RRM measurement prediction.</w:t>
      </w:r>
    </w:p>
    <w:p w14:paraId="14BF6AA6" w14:textId="5F28C124" w:rsidR="00B94ABB" w:rsidRPr="00B94ABB" w:rsidRDefault="00B94ABB" w:rsidP="00B94ABB">
      <w:pPr>
        <w:rPr>
          <w:b/>
          <w:bCs/>
        </w:rPr>
      </w:pPr>
      <w:r w:rsidRPr="00B94ABB">
        <w:rPr>
          <w:b/>
          <w:bCs/>
        </w:rPr>
        <w:t xml:space="preserve">Proposal </w:t>
      </w:r>
      <w:r>
        <w:rPr>
          <w:b/>
          <w:bCs/>
        </w:rPr>
        <w:t>1</w:t>
      </w:r>
      <w:r w:rsidRPr="00B94ABB">
        <w:rPr>
          <w:b/>
          <w:bCs/>
        </w:rPr>
        <w:t>: The applicability configuration and report procedure for RRM measurement event prediction is the same as for RRM measurement prediction, including the set of inference related parameters.</w:t>
      </w:r>
    </w:p>
    <w:p w14:paraId="00B85466" w14:textId="77777777" w:rsidR="00B94ABB" w:rsidRDefault="00B94ABB" w:rsidP="00B94ABB">
      <w:pPr>
        <w:rPr>
          <w:b/>
          <w:bCs/>
        </w:rPr>
      </w:pPr>
    </w:p>
    <w:p w14:paraId="709C7A1E" w14:textId="58022958" w:rsidR="00B94ABB" w:rsidRPr="00B94ABB" w:rsidRDefault="00B94ABB" w:rsidP="00B94ABB">
      <w:pPr>
        <w:rPr>
          <w:u w:val="single"/>
          <w:lang w:eastAsia="sv-SE"/>
        </w:rPr>
      </w:pPr>
      <w:r w:rsidRPr="00B94ABB">
        <w:rPr>
          <w:u w:val="single"/>
          <w:lang w:eastAsia="sv-SE"/>
        </w:rPr>
        <w:t>Inference and reporting configuration</w:t>
      </w:r>
    </w:p>
    <w:p w14:paraId="0E6B29B7" w14:textId="714F75A7" w:rsidR="00B94ABB" w:rsidRPr="00B94ABB" w:rsidRDefault="00B94ABB" w:rsidP="00B94ABB">
      <w:pPr>
        <w:rPr>
          <w:b/>
          <w:bCs/>
        </w:rPr>
      </w:pPr>
      <w:r w:rsidRPr="00B94ABB">
        <w:rPr>
          <w:b/>
          <w:bCs/>
        </w:rPr>
        <w:t xml:space="preserve">Proposal </w:t>
      </w:r>
      <w:r>
        <w:rPr>
          <w:b/>
          <w:bCs/>
        </w:rPr>
        <w:t>2</w:t>
      </w:r>
      <w:r w:rsidRPr="00B94ABB">
        <w:rPr>
          <w:b/>
          <w:bCs/>
        </w:rPr>
        <w:t>: The same inference and reporting configuration (e.g., the length of PW, and the inclusion of the event-related information into the reporting configuration) is used for both RRM measurement event prediction and RRM measurement prediction.</w:t>
      </w:r>
    </w:p>
    <w:p w14:paraId="717138C8" w14:textId="77777777" w:rsidR="00B94ABB" w:rsidRDefault="00B94ABB" w:rsidP="00B94ABB">
      <w:pPr>
        <w:rPr>
          <w:b/>
          <w:bCs/>
        </w:rPr>
      </w:pPr>
    </w:p>
    <w:p w14:paraId="49BA4666" w14:textId="6FCE4AC0" w:rsidR="00B94ABB" w:rsidRPr="00B94ABB" w:rsidRDefault="00B17283" w:rsidP="00B94ABB">
      <w:pPr>
        <w:rPr>
          <w:bCs/>
          <w:u w:val="single"/>
        </w:rPr>
      </w:pPr>
      <w:r>
        <w:rPr>
          <w:bCs/>
          <w:u w:val="single"/>
        </w:rPr>
        <w:t>Event r</w:t>
      </w:r>
      <w:r w:rsidR="00B94ABB" w:rsidRPr="00B94ABB">
        <w:rPr>
          <w:bCs/>
          <w:u w:val="single"/>
        </w:rPr>
        <w:t>eporting aspects</w:t>
      </w:r>
    </w:p>
    <w:p w14:paraId="34B55997" w14:textId="77777777" w:rsidR="00B94ABB" w:rsidRPr="00B94ABB" w:rsidRDefault="00B94ABB" w:rsidP="00B94ABB">
      <w:pPr>
        <w:rPr>
          <w:b/>
          <w:bCs/>
        </w:rPr>
      </w:pPr>
      <w:r w:rsidRPr="00B94ABB">
        <w:rPr>
          <w:b/>
          <w:bCs/>
        </w:rPr>
        <w:t xml:space="preserve">Observation </w:t>
      </w:r>
      <w:r>
        <w:rPr>
          <w:b/>
          <w:bCs/>
        </w:rPr>
        <w:t>2</w:t>
      </w:r>
      <w:r w:rsidRPr="00B94ABB">
        <w:rPr>
          <w:b/>
          <w:bCs/>
        </w:rPr>
        <w:t xml:space="preserve">: It should be possible for the network to configure both predicted event reporting and actual event reporting at the same time, for the same measurement object. </w:t>
      </w:r>
    </w:p>
    <w:p w14:paraId="782442B8" w14:textId="5240F345" w:rsidR="003D3596" w:rsidRDefault="00B94ABB" w:rsidP="00B94ABB">
      <w:pPr>
        <w:rPr>
          <w:b/>
          <w:bCs/>
        </w:rPr>
      </w:pPr>
      <w:r w:rsidRPr="00B94ABB">
        <w:rPr>
          <w:b/>
          <w:bCs/>
        </w:rPr>
        <w:t xml:space="preserve">Proposal </w:t>
      </w:r>
      <w:r>
        <w:rPr>
          <w:b/>
          <w:bCs/>
        </w:rPr>
        <w:t>3</w:t>
      </w:r>
      <w:r w:rsidRPr="00B94ABB">
        <w:rPr>
          <w:b/>
          <w:bCs/>
        </w:rPr>
        <w:t>: An indication is needed to indicate whether the measurement event report is triggered based on an actual or predicted event to help the network decide the time point to transmit a handover command.</w:t>
      </w:r>
    </w:p>
    <w:p w14:paraId="78982479" w14:textId="7FBC2572" w:rsidR="00B94ABB" w:rsidRDefault="00B94ABB" w:rsidP="00B94ABB">
      <w:pPr>
        <w:rPr>
          <w:color w:val="000000" w:themeColor="text1"/>
          <w:kern w:val="2"/>
          <w:lang w:eastAsia="zh-CN"/>
        </w:rPr>
      </w:pPr>
    </w:p>
    <w:p w14:paraId="3AD81A86" w14:textId="77777777" w:rsidR="00B94ABB" w:rsidRPr="00B94ABB" w:rsidRDefault="00B94ABB" w:rsidP="00B94ABB">
      <w:pPr>
        <w:rPr>
          <w:u w:val="single"/>
          <w:lang w:eastAsia="sv-SE"/>
        </w:rPr>
      </w:pPr>
      <w:r w:rsidRPr="00B94ABB">
        <w:rPr>
          <w:u w:val="single"/>
          <w:lang w:eastAsia="sv-SE"/>
        </w:rPr>
        <w:t>UE capabilit</w:t>
      </w:r>
      <w:r>
        <w:rPr>
          <w:u w:val="single"/>
          <w:lang w:eastAsia="sv-SE"/>
        </w:rPr>
        <w:t>ies</w:t>
      </w:r>
    </w:p>
    <w:p w14:paraId="0F7E5522" w14:textId="3861399E" w:rsidR="00B94ABB" w:rsidRPr="00B94ABB" w:rsidRDefault="00B94ABB" w:rsidP="00B94ABB">
      <w:pPr>
        <w:rPr>
          <w:b/>
          <w:bCs/>
        </w:rPr>
      </w:pPr>
      <w:r w:rsidRPr="00B94ABB">
        <w:rPr>
          <w:b/>
          <w:bCs/>
        </w:rPr>
        <w:t xml:space="preserve">Observation </w:t>
      </w:r>
      <w:r>
        <w:rPr>
          <w:b/>
          <w:bCs/>
        </w:rPr>
        <w:t>3</w:t>
      </w:r>
      <w:r w:rsidRPr="00B94ABB">
        <w:rPr>
          <w:b/>
          <w:bCs/>
        </w:rPr>
        <w:t>: The support of indirect measurement event prediction for a use case depends on whether UE also supports the RRM measurement prediction for the corresponding use case.</w:t>
      </w:r>
    </w:p>
    <w:p w14:paraId="7C94B3A4" w14:textId="76E0D58B" w:rsidR="00B94ABB" w:rsidRPr="00B94ABB" w:rsidRDefault="00B94ABB" w:rsidP="00B94ABB">
      <w:pPr>
        <w:rPr>
          <w:b/>
          <w:bCs/>
        </w:rPr>
      </w:pPr>
      <w:r w:rsidRPr="00B94ABB">
        <w:rPr>
          <w:b/>
          <w:bCs/>
        </w:rPr>
        <w:t xml:space="preserve">Observation </w:t>
      </w:r>
      <w:r>
        <w:rPr>
          <w:b/>
          <w:bCs/>
        </w:rPr>
        <w:t>4</w:t>
      </w:r>
      <w:r w:rsidRPr="00B94ABB">
        <w:rPr>
          <w:b/>
          <w:bCs/>
        </w:rPr>
        <w:t xml:space="preserve">: There is no need to separately indicate the support of the different event types A1-A6 that can be predicted and reported. As long as the legacy events A1-A6 are supported (as in </w:t>
      </w:r>
      <w:proofErr w:type="spellStart"/>
      <w:r w:rsidRPr="00B94ABB">
        <w:rPr>
          <w:b/>
          <w:bCs/>
        </w:rPr>
        <w:t>eventA-MeasAndReport</w:t>
      </w:r>
      <w:proofErr w:type="spellEnd"/>
      <w:r w:rsidRPr="00B94ABB">
        <w:rPr>
          <w:b/>
          <w:bCs/>
        </w:rPr>
        <w:t>), it should also be applicable to the indirect measurement event prediction.</w:t>
      </w:r>
    </w:p>
    <w:p w14:paraId="6FBCA6EB" w14:textId="3972D40E" w:rsidR="00B94ABB" w:rsidRPr="00B94ABB" w:rsidRDefault="00B94ABB" w:rsidP="00B94ABB">
      <w:pPr>
        <w:rPr>
          <w:b/>
          <w:bCs/>
        </w:rPr>
      </w:pPr>
      <w:r w:rsidRPr="00B94ABB">
        <w:rPr>
          <w:b/>
          <w:bCs/>
        </w:rPr>
        <w:lastRenderedPageBreak/>
        <w:t xml:space="preserve">Proposal </w:t>
      </w:r>
      <w:r>
        <w:rPr>
          <w:b/>
          <w:bCs/>
        </w:rPr>
        <w:t>4</w:t>
      </w:r>
      <w:r w:rsidRPr="00B94ABB">
        <w:rPr>
          <w:b/>
          <w:bCs/>
        </w:rPr>
        <w:t xml:space="preserve">: No explicit capability signaling is required for indirect measurement event prediction. It will be a component in the RRM measurement prediction capability signaling. </w:t>
      </w:r>
    </w:p>
    <w:p w14:paraId="6FF59167" w14:textId="77777777" w:rsidR="00B94ABB" w:rsidRPr="006974EA" w:rsidRDefault="00B94ABB" w:rsidP="00B94ABB">
      <w:pPr>
        <w:rPr>
          <w:color w:val="000000" w:themeColor="text1"/>
          <w:kern w:val="2"/>
          <w:lang w:eastAsia="zh-CN"/>
        </w:rPr>
      </w:pPr>
    </w:p>
    <w:p w14:paraId="60D36F95" w14:textId="74DF8EE8"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2E66DAD9" w14:textId="3BBB2A37" w:rsidR="000171D3" w:rsidRDefault="000171D3" w:rsidP="000171D3">
      <w:pPr>
        <w:rPr>
          <w:rStyle w:val="SubtleReference"/>
        </w:rPr>
      </w:pPr>
      <w:bookmarkStart w:id="3" w:name="_Hlk204783447"/>
      <w:r w:rsidRPr="000171D3">
        <w:rPr>
          <w:rStyle w:val="SubtleReference"/>
        </w:rPr>
        <w:t xml:space="preserve">[1] </w:t>
      </w:r>
      <w:bookmarkEnd w:id="3"/>
      <w:r w:rsidRPr="000171D3">
        <w:rPr>
          <w:rStyle w:val="SubtleReference"/>
        </w:rPr>
        <w:t>3GPP TR 38.744 v1.</w:t>
      </w:r>
      <w:r w:rsidR="00CD1D6F">
        <w:rPr>
          <w:rStyle w:val="SubtleReference"/>
        </w:rPr>
        <w:t>2</w:t>
      </w:r>
      <w:r w:rsidRPr="000171D3">
        <w:rPr>
          <w:rStyle w:val="SubtleReference"/>
        </w:rPr>
        <w:t>.0</w:t>
      </w:r>
    </w:p>
    <w:p w14:paraId="1B95CDFC" w14:textId="7DBF98C0" w:rsidR="000171D3" w:rsidRPr="00BD7211" w:rsidRDefault="000171D3" w:rsidP="000171D3">
      <w:pPr>
        <w:rPr>
          <w:rStyle w:val="SubtleReference"/>
          <w:lang w:eastAsia="zh-CN"/>
        </w:rPr>
      </w:pPr>
      <w:r w:rsidRPr="00BD7211">
        <w:rPr>
          <w:rStyle w:val="SubtleReference"/>
          <w:rFonts w:hint="eastAsia"/>
        </w:rPr>
        <w:t>[</w:t>
      </w:r>
      <w:r w:rsidRPr="00BD7211">
        <w:rPr>
          <w:rStyle w:val="SubtleReference"/>
        </w:rPr>
        <w:t xml:space="preserve">2] </w:t>
      </w:r>
      <w:r w:rsidR="00BD7211" w:rsidRPr="00BD7211">
        <w:rPr>
          <w:rStyle w:val="SubtleReference"/>
        </w:rPr>
        <w:t>3GPP TSG-RAN WG2 Meeting #13</w:t>
      </w:r>
      <w:r w:rsidR="00CD1D6F">
        <w:rPr>
          <w:rStyle w:val="SubtleReference"/>
        </w:rPr>
        <w:t>1</w:t>
      </w:r>
      <w:r w:rsidR="00BD7211" w:rsidRPr="00BD7211">
        <w:rPr>
          <w:rStyle w:val="SubtleReference"/>
        </w:rPr>
        <w:t xml:space="preserve"> chair note of AI/ML for mobility</w:t>
      </w:r>
    </w:p>
    <w:p w14:paraId="661885BC" w14:textId="3130AA62" w:rsidR="000171D3" w:rsidRPr="00BD7211" w:rsidRDefault="000171D3" w:rsidP="00ED3022">
      <w:pPr>
        <w:rPr>
          <w:rStyle w:val="SubtleReference"/>
          <w:lang w:eastAsia="zh-CN"/>
        </w:rPr>
      </w:pPr>
    </w:p>
    <w:sectPr w:rsidR="000171D3" w:rsidRPr="00BD7211"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31C71" w14:textId="77777777" w:rsidR="00740685" w:rsidRDefault="00740685" w:rsidP="003F5FBF">
      <w:pPr>
        <w:spacing w:after="0"/>
      </w:pPr>
      <w:r>
        <w:separator/>
      </w:r>
    </w:p>
  </w:endnote>
  <w:endnote w:type="continuationSeparator" w:id="0">
    <w:p w14:paraId="37A65B12" w14:textId="77777777" w:rsidR="00740685" w:rsidRDefault="00740685"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Times New Roman"/>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77DD" w14:textId="77777777" w:rsidR="00740685" w:rsidRDefault="00740685" w:rsidP="003F5FBF">
      <w:pPr>
        <w:spacing w:after="0"/>
      </w:pPr>
      <w:r>
        <w:separator/>
      </w:r>
    </w:p>
  </w:footnote>
  <w:footnote w:type="continuationSeparator" w:id="0">
    <w:p w14:paraId="43116385" w14:textId="77777777" w:rsidR="00740685" w:rsidRDefault="00740685"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E6"/>
    <w:multiLevelType w:val="hybridMultilevel"/>
    <w:tmpl w:val="5504E79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715"/>
    <w:multiLevelType w:val="hybridMultilevel"/>
    <w:tmpl w:val="06B49FF8"/>
    <w:lvl w:ilvl="0" w:tplc="FB6C1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6E670C"/>
    <w:multiLevelType w:val="multilevel"/>
    <w:tmpl w:val="06507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372D64"/>
    <w:multiLevelType w:val="hybridMultilevel"/>
    <w:tmpl w:val="8B3C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6D4756"/>
    <w:multiLevelType w:val="hybridMultilevel"/>
    <w:tmpl w:val="FE186504"/>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F32BF2"/>
    <w:multiLevelType w:val="multilevel"/>
    <w:tmpl w:val="33F32BF2"/>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EA57FF4"/>
    <w:multiLevelType w:val="hybridMultilevel"/>
    <w:tmpl w:val="0E86702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D76F1"/>
    <w:multiLevelType w:val="hybridMultilevel"/>
    <w:tmpl w:val="EF088FEC"/>
    <w:lvl w:ilvl="0" w:tplc="AA7ABEA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07E7594"/>
    <w:multiLevelType w:val="hybridMultilevel"/>
    <w:tmpl w:val="63CCE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257ECD"/>
    <w:multiLevelType w:val="hybridMultilevel"/>
    <w:tmpl w:val="962A5B5A"/>
    <w:lvl w:ilvl="0" w:tplc="889C6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CE95B17"/>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6" w15:restartNumberingAfterBreak="0">
    <w:nsid w:val="50CA2D25"/>
    <w:multiLevelType w:val="hybridMultilevel"/>
    <w:tmpl w:val="345C2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C03DA"/>
    <w:multiLevelType w:val="multilevel"/>
    <w:tmpl w:val="33F32BF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8" w15:restartNumberingAfterBreak="0">
    <w:nsid w:val="5B7A1525"/>
    <w:multiLevelType w:val="hybridMultilevel"/>
    <w:tmpl w:val="B02C3572"/>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6CE3E78"/>
    <w:multiLevelType w:val="hybridMultilevel"/>
    <w:tmpl w:val="BF301B92"/>
    <w:lvl w:ilvl="0" w:tplc="83D05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F96CD6"/>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21"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BC76F9"/>
    <w:multiLevelType w:val="hybridMultilevel"/>
    <w:tmpl w:val="C1986FD2"/>
    <w:lvl w:ilvl="0" w:tplc="D3F28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94772D"/>
    <w:multiLevelType w:val="hybridMultilevel"/>
    <w:tmpl w:val="E02A58C4"/>
    <w:lvl w:ilvl="0" w:tplc="9F8E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663AB5"/>
    <w:multiLevelType w:val="hybridMultilevel"/>
    <w:tmpl w:val="AC42EFAA"/>
    <w:lvl w:ilvl="0" w:tplc="A1D8880A">
      <w:numFmt w:val="bullet"/>
      <w:lvlText w:val="-"/>
      <w:lvlJc w:val="left"/>
      <w:pPr>
        <w:ind w:left="1439" w:hanging="360"/>
      </w:pPr>
      <w:rPr>
        <w:rFonts w:ascii="Aptos" w:eastAsia="Aptos" w:hAnsi="Aptos"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num w:numId="1">
    <w:abstractNumId w:val="6"/>
  </w:num>
  <w:num w:numId="2">
    <w:abstractNumId w:val="8"/>
  </w:num>
  <w:num w:numId="3">
    <w:abstractNumId w:val="21"/>
  </w:num>
  <w:num w:numId="4">
    <w:abstractNumId w:val="9"/>
  </w:num>
  <w:num w:numId="5">
    <w:abstractNumId w:val="15"/>
  </w:num>
  <w:num w:numId="6">
    <w:abstractNumId w:val="20"/>
  </w:num>
  <w:num w:numId="7">
    <w:abstractNumId w:val="19"/>
  </w:num>
  <w:num w:numId="8">
    <w:abstractNumId w:val="23"/>
  </w:num>
  <w:num w:numId="9">
    <w:abstractNumId w:val="13"/>
  </w:num>
  <w:num w:numId="10">
    <w:abstractNumId w:val="2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lvlOverride w:ilvl="0">
      <w:startOverride w:val="1"/>
    </w:lvlOverride>
  </w:num>
  <w:num w:numId="16">
    <w:abstractNumId w:val="2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
  </w:num>
  <w:num w:numId="20">
    <w:abstractNumId w:val="12"/>
  </w:num>
  <w:num w:numId="21">
    <w:abstractNumId w:val="25"/>
  </w:num>
  <w:num w:numId="22">
    <w:abstractNumId w:val="0"/>
  </w:num>
  <w:num w:numId="23">
    <w:abstractNumId w:val="10"/>
  </w:num>
  <w:num w:numId="24">
    <w:abstractNumId w:val="16"/>
  </w:num>
  <w:num w:numId="25">
    <w:abstractNumId w:val="3"/>
  </w:num>
  <w:num w:numId="26">
    <w:abstractNumId w:val="4"/>
  </w:num>
  <w:num w:numId="27">
    <w:abstractNumId w:val="18"/>
  </w:num>
  <w:num w:numId="28">
    <w:abstractNumId w:val="14"/>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5D2"/>
    <w:rsid w:val="00004F63"/>
    <w:rsid w:val="00010326"/>
    <w:rsid w:val="000132AA"/>
    <w:rsid w:val="000171D3"/>
    <w:rsid w:val="000342E5"/>
    <w:rsid w:val="0003669C"/>
    <w:rsid w:val="00036A5B"/>
    <w:rsid w:val="0006509A"/>
    <w:rsid w:val="00077AA6"/>
    <w:rsid w:val="00085E95"/>
    <w:rsid w:val="00092B0A"/>
    <w:rsid w:val="000A0203"/>
    <w:rsid w:val="000A418B"/>
    <w:rsid w:val="000A5DCB"/>
    <w:rsid w:val="000A7776"/>
    <w:rsid w:val="000A7EA5"/>
    <w:rsid w:val="000B435A"/>
    <w:rsid w:val="000C0AFA"/>
    <w:rsid w:val="000C15DA"/>
    <w:rsid w:val="000C6576"/>
    <w:rsid w:val="000E461B"/>
    <w:rsid w:val="000F78F8"/>
    <w:rsid w:val="001014F3"/>
    <w:rsid w:val="00103037"/>
    <w:rsid w:val="00133A3C"/>
    <w:rsid w:val="0014116E"/>
    <w:rsid w:val="001769DD"/>
    <w:rsid w:val="00185BBD"/>
    <w:rsid w:val="00192B28"/>
    <w:rsid w:val="001A22D5"/>
    <w:rsid w:val="001A5A73"/>
    <w:rsid w:val="001B2185"/>
    <w:rsid w:val="001B7817"/>
    <w:rsid w:val="001D1CAC"/>
    <w:rsid w:val="001E7FF3"/>
    <w:rsid w:val="001F4277"/>
    <w:rsid w:val="002064EB"/>
    <w:rsid w:val="00207128"/>
    <w:rsid w:val="00207D30"/>
    <w:rsid w:val="00215F08"/>
    <w:rsid w:val="00243979"/>
    <w:rsid w:val="00255C56"/>
    <w:rsid w:val="00262C61"/>
    <w:rsid w:val="00266CD0"/>
    <w:rsid w:val="002740A2"/>
    <w:rsid w:val="00285451"/>
    <w:rsid w:val="00291163"/>
    <w:rsid w:val="00295A90"/>
    <w:rsid w:val="002B2B5C"/>
    <w:rsid w:val="002C49B6"/>
    <w:rsid w:val="002D22CD"/>
    <w:rsid w:val="002D746C"/>
    <w:rsid w:val="002E3807"/>
    <w:rsid w:val="002E5860"/>
    <w:rsid w:val="00303201"/>
    <w:rsid w:val="00313781"/>
    <w:rsid w:val="00324AAD"/>
    <w:rsid w:val="003261B4"/>
    <w:rsid w:val="003460B5"/>
    <w:rsid w:val="003469C0"/>
    <w:rsid w:val="0034763E"/>
    <w:rsid w:val="003514CF"/>
    <w:rsid w:val="00363E91"/>
    <w:rsid w:val="00364B46"/>
    <w:rsid w:val="003715F7"/>
    <w:rsid w:val="00385F9F"/>
    <w:rsid w:val="003923A7"/>
    <w:rsid w:val="003B0D80"/>
    <w:rsid w:val="003C23C0"/>
    <w:rsid w:val="003C4CDB"/>
    <w:rsid w:val="003D3596"/>
    <w:rsid w:val="003F24B7"/>
    <w:rsid w:val="003F3095"/>
    <w:rsid w:val="003F5FBF"/>
    <w:rsid w:val="00404C7D"/>
    <w:rsid w:val="0041652D"/>
    <w:rsid w:val="00427246"/>
    <w:rsid w:val="004274A1"/>
    <w:rsid w:val="00434564"/>
    <w:rsid w:val="00443244"/>
    <w:rsid w:val="00447239"/>
    <w:rsid w:val="00450384"/>
    <w:rsid w:val="0045116A"/>
    <w:rsid w:val="004627A7"/>
    <w:rsid w:val="004776C2"/>
    <w:rsid w:val="00481BBB"/>
    <w:rsid w:val="0048270C"/>
    <w:rsid w:val="004871CE"/>
    <w:rsid w:val="00491AD0"/>
    <w:rsid w:val="004D2473"/>
    <w:rsid w:val="004D72C2"/>
    <w:rsid w:val="004F79EF"/>
    <w:rsid w:val="00503922"/>
    <w:rsid w:val="0052717F"/>
    <w:rsid w:val="00536FD7"/>
    <w:rsid w:val="00543ED7"/>
    <w:rsid w:val="00544A79"/>
    <w:rsid w:val="005454B1"/>
    <w:rsid w:val="00567EA0"/>
    <w:rsid w:val="00573A95"/>
    <w:rsid w:val="00573DD7"/>
    <w:rsid w:val="00581759"/>
    <w:rsid w:val="00583683"/>
    <w:rsid w:val="00592D0B"/>
    <w:rsid w:val="005D3004"/>
    <w:rsid w:val="005E5FDC"/>
    <w:rsid w:val="00605542"/>
    <w:rsid w:val="0060570A"/>
    <w:rsid w:val="006070C8"/>
    <w:rsid w:val="006124A6"/>
    <w:rsid w:val="00625B9E"/>
    <w:rsid w:val="00663E01"/>
    <w:rsid w:val="006656A8"/>
    <w:rsid w:val="00665F07"/>
    <w:rsid w:val="00671BB7"/>
    <w:rsid w:val="006974EA"/>
    <w:rsid w:val="006A13A9"/>
    <w:rsid w:val="006A6CBE"/>
    <w:rsid w:val="006A7D2D"/>
    <w:rsid w:val="006B23AE"/>
    <w:rsid w:val="006B51E3"/>
    <w:rsid w:val="006B7149"/>
    <w:rsid w:val="006F7BD1"/>
    <w:rsid w:val="00716436"/>
    <w:rsid w:val="0072013F"/>
    <w:rsid w:val="00720C98"/>
    <w:rsid w:val="0072374E"/>
    <w:rsid w:val="007334AC"/>
    <w:rsid w:val="00740685"/>
    <w:rsid w:val="00741FF3"/>
    <w:rsid w:val="00751011"/>
    <w:rsid w:val="007644F5"/>
    <w:rsid w:val="00770BA1"/>
    <w:rsid w:val="007775DC"/>
    <w:rsid w:val="007805FF"/>
    <w:rsid w:val="007818CB"/>
    <w:rsid w:val="0078758B"/>
    <w:rsid w:val="007947BF"/>
    <w:rsid w:val="00795862"/>
    <w:rsid w:val="0079763F"/>
    <w:rsid w:val="007977C9"/>
    <w:rsid w:val="007A24C5"/>
    <w:rsid w:val="007B0D6A"/>
    <w:rsid w:val="007B7EF5"/>
    <w:rsid w:val="007E3028"/>
    <w:rsid w:val="007E67AE"/>
    <w:rsid w:val="007F050B"/>
    <w:rsid w:val="007F4FF2"/>
    <w:rsid w:val="00802070"/>
    <w:rsid w:val="00806EB6"/>
    <w:rsid w:val="00810A21"/>
    <w:rsid w:val="0081779B"/>
    <w:rsid w:val="00844224"/>
    <w:rsid w:val="008610C5"/>
    <w:rsid w:val="00862415"/>
    <w:rsid w:val="008650DB"/>
    <w:rsid w:val="00886EB3"/>
    <w:rsid w:val="00891F58"/>
    <w:rsid w:val="00893DE5"/>
    <w:rsid w:val="008A49C8"/>
    <w:rsid w:val="008B0A58"/>
    <w:rsid w:val="008C18AD"/>
    <w:rsid w:val="008C1D31"/>
    <w:rsid w:val="008E0E6D"/>
    <w:rsid w:val="008E5713"/>
    <w:rsid w:val="008E5EFB"/>
    <w:rsid w:val="008F6998"/>
    <w:rsid w:val="00900AB4"/>
    <w:rsid w:val="00906C52"/>
    <w:rsid w:val="00922193"/>
    <w:rsid w:val="00950903"/>
    <w:rsid w:val="00966F85"/>
    <w:rsid w:val="00972F9A"/>
    <w:rsid w:val="009809C3"/>
    <w:rsid w:val="009833ED"/>
    <w:rsid w:val="00984CFA"/>
    <w:rsid w:val="00996B4E"/>
    <w:rsid w:val="009A71D0"/>
    <w:rsid w:val="009B0CFB"/>
    <w:rsid w:val="009B43AB"/>
    <w:rsid w:val="00A06930"/>
    <w:rsid w:val="00A164B2"/>
    <w:rsid w:val="00A317B1"/>
    <w:rsid w:val="00A460F8"/>
    <w:rsid w:val="00A47F20"/>
    <w:rsid w:val="00A72C0D"/>
    <w:rsid w:val="00A755D2"/>
    <w:rsid w:val="00A80E19"/>
    <w:rsid w:val="00A82A32"/>
    <w:rsid w:val="00A867CF"/>
    <w:rsid w:val="00A86BCF"/>
    <w:rsid w:val="00A90081"/>
    <w:rsid w:val="00AA78CC"/>
    <w:rsid w:val="00AB53C7"/>
    <w:rsid w:val="00AB7928"/>
    <w:rsid w:val="00AC69A9"/>
    <w:rsid w:val="00AC6A23"/>
    <w:rsid w:val="00AD67A0"/>
    <w:rsid w:val="00B11843"/>
    <w:rsid w:val="00B123B5"/>
    <w:rsid w:val="00B15E96"/>
    <w:rsid w:val="00B17283"/>
    <w:rsid w:val="00B41CD6"/>
    <w:rsid w:val="00B421A5"/>
    <w:rsid w:val="00B75354"/>
    <w:rsid w:val="00B8290C"/>
    <w:rsid w:val="00B842F5"/>
    <w:rsid w:val="00B9356F"/>
    <w:rsid w:val="00B94ABB"/>
    <w:rsid w:val="00BA4023"/>
    <w:rsid w:val="00BB07EA"/>
    <w:rsid w:val="00BC1A15"/>
    <w:rsid w:val="00BD7211"/>
    <w:rsid w:val="00BE36EC"/>
    <w:rsid w:val="00BE3860"/>
    <w:rsid w:val="00BF1A04"/>
    <w:rsid w:val="00C16D58"/>
    <w:rsid w:val="00C3054A"/>
    <w:rsid w:val="00C50FCB"/>
    <w:rsid w:val="00C61E0C"/>
    <w:rsid w:val="00C64C4F"/>
    <w:rsid w:val="00C845F3"/>
    <w:rsid w:val="00C90566"/>
    <w:rsid w:val="00CA1546"/>
    <w:rsid w:val="00CB396E"/>
    <w:rsid w:val="00CD1D6F"/>
    <w:rsid w:val="00CD3F75"/>
    <w:rsid w:val="00CD7126"/>
    <w:rsid w:val="00CF1A6E"/>
    <w:rsid w:val="00D06007"/>
    <w:rsid w:val="00D067BD"/>
    <w:rsid w:val="00D141B3"/>
    <w:rsid w:val="00D335A4"/>
    <w:rsid w:val="00D35B4E"/>
    <w:rsid w:val="00D46D88"/>
    <w:rsid w:val="00D54BE6"/>
    <w:rsid w:val="00D55C66"/>
    <w:rsid w:val="00D56D31"/>
    <w:rsid w:val="00D63CB2"/>
    <w:rsid w:val="00D76EEB"/>
    <w:rsid w:val="00D82210"/>
    <w:rsid w:val="00D8696F"/>
    <w:rsid w:val="00D97CB1"/>
    <w:rsid w:val="00D97E81"/>
    <w:rsid w:val="00DA1FCB"/>
    <w:rsid w:val="00DA7EEE"/>
    <w:rsid w:val="00DB4524"/>
    <w:rsid w:val="00DC6B98"/>
    <w:rsid w:val="00DD0977"/>
    <w:rsid w:val="00DD223C"/>
    <w:rsid w:val="00DE6598"/>
    <w:rsid w:val="00E05CC9"/>
    <w:rsid w:val="00E4062E"/>
    <w:rsid w:val="00E4208E"/>
    <w:rsid w:val="00E521E1"/>
    <w:rsid w:val="00E659D4"/>
    <w:rsid w:val="00E72694"/>
    <w:rsid w:val="00E73013"/>
    <w:rsid w:val="00E93809"/>
    <w:rsid w:val="00EA49C5"/>
    <w:rsid w:val="00EB6E26"/>
    <w:rsid w:val="00EB7208"/>
    <w:rsid w:val="00EC6B3F"/>
    <w:rsid w:val="00ED3022"/>
    <w:rsid w:val="00ED57D6"/>
    <w:rsid w:val="00EE6433"/>
    <w:rsid w:val="00EF1747"/>
    <w:rsid w:val="00EF1B22"/>
    <w:rsid w:val="00EF4D39"/>
    <w:rsid w:val="00F05E3C"/>
    <w:rsid w:val="00F35A88"/>
    <w:rsid w:val="00F403E4"/>
    <w:rsid w:val="00F500A6"/>
    <w:rsid w:val="00F76AC6"/>
    <w:rsid w:val="00F85561"/>
    <w:rsid w:val="00F969EE"/>
    <w:rsid w:val="00FA1242"/>
    <w:rsid w:val="00FA487C"/>
    <w:rsid w:val="00FA5C21"/>
    <w:rsid w:val="00FA646D"/>
    <w:rsid w:val="00FC54DC"/>
    <w:rsid w:val="00FD454E"/>
    <w:rsid w:val="00FD7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55D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basedOn w:val="TableNormal"/>
    <w:uiPriority w:val="39"/>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4"/>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nhideWhenUsed/>
    <w:qFormat/>
    <w:rsid w:val="000171D3"/>
    <w:rPr>
      <w:sz w:val="21"/>
      <w:szCs w:val="21"/>
    </w:rPr>
  </w:style>
  <w:style w:type="paragraph" w:styleId="CommentText">
    <w:name w:val="annotation text"/>
    <w:basedOn w:val="Normal"/>
    <w:link w:val="CommentTextChar"/>
    <w:uiPriority w:val="99"/>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3B987-1A74-470B-A408-FBD49AC9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(Dawid)</cp:lastModifiedBy>
  <cp:revision>6</cp:revision>
  <dcterms:created xsi:type="dcterms:W3CDTF">2025-11-07T07:36:00Z</dcterms:created>
  <dcterms:modified xsi:type="dcterms:W3CDTF">2025-11-07T07:43:00Z</dcterms:modified>
</cp:coreProperties>
</file>