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BA634" w14:textId="3A2AA248" w:rsidR="00A77312" w:rsidRPr="00BE7552" w:rsidRDefault="00A77312" w:rsidP="00A77312">
      <w:pPr>
        <w:tabs>
          <w:tab w:val="left" w:pos="2160"/>
        </w:tabs>
        <w:rPr>
          <w:rFonts w:ascii="Arial" w:hAnsi="Arial" w:cs="Arial"/>
          <w:b/>
          <w:bCs/>
          <w:sz w:val="24"/>
          <w:lang w:val="en-US"/>
        </w:rPr>
      </w:pPr>
      <w:bookmarkStart w:id="0" w:name="historyclause"/>
      <w:r w:rsidRPr="00BE7552">
        <w:rPr>
          <w:rFonts w:ascii="Arial" w:hAnsi="Arial" w:cs="Arial"/>
          <w:b/>
          <w:sz w:val="24"/>
          <w:lang w:val="en-US"/>
        </w:rPr>
        <w:t>3GPP TSG-RAN WG2 Meeting #131</w:t>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r>
      <w:r w:rsidRPr="00BE7552">
        <w:rPr>
          <w:rFonts w:ascii="Arial" w:hAnsi="Arial" w:cs="Arial"/>
          <w:b/>
          <w:sz w:val="24"/>
          <w:lang w:val="en-US"/>
        </w:rPr>
        <w:tab/>
        <w:t xml:space="preserve">     </w:t>
      </w:r>
      <w:r w:rsidR="00786FD2" w:rsidRPr="00786FD2">
        <w:rPr>
          <w:rFonts w:ascii="Arial" w:hAnsi="Arial" w:cs="Arial"/>
          <w:b/>
          <w:bCs/>
          <w:sz w:val="24"/>
          <w:lang w:val="en-US"/>
        </w:rPr>
        <w:t>R2-2505441</w:t>
      </w:r>
    </w:p>
    <w:p w14:paraId="2147D8BC" w14:textId="4999E937" w:rsidR="00A77312" w:rsidRPr="00BE7552" w:rsidRDefault="00CB36DD" w:rsidP="00A77312">
      <w:pPr>
        <w:tabs>
          <w:tab w:val="left" w:pos="2160"/>
        </w:tabs>
        <w:rPr>
          <w:rFonts w:ascii="Arial" w:hAnsi="Arial" w:cs="Arial"/>
          <w:b/>
          <w:sz w:val="24"/>
          <w:lang w:val="en-US"/>
        </w:rPr>
      </w:pPr>
      <w:r w:rsidRPr="00BE7552">
        <w:rPr>
          <w:rFonts w:ascii="Arial" w:hAnsi="Arial" w:cs="Arial"/>
          <w:b/>
          <w:sz w:val="24"/>
          <w:lang w:val="en-US"/>
        </w:rPr>
        <w:t>Bengaluru</w:t>
      </w:r>
      <w:r w:rsidR="00A77312" w:rsidRPr="00BE7552">
        <w:rPr>
          <w:rFonts w:ascii="Arial" w:hAnsi="Arial" w:cs="Arial"/>
          <w:b/>
          <w:sz w:val="24"/>
          <w:lang w:val="en-US"/>
        </w:rPr>
        <w:t xml:space="preserve">, </w:t>
      </w:r>
      <w:r w:rsidRPr="00BE7552">
        <w:rPr>
          <w:rFonts w:ascii="Arial" w:hAnsi="Arial" w:cs="Arial"/>
          <w:b/>
          <w:sz w:val="24"/>
          <w:lang w:val="en-US"/>
        </w:rPr>
        <w:t>India</w:t>
      </w:r>
      <w:r w:rsidR="00A77312" w:rsidRPr="00BE7552">
        <w:rPr>
          <w:rFonts w:ascii="Arial" w:hAnsi="Arial" w:cs="Arial"/>
          <w:b/>
          <w:sz w:val="24"/>
          <w:lang w:val="en-US"/>
        </w:rPr>
        <w:t xml:space="preserve">, </w:t>
      </w:r>
      <w:r w:rsidRPr="00BE7552">
        <w:rPr>
          <w:rFonts w:ascii="Arial" w:hAnsi="Arial" w:cs="Arial"/>
          <w:b/>
          <w:sz w:val="24"/>
          <w:lang w:val="en-US"/>
        </w:rPr>
        <w:t>August</w:t>
      </w:r>
      <w:r w:rsidR="00A77312" w:rsidRPr="00BE7552">
        <w:rPr>
          <w:rFonts w:ascii="Arial" w:hAnsi="Arial" w:cs="Arial"/>
          <w:b/>
          <w:sz w:val="24"/>
          <w:lang w:val="en-US"/>
        </w:rPr>
        <w:t xml:space="preserve"> </w:t>
      </w:r>
      <w:r w:rsidRPr="00BE7552">
        <w:rPr>
          <w:rFonts w:ascii="Arial" w:hAnsi="Arial" w:cs="Arial"/>
          <w:b/>
          <w:sz w:val="24"/>
          <w:lang w:val="en-US"/>
        </w:rPr>
        <w:t>25</w:t>
      </w:r>
      <w:r w:rsidR="00A77312" w:rsidRPr="00BE7552">
        <w:rPr>
          <w:rFonts w:ascii="Arial" w:hAnsi="Arial" w:cs="Arial"/>
          <w:b/>
          <w:sz w:val="24"/>
          <w:lang w:val="en-US"/>
        </w:rPr>
        <w:t xml:space="preserve"> – </w:t>
      </w:r>
      <w:r w:rsidRPr="00BE7552">
        <w:rPr>
          <w:rFonts w:ascii="Arial" w:hAnsi="Arial" w:cs="Arial"/>
          <w:b/>
          <w:sz w:val="24"/>
          <w:lang w:val="en-US"/>
        </w:rPr>
        <w:t>29</w:t>
      </w:r>
      <w:r w:rsidR="00A77312" w:rsidRPr="00BE7552">
        <w:rPr>
          <w:rFonts w:ascii="Arial" w:hAnsi="Arial" w:cs="Arial"/>
          <w:b/>
          <w:sz w:val="24"/>
          <w:lang w:val="en-US"/>
        </w:rPr>
        <w:t>, 2025</w:t>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r>
      <w:r w:rsidR="00A77312" w:rsidRPr="00BE7552">
        <w:rPr>
          <w:rFonts w:ascii="Arial" w:hAnsi="Arial" w:cs="Arial"/>
          <w:b/>
          <w:sz w:val="24"/>
          <w:lang w:val="en-US"/>
        </w:rPr>
        <w:tab/>
        <w:t xml:space="preserve">  </w:t>
      </w:r>
    </w:p>
    <w:p w14:paraId="5C527272" w14:textId="78E1F81A" w:rsidR="00A77312" w:rsidRPr="00BE7552" w:rsidRDefault="00A77312" w:rsidP="00A77312">
      <w:pPr>
        <w:pStyle w:val="CH"/>
        <w:rPr>
          <w:b w:val="0"/>
          <w:lang w:val="en-US"/>
        </w:rPr>
      </w:pPr>
      <w:r w:rsidRPr="00BE7552">
        <w:rPr>
          <w:lang w:val="en-US"/>
        </w:rPr>
        <w:t>Agenda item:</w:t>
      </w:r>
      <w:r w:rsidRPr="00BE7552">
        <w:rPr>
          <w:lang w:val="en-US"/>
        </w:rPr>
        <w:tab/>
      </w:r>
      <w:r w:rsidR="00331B38">
        <w:rPr>
          <w:lang w:val="en-US"/>
        </w:rPr>
        <w:t>8.3.2.2</w:t>
      </w:r>
    </w:p>
    <w:p w14:paraId="61FD6A8F" w14:textId="77777777" w:rsidR="00A77312" w:rsidRPr="00BE7552" w:rsidRDefault="00A77312" w:rsidP="00A77312">
      <w:pPr>
        <w:pStyle w:val="CH"/>
        <w:rPr>
          <w:b w:val="0"/>
          <w:lang w:val="en-US" w:eastAsia="zh-CN"/>
        </w:rPr>
      </w:pPr>
      <w:r w:rsidRPr="00BE7552">
        <w:rPr>
          <w:lang w:val="en-US"/>
        </w:rPr>
        <w:t>Source:</w:t>
      </w:r>
      <w:r w:rsidRPr="00BE7552">
        <w:rPr>
          <w:lang w:val="en-US"/>
        </w:rPr>
        <w:tab/>
        <w:t>Apple</w:t>
      </w:r>
    </w:p>
    <w:p w14:paraId="51EDE669" w14:textId="494B12A6" w:rsidR="00A77312" w:rsidRPr="00BE7552" w:rsidRDefault="00A77312" w:rsidP="00A77312">
      <w:pPr>
        <w:pStyle w:val="CH"/>
        <w:ind w:left="2260" w:hanging="2260"/>
        <w:rPr>
          <w:lang w:val="en-US" w:eastAsia="zh-CN"/>
        </w:rPr>
      </w:pPr>
      <w:r w:rsidRPr="00BE7552">
        <w:rPr>
          <w:lang w:val="en-US"/>
        </w:rPr>
        <w:t>Title:</w:t>
      </w:r>
      <w:r w:rsidRPr="00BE7552">
        <w:rPr>
          <w:lang w:val="en-US"/>
        </w:rPr>
        <w:tab/>
      </w:r>
      <w:r w:rsidR="003A3586">
        <w:rPr>
          <w:lang w:val="en-US"/>
        </w:rPr>
        <w:t>Event prediction</w:t>
      </w:r>
    </w:p>
    <w:p w14:paraId="2EAD2AA7" w14:textId="77777777" w:rsidR="00A77312" w:rsidRPr="00BE7552" w:rsidRDefault="00A77312" w:rsidP="00A77312">
      <w:pPr>
        <w:pStyle w:val="CH"/>
        <w:rPr>
          <w:lang w:val="en-US"/>
        </w:rPr>
      </w:pPr>
      <w:r w:rsidRPr="00BE7552">
        <w:rPr>
          <w:lang w:val="en-US"/>
        </w:rPr>
        <w:t>Document for:</w:t>
      </w:r>
      <w:r w:rsidRPr="00BE7552">
        <w:rPr>
          <w:lang w:val="en-US"/>
        </w:rPr>
        <w:tab/>
        <w:t>Discussion and Decision</w:t>
      </w:r>
    </w:p>
    <w:p w14:paraId="0207DB43" w14:textId="77777777" w:rsidR="00D46431" w:rsidRPr="00BE7552" w:rsidRDefault="00D46431" w:rsidP="00D309CC">
      <w:pPr>
        <w:pStyle w:val="CH"/>
        <w:rPr>
          <w:b w:val="0"/>
          <w:lang w:val="en-US"/>
        </w:rPr>
      </w:pPr>
    </w:p>
    <w:p w14:paraId="0273524A" w14:textId="77777777" w:rsidR="008E7986" w:rsidRPr="00BE7552" w:rsidRDefault="008E7986" w:rsidP="008E7986">
      <w:pPr>
        <w:pStyle w:val="Heading1"/>
        <w:rPr>
          <w:lang w:val="en-US"/>
        </w:rPr>
      </w:pPr>
      <w:r w:rsidRPr="00BE7552">
        <w:rPr>
          <w:lang w:val="en-US"/>
        </w:rPr>
        <w:t>1</w:t>
      </w:r>
      <w:r w:rsidRPr="00BE7552">
        <w:rPr>
          <w:lang w:val="en-US"/>
        </w:rPr>
        <w:tab/>
        <w:t xml:space="preserve">Introduction </w:t>
      </w:r>
    </w:p>
    <w:p w14:paraId="14CBA40E" w14:textId="0FA4702E" w:rsidR="006F0A83" w:rsidRPr="00D968CA" w:rsidRDefault="00425F05" w:rsidP="00D968CA">
      <w:pPr>
        <w:tabs>
          <w:tab w:val="center" w:pos="4820"/>
        </w:tabs>
        <w:rPr>
          <w:lang w:val="en-US"/>
        </w:rPr>
      </w:pPr>
      <w:r w:rsidRPr="00BE7552">
        <w:rPr>
          <w:lang w:val="en-US"/>
        </w:rPr>
        <w:t xml:space="preserve">RAN2#130 have made the following </w:t>
      </w:r>
      <w:r w:rsidR="009D088C" w:rsidRPr="00BE7552">
        <w:rPr>
          <w:lang w:val="en-US"/>
        </w:rPr>
        <w:t xml:space="preserve">agreements on </w:t>
      </w:r>
      <w:r w:rsidR="00CE2710">
        <w:rPr>
          <w:lang w:val="en-US"/>
        </w:rPr>
        <w:t>event prediction:</w:t>
      </w:r>
    </w:p>
    <w:p w14:paraId="63616967" w14:textId="77777777" w:rsidR="006F0A83" w:rsidRPr="00C76692" w:rsidRDefault="006F0A83" w:rsidP="006F0A83">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C76692">
        <w:rPr>
          <w:b w:val="0"/>
          <w:bCs/>
        </w:rPr>
        <w:t xml:space="preserve">Agreements </w:t>
      </w:r>
    </w:p>
    <w:p w14:paraId="2B1576BA" w14:textId="77777777" w:rsidR="006F0A83" w:rsidRPr="00C76692" w:rsidRDefault="006F0A83" w:rsidP="006F0A83">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C76692">
        <w:rPr>
          <w:b w:val="0"/>
          <w:bCs/>
        </w:rPr>
        <w:t>For RRM prediction, UE sided model, the UE can be configured with periodic or event triggered reporting of predicted and/or actual RRM measurements.   FFS details</w:t>
      </w:r>
    </w:p>
    <w:p w14:paraId="71787D08" w14:textId="77777777" w:rsidR="006F0A83" w:rsidRPr="00C76692" w:rsidRDefault="006F0A83" w:rsidP="006F0A83">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C76692">
        <w:rPr>
          <w:b w:val="0"/>
          <w:bCs/>
        </w:rPr>
        <w:t>For event prediction, UE-sided model, the UE can be configured with event-triggered reporting based on prediction and/or actual measurements.  FFS details</w:t>
      </w:r>
    </w:p>
    <w:p w14:paraId="7E68BACF" w14:textId="1E1B5DE7" w:rsidR="00C1693B" w:rsidRPr="00D968CA" w:rsidRDefault="006F0A83" w:rsidP="00D968CA">
      <w:pPr>
        <w:pStyle w:val="Agreement"/>
        <w:numPr>
          <w:ilvl w:val="0"/>
          <w:numId w:val="19"/>
        </w:numPr>
        <w:pBdr>
          <w:top w:val="single" w:sz="4" w:space="1" w:color="auto"/>
          <w:left w:val="single" w:sz="4" w:space="4" w:color="auto"/>
          <w:bottom w:val="single" w:sz="4" w:space="1" w:color="auto"/>
          <w:right w:val="single" w:sz="4" w:space="4" w:color="auto"/>
        </w:pBdr>
        <w:rPr>
          <w:b w:val="0"/>
          <w:bCs/>
        </w:rPr>
      </w:pPr>
      <w:r w:rsidRPr="006F0A83">
        <w:rPr>
          <w:b w:val="0"/>
          <w:bCs/>
        </w:rPr>
        <w:t>Baseline is that this applies to all A1-6 events, unless technical problems are identified.  Baseline quantity is RSRP.</w:t>
      </w:r>
      <w:r w:rsidR="00CE2710" w:rsidRPr="00D968CA">
        <w:rPr>
          <w:lang w:val="en-US"/>
        </w:rPr>
        <w:tab/>
      </w:r>
    </w:p>
    <w:p w14:paraId="53E70E5B" w14:textId="77777777" w:rsidR="00D968CA" w:rsidRDefault="00D968CA" w:rsidP="008E7986">
      <w:pPr>
        <w:rPr>
          <w:lang w:val="en-US"/>
        </w:rPr>
      </w:pPr>
    </w:p>
    <w:p w14:paraId="3BCE08F7" w14:textId="38EC14CF" w:rsidR="00C1693B" w:rsidRPr="00BE7552" w:rsidRDefault="00C1693B" w:rsidP="008E7986">
      <w:pPr>
        <w:rPr>
          <w:lang w:val="en-US"/>
        </w:rPr>
      </w:pPr>
      <w:r w:rsidRPr="00BE7552">
        <w:rPr>
          <w:lang w:val="en-US"/>
        </w:rPr>
        <w:t xml:space="preserve">In this contribution we provide our additional inputs to progress this discussion. </w:t>
      </w:r>
    </w:p>
    <w:p w14:paraId="3A67921B" w14:textId="41BD84C2" w:rsidR="008E7986" w:rsidRPr="00BE7552" w:rsidRDefault="008E7986" w:rsidP="008E7986">
      <w:pPr>
        <w:pStyle w:val="Heading1"/>
        <w:rPr>
          <w:lang w:val="en-US"/>
        </w:rPr>
      </w:pPr>
      <w:r w:rsidRPr="00BE7552">
        <w:rPr>
          <w:lang w:val="en-US"/>
        </w:rPr>
        <w:t>2</w:t>
      </w:r>
      <w:r w:rsidRPr="00BE7552">
        <w:rPr>
          <w:lang w:val="en-US"/>
        </w:rPr>
        <w:tab/>
      </w:r>
      <w:r w:rsidR="003C183A" w:rsidRPr="00BE7552">
        <w:rPr>
          <w:lang w:val="en-US"/>
        </w:rPr>
        <w:t>Discussion</w:t>
      </w:r>
      <w:r w:rsidRPr="00BE7552">
        <w:rPr>
          <w:lang w:val="en-US"/>
        </w:rPr>
        <w:t xml:space="preserve"> </w:t>
      </w:r>
    </w:p>
    <w:p w14:paraId="616B61F8" w14:textId="25378560" w:rsidR="003625CF" w:rsidRDefault="003625CF" w:rsidP="003625CF">
      <w:pPr>
        <w:rPr>
          <w:lang w:val="en-US"/>
        </w:rPr>
      </w:pPr>
      <w:r>
        <w:rPr>
          <w:lang w:val="en-US"/>
        </w:rPr>
        <w:t>RAN2 have agreed to support prediction for A1-A6 events, with</w:t>
      </w:r>
      <w:r w:rsidR="00C640ED">
        <w:rPr>
          <w:lang w:val="en-US"/>
        </w:rPr>
        <w:t xml:space="preserve">out too much detail agreed yet (marked FFS). </w:t>
      </w:r>
    </w:p>
    <w:p w14:paraId="32F4C02E" w14:textId="7F465A33" w:rsidR="009C247D" w:rsidRDefault="009C247D" w:rsidP="003625CF">
      <w:pPr>
        <w:rPr>
          <w:lang w:val="en-US"/>
        </w:rPr>
      </w:pPr>
      <w:r>
        <w:rPr>
          <w:lang w:val="en-US"/>
        </w:rPr>
        <w:t>On the high level, there are two possible approaches:</w:t>
      </w:r>
    </w:p>
    <w:p w14:paraId="041433B0" w14:textId="2AB74E43" w:rsidR="009C247D" w:rsidRDefault="009C247D" w:rsidP="009C247D">
      <w:pPr>
        <w:pStyle w:val="ListParagraph"/>
        <w:numPr>
          <w:ilvl w:val="0"/>
          <w:numId w:val="18"/>
        </w:numPr>
        <w:rPr>
          <w:lang w:val="en-US"/>
        </w:rPr>
      </w:pPr>
      <w:r>
        <w:rPr>
          <w:lang w:val="en-US"/>
        </w:rPr>
        <w:t xml:space="preserve">Enhanced the existing A1-A6 events, or </w:t>
      </w:r>
    </w:p>
    <w:p w14:paraId="67EFD1B1" w14:textId="749C23C5" w:rsidR="009C247D" w:rsidRDefault="009C247D" w:rsidP="009C247D">
      <w:pPr>
        <w:pStyle w:val="ListParagraph"/>
        <w:numPr>
          <w:ilvl w:val="0"/>
          <w:numId w:val="18"/>
        </w:numPr>
        <w:rPr>
          <w:lang w:val="en-US"/>
        </w:rPr>
      </w:pPr>
      <w:r>
        <w:rPr>
          <w:lang w:val="en-US"/>
        </w:rPr>
        <w:t>Defined new “predicted A1-A6” events</w:t>
      </w:r>
    </w:p>
    <w:p w14:paraId="0BDB93E1" w14:textId="77777777" w:rsidR="00162D64" w:rsidRDefault="00085F66" w:rsidP="00B05A6C">
      <w:pPr>
        <w:rPr>
          <w:lang w:val="en-US"/>
        </w:rPr>
      </w:pPr>
      <w:r>
        <w:rPr>
          <w:lang w:val="en-US"/>
        </w:rPr>
        <w:t xml:space="preserve">Probably both alternatives can work, but the latter is obviously cleaner, </w:t>
      </w:r>
      <w:r w:rsidR="00D46F7A">
        <w:rPr>
          <w:lang w:val="en-US"/>
        </w:rPr>
        <w:t>since the way ASN.1 is defined for events A1-A6 wouldn’t allow for clean extension of these events.</w:t>
      </w:r>
      <w:r w:rsidR="003C3F98">
        <w:rPr>
          <w:lang w:val="en-US"/>
        </w:rPr>
        <w:t xml:space="preserve"> </w:t>
      </w:r>
    </w:p>
    <w:p w14:paraId="77E3AC96" w14:textId="336BC2A2" w:rsidR="00162D64" w:rsidRPr="00162D64" w:rsidRDefault="00162D64" w:rsidP="00B05A6C">
      <w:pPr>
        <w:rPr>
          <w:b/>
          <w:bCs/>
          <w:lang w:val="en-US"/>
        </w:rPr>
      </w:pPr>
      <w:r w:rsidRPr="00162D64">
        <w:rPr>
          <w:b/>
          <w:bCs/>
          <w:lang w:val="en-US"/>
        </w:rPr>
        <w:t>Observation 1: we can either extend the existing A1-A6 with “predicted” flag or define new “predicted A1-A6” events.</w:t>
      </w:r>
    </w:p>
    <w:p w14:paraId="0D8ACBB6" w14:textId="01C4D9C9" w:rsidR="00290EAA" w:rsidRDefault="003C3F98" w:rsidP="00B05A6C">
      <w:pPr>
        <w:rPr>
          <w:lang w:val="en-US"/>
        </w:rPr>
      </w:pPr>
      <w:r>
        <w:rPr>
          <w:lang w:val="en-US"/>
        </w:rPr>
        <w:t>The remaining stage-3 level details can be discussed in the WI phase.</w:t>
      </w:r>
      <w:r w:rsidR="00187BB2">
        <w:rPr>
          <w:lang w:val="en-US"/>
        </w:rPr>
        <w:t xml:space="preserve"> There is no point in dragging this discussion, so it’s best to agree and move on to other issues. Hence the proposal.</w:t>
      </w:r>
    </w:p>
    <w:p w14:paraId="7947B3A4" w14:textId="0038B414" w:rsidR="00A75694" w:rsidRDefault="00D46F7A" w:rsidP="009A1026">
      <w:pPr>
        <w:rPr>
          <w:b/>
          <w:bCs/>
          <w:lang w:val="en-US"/>
        </w:rPr>
      </w:pPr>
      <w:r w:rsidRPr="009A1026">
        <w:rPr>
          <w:b/>
          <w:bCs/>
          <w:lang w:val="en-US"/>
        </w:rPr>
        <w:t xml:space="preserve">Proposal </w:t>
      </w:r>
      <w:r w:rsidR="009C3FEE">
        <w:rPr>
          <w:b/>
          <w:bCs/>
          <w:lang w:val="en-US"/>
        </w:rPr>
        <w:t>1</w:t>
      </w:r>
      <w:r w:rsidRPr="009A1026">
        <w:rPr>
          <w:b/>
          <w:bCs/>
          <w:lang w:val="en-US"/>
        </w:rPr>
        <w:t>: to define new “predicted A1-A6” events</w:t>
      </w:r>
      <w:r w:rsidR="00007FE7" w:rsidRPr="009A1026">
        <w:rPr>
          <w:b/>
          <w:bCs/>
          <w:lang w:val="en-US"/>
        </w:rPr>
        <w:t>, e.g. predictedA1-predictedA6</w:t>
      </w:r>
      <w:r w:rsidR="009A1026" w:rsidRPr="009A1026">
        <w:rPr>
          <w:b/>
          <w:bCs/>
          <w:lang w:val="en-US"/>
        </w:rPr>
        <w:t>.</w:t>
      </w:r>
    </w:p>
    <w:p w14:paraId="0F269A14" w14:textId="364CD70E" w:rsidR="00697C4F" w:rsidRPr="00C56126" w:rsidRDefault="004B14BD" w:rsidP="00C56126">
      <w:pPr>
        <w:keepNext/>
        <w:rPr>
          <w:lang w:val="en-US"/>
        </w:rPr>
      </w:pPr>
      <w:r>
        <w:rPr>
          <w:lang w:val="en-US"/>
        </w:rPr>
        <w:lastRenderedPageBreak/>
        <w:t xml:space="preserve">To illustrate the following point, </w:t>
      </w:r>
      <w:r w:rsidR="00FD2B6B">
        <w:rPr>
          <w:lang w:val="en-US"/>
        </w:rPr>
        <w:t>we introduce the term “event window”</w:t>
      </w:r>
      <w:r w:rsidR="00C771A3">
        <w:rPr>
          <w:lang w:val="en-US"/>
        </w:rPr>
        <w:t>, which is illustrated in Figure 1 below with a detailed explanation to follow.</w:t>
      </w:r>
      <w:r w:rsidR="00FD2B6B">
        <w:rPr>
          <w:lang w:val="en-US"/>
        </w:rPr>
        <w:t xml:space="preserve"> </w:t>
      </w:r>
      <w:r w:rsidR="00C56126">
        <w:rPr>
          <w:noProof/>
          <w:lang w:val="en-US"/>
        </w:rPr>
        <w:drawing>
          <wp:inline distT="0" distB="0" distL="0" distR="0" wp14:anchorId="64775326" wp14:editId="629D535C">
            <wp:extent cx="6122035" cy="2558415"/>
            <wp:effectExtent l="0" t="0" r="0" b="0"/>
            <wp:docPr id="2472811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281149" name="Picture 247281149"/>
                    <pic:cNvPicPr/>
                  </pic:nvPicPr>
                  <pic:blipFill>
                    <a:blip r:embed="rId9">
                      <a:extLst>
                        <a:ext uri="{28A0092B-C50C-407E-A947-70E740481C1C}">
                          <a14:useLocalDpi xmlns:a14="http://schemas.microsoft.com/office/drawing/2010/main" val="0"/>
                        </a:ext>
                      </a:extLst>
                    </a:blip>
                    <a:stretch>
                      <a:fillRect/>
                    </a:stretch>
                  </pic:blipFill>
                  <pic:spPr>
                    <a:xfrm>
                      <a:off x="0" y="0"/>
                      <a:ext cx="6122035" cy="2558415"/>
                    </a:xfrm>
                    <a:prstGeom prst="rect">
                      <a:avLst/>
                    </a:prstGeom>
                  </pic:spPr>
                </pic:pic>
              </a:graphicData>
            </a:graphic>
          </wp:inline>
        </w:drawing>
      </w:r>
    </w:p>
    <w:p w14:paraId="0CD834C7" w14:textId="348C33CC" w:rsidR="00FD2B6B" w:rsidRDefault="00484824" w:rsidP="00484824">
      <w:pPr>
        <w:pStyle w:val="Caption"/>
        <w:jc w:val="center"/>
        <w:rPr>
          <w:lang w:val="en-US"/>
        </w:rPr>
      </w:pPr>
      <w:r>
        <w:t xml:space="preserve">Figure </w:t>
      </w:r>
      <w:fldSimple w:instr=" SEQ Figure \* ARABIC ">
        <w:r w:rsidR="000E56A3">
          <w:rPr>
            <w:noProof/>
          </w:rPr>
          <w:t>1</w:t>
        </w:r>
      </w:fldSimple>
      <w:r>
        <w:rPr>
          <w:lang w:val="en-US"/>
        </w:rPr>
        <w:t>: "event</w:t>
      </w:r>
      <w:r w:rsidR="00DD24D9">
        <w:rPr>
          <w:lang w:val="en-US"/>
        </w:rPr>
        <w:t xml:space="preserve"> window</w:t>
      </w:r>
      <w:r>
        <w:rPr>
          <w:lang w:val="en-US"/>
        </w:rPr>
        <w:t>" term illustration</w:t>
      </w:r>
    </w:p>
    <w:p w14:paraId="56636AAB" w14:textId="0A1D5654" w:rsidR="00D761E4" w:rsidRDefault="00C771A3" w:rsidP="009A1026">
      <w:pPr>
        <w:rPr>
          <w:lang w:val="en-US"/>
        </w:rPr>
      </w:pPr>
      <w:r>
        <w:rPr>
          <w:lang w:val="en-US"/>
        </w:rPr>
        <w:t>Let’s first consider the case of indirect measurement event prediction</w:t>
      </w:r>
      <w:r w:rsidR="000878C3">
        <w:rPr>
          <w:lang w:val="en-US"/>
        </w:rPr>
        <w:t xml:space="preserve">, in which case a model predicts an event at some point in time </w:t>
      </w:r>
      <w:r w:rsidR="00856AA6">
        <w:rPr>
          <w:lang w:val="en-US"/>
        </w:rPr>
        <w:t xml:space="preserve">(let’s call it “t”) </w:t>
      </w:r>
      <w:r w:rsidR="000878C3">
        <w:rPr>
          <w:lang w:val="en-US"/>
        </w:rPr>
        <w:t>in the future</w:t>
      </w:r>
      <w:r w:rsidR="00856AA6">
        <w:rPr>
          <w:lang w:val="en-US"/>
        </w:rPr>
        <w:t xml:space="preserve">. Naturally, t must be within the configured PW (which we’ve already agreed to introduce). </w:t>
      </w:r>
      <w:r w:rsidR="001055B3">
        <w:rPr>
          <w:lang w:val="en-US"/>
        </w:rPr>
        <w:t xml:space="preserve">Furthermore, </w:t>
      </w:r>
      <w:r w:rsidR="00FD545B">
        <w:rPr>
          <w:lang w:val="en-US"/>
        </w:rPr>
        <w:t xml:space="preserve">in this example, </w:t>
      </w:r>
      <w:r w:rsidR="001055B3">
        <w:rPr>
          <w:lang w:val="en-US"/>
        </w:rPr>
        <w:t xml:space="preserve">t2 (which is t + </w:t>
      </w:r>
      <w:proofErr w:type="spellStart"/>
      <w:r w:rsidR="001055B3">
        <w:rPr>
          <w:lang w:val="en-US"/>
        </w:rPr>
        <w:t>maxETD</w:t>
      </w:r>
      <w:proofErr w:type="spellEnd"/>
      <w:r w:rsidR="001055B3">
        <w:rPr>
          <w:lang w:val="en-US"/>
        </w:rPr>
        <w:t>) must also be within PW</w:t>
      </w:r>
      <w:r w:rsidR="00FD545B">
        <w:rPr>
          <w:lang w:val="en-US"/>
        </w:rPr>
        <w:t xml:space="preserve"> – this </w:t>
      </w:r>
      <w:proofErr w:type="gramStart"/>
      <w:r w:rsidR="00FD545B">
        <w:rPr>
          <w:lang w:val="en-US"/>
        </w:rPr>
        <w:t>actually depends</w:t>
      </w:r>
      <w:proofErr w:type="gramEnd"/>
      <w:r w:rsidR="00FD545B">
        <w:rPr>
          <w:lang w:val="en-US"/>
        </w:rPr>
        <w:t xml:space="preserve"> on the exact definition of PW</w:t>
      </w:r>
      <w:r w:rsidR="003836CA">
        <w:rPr>
          <w:lang w:val="en-US"/>
        </w:rPr>
        <w:t>, but either way the point below still stands even if PW is defined as the time from t0 till the pre</w:t>
      </w:r>
      <w:r w:rsidR="00162D64">
        <w:rPr>
          <w:lang w:val="en-US"/>
        </w:rPr>
        <w:t xml:space="preserve">dicted event. </w:t>
      </w:r>
    </w:p>
    <w:p w14:paraId="798AD840" w14:textId="5FFCB83B" w:rsidR="00162D64" w:rsidRDefault="00162D64" w:rsidP="009A1026">
      <w:pPr>
        <w:rPr>
          <w:lang w:val="en-US"/>
        </w:rPr>
      </w:pPr>
      <w:r>
        <w:rPr>
          <w:lang w:val="en-US"/>
        </w:rPr>
        <w:t xml:space="preserve">Since the accuracy of an indirect event prediction model is calculated assuming a certain max ETD, the accuracy is meaningless if the max ETD of the model is not known to the network. </w:t>
      </w:r>
    </w:p>
    <w:p w14:paraId="66BC0EFC" w14:textId="665EBDFE" w:rsidR="00162D64" w:rsidRPr="00CF7139" w:rsidRDefault="00EF413C" w:rsidP="009A1026">
      <w:pPr>
        <w:rPr>
          <w:b/>
          <w:bCs/>
          <w:lang w:val="en-US" w:bidi="he-IL"/>
        </w:rPr>
      </w:pPr>
      <w:r w:rsidRPr="00CF7139">
        <w:rPr>
          <w:b/>
          <w:bCs/>
          <w:lang w:val="en-US" w:bidi="he-IL"/>
        </w:rPr>
        <w:t xml:space="preserve">Observation 2: for indirect event prediction, the accuracy of the model is </w:t>
      </w:r>
      <w:r w:rsidR="005149F4" w:rsidRPr="00CF7139">
        <w:rPr>
          <w:b/>
          <w:bCs/>
          <w:lang w:val="en-US" w:bidi="he-IL"/>
        </w:rPr>
        <w:t>meaningless without</w:t>
      </w:r>
      <w:r w:rsidRPr="00CF7139">
        <w:rPr>
          <w:b/>
          <w:bCs/>
          <w:lang w:val="en-US" w:bidi="he-IL"/>
        </w:rPr>
        <w:t xml:space="preserve"> the knowledge of max ET</w:t>
      </w:r>
      <w:r w:rsidR="005149F4" w:rsidRPr="00CF7139">
        <w:rPr>
          <w:b/>
          <w:bCs/>
          <w:lang w:val="en-US" w:bidi="he-IL"/>
        </w:rPr>
        <w:t>D.</w:t>
      </w:r>
    </w:p>
    <w:p w14:paraId="6051700B" w14:textId="186CA3BA" w:rsidR="005149F4" w:rsidRDefault="002736C4" w:rsidP="009A1026">
      <w:pPr>
        <w:rPr>
          <w:lang w:val="en-US" w:bidi="he-IL"/>
        </w:rPr>
      </w:pPr>
      <w:r>
        <w:rPr>
          <w:lang w:val="en-US" w:bidi="he-IL"/>
        </w:rPr>
        <w:t xml:space="preserve">Now turning to direct prediction, </w:t>
      </w:r>
      <w:r w:rsidR="002F5C68">
        <w:rPr>
          <w:lang w:val="en-US" w:bidi="he-IL"/>
        </w:rPr>
        <w:t>we recall that we’ve introduced the term “occurrence window”</w:t>
      </w:r>
      <w:r w:rsidR="0047209D">
        <w:rPr>
          <w:lang w:val="en-US" w:bidi="he-IL"/>
        </w:rPr>
        <w:t xml:space="preserve"> as shown in the following </w:t>
      </w:r>
      <w:r w:rsidR="00CF7139">
        <w:rPr>
          <w:lang w:val="en-US" w:bidi="he-IL"/>
        </w:rPr>
        <w:t>F</w:t>
      </w:r>
      <w:r w:rsidR="0047209D">
        <w:rPr>
          <w:lang w:val="en-US" w:bidi="he-IL"/>
        </w:rPr>
        <w:t>igure 2</w:t>
      </w:r>
      <w:r w:rsidR="00CF7139">
        <w:rPr>
          <w:lang w:val="en-US" w:bidi="he-IL"/>
        </w:rPr>
        <w:t>.</w:t>
      </w:r>
    </w:p>
    <w:p w14:paraId="34354E0A" w14:textId="77777777" w:rsidR="00CF7139" w:rsidRDefault="00391877" w:rsidP="00CF7139">
      <w:pPr>
        <w:keepNext/>
        <w:jc w:val="center"/>
      </w:pPr>
      <w:r>
        <w:rPr>
          <w:noProof/>
        </w:rPr>
        <w:object w:dxaOrig="6285" w:dyaOrig="1125" w14:anchorId="1D2B65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13.6pt;height:56.05pt;mso-width-percent:0;mso-height-percent:0;mso-width-percent:0;mso-height-percent:0" o:ole="">
            <v:imagedata r:id="rId10" o:title=""/>
          </v:shape>
          <o:OLEObject Type="Embed" ProgID="Visio.Drawing.15" ShapeID="_x0000_i1028" DrawAspect="Content" ObjectID="_1816684143" r:id="rId11"/>
        </w:object>
      </w:r>
    </w:p>
    <w:p w14:paraId="662B3410" w14:textId="231B55EC" w:rsidR="0047209D" w:rsidRPr="00FD545B" w:rsidRDefault="00CF7139" w:rsidP="00CF7139">
      <w:pPr>
        <w:pStyle w:val="Caption"/>
        <w:jc w:val="center"/>
        <w:rPr>
          <w:lang w:val="en-US" w:bidi="he-IL"/>
        </w:rPr>
      </w:pPr>
      <w:r>
        <w:t xml:space="preserve">Figure </w:t>
      </w:r>
      <w:fldSimple w:instr=" SEQ Figure \* ARABIC ">
        <w:r w:rsidR="000E56A3">
          <w:rPr>
            <w:noProof/>
          </w:rPr>
          <w:t>2</w:t>
        </w:r>
      </w:fldSimple>
      <w:r>
        <w:rPr>
          <w:lang w:val="en-US"/>
        </w:rPr>
        <w:t>: "occurrence window" for direct prediction</w:t>
      </w:r>
    </w:p>
    <w:p w14:paraId="7E43B463" w14:textId="76125622" w:rsidR="00CF7139" w:rsidRDefault="00CF7139" w:rsidP="009A1026">
      <w:pPr>
        <w:rPr>
          <w:lang w:val="en-US"/>
        </w:rPr>
      </w:pPr>
      <w:r>
        <w:rPr>
          <w:lang w:val="en-US"/>
        </w:rPr>
        <w:t xml:space="preserve">We further </w:t>
      </w:r>
      <w:r w:rsidR="00941D9C">
        <w:rPr>
          <w:lang w:val="en-US"/>
        </w:rPr>
        <w:t>assumed during the evaluation that occurrence window is equal to PW.</w:t>
      </w:r>
    </w:p>
    <w:p w14:paraId="05C13303" w14:textId="7732C793" w:rsidR="00941D9C" w:rsidRPr="008503BA" w:rsidRDefault="00941D9C" w:rsidP="009A1026">
      <w:pPr>
        <w:rPr>
          <w:b/>
          <w:bCs/>
          <w:lang w:val="en-US"/>
        </w:rPr>
      </w:pPr>
      <w:r w:rsidRPr="008503BA">
        <w:rPr>
          <w:b/>
          <w:bCs/>
          <w:lang w:val="en-US"/>
        </w:rPr>
        <w:t>Observation 3: in evaluation, we assumed that occurrence window in direct prediction is the same as PW</w:t>
      </w:r>
      <w:r w:rsidR="00B77F6F">
        <w:rPr>
          <w:b/>
          <w:bCs/>
          <w:lang w:val="en-US"/>
        </w:rPr>
        <w:t xml:space="preserve"> – however it doesn’t have to be</w:t>
      </w:r>
      <w:r w:rsidRPr="008503BA">
        <w:rPr>
          <w:b/>
          <w:bCs/>
          <w:lang w:val="en-US"/>
        </w:rPr>
        <w:t>.</w:t>
      </w:r>
      <w:r w:rsidR="00E90EFC">
        <w:rPr>
          <w:b/>
          <w:bCs/>
          <w:lang w:val="en-US"/>
        </w:rPr>
        <w:t xml:space="preserve"> In </w:t>
      </w:r>
      <w:proofErr w:type="gramStart"/>
      <w:r w:rsidR="00E90EFC">
        <w:rPr>
          <w:b/>
          <w:bCs/>
          <w:lang w:val="en-US"/>
        </w:rPr>
        <w:t>fact</w:t>
      </w:r>
      <w:proofErr w:type="gramEnd"/>
      <w:r w:rsidR="00E90EFC">
        <w:rPr>
          <w:b/>
          <w:bCs/>
          <w:lang w:val="en-US"/>
        </w:rPr>
        <w:t xml:space="preserve"> it would be more efficient for network to configure different PW and occurrence windows.</w:t>
      </w:r>
    </w:p>
    <w:p w14:paraId="12989109" w14:textId="77777777" w:rsidR="007C188D" w:rsidRDefault="008503BA" w:rsidP="007C188D">
      <w:pPr>
        <w:keepNext/>
      </w:pPr>
      <w:r>
        <w:rPr>
          <w:lang w:val="en-US"/>
        </w:rPr>
        <w:t xml:space="preserve">This, however, does not (and should not) be always true. A better (and much more useful) way to define occurrence window is “somewhere within the PW”, that is the occurrence window should be somewhere at the end of the PW as </w:t>
      </w:r>
      <w:r>
        <w:rPr>
          <w:lang w:val="en-US"/>
        </w:rPr>
        <w:lastRenderedPageBreak/>
        <w:t>illustrated below in Figure 3.</w:t>
      </w:r>
      <w:r w:rsidR="007C188D">
        <w:rPr>
          <w:noProof/>
          <w:lang w:val="en-US"/>
        </w:rPr>
        <w:drawing>
          <wp:inline distT="0" distB="0" distL="0" distR="0" wp14:anchorId="3733716B" wp14:editId="11A4CBCC">
            <wp:extent cx="6122035" cy="2647315"/>
            <wp:effectExtent l="0" t="0" r="0" b="0"/>
            <wp:docPr id="17729119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911963" name="Picture 1772911963"/>
                    <pic:cNvPicPr/>
                  </pic:nvPicPr>
                  <pic:blipFill>
                    <a:blip r:embed="rId12">
                      <a:extLst>
                        <a:ext uri="{28A0092B-C50C-407E-A947-70E740481C1C}">
                          <a14:useLocalDpi xmlns:a14="http://schemas.microsoft.com/office/drawing/2010/main" val="0"/>
                        </a:ext>
                      </a:extLst>
                    </a:blip>
                    <a:stretch>
                      <a:fillRect/>
                    </a:stretch>
                  </pic:blipFill>
                  <pic:spPr>
                    <a:xfrm>
                      <a:off x="0" y="0"/>
                      <a:ext cx="6122035" cy="2647315"/>
                    </a:xfrm>
                    <a:prstGeom prst="rect">
                      <a:avLst/>
                    </a:prstGeom>
                  </pic:spPr>
                </pic:pic>
              </a:graphicData>
            </a:graphic>
          </wp:inline>
        </w:drawing>
      </w:r>
    </w:p>
    <w:p w14:paraId="35E6A25B" w14:textId="12323FDB" w:rsidR="003B5F56" w:rsidRDefault="007C188D" w:rsidP="007C188D">
      <w:pPr>
        <w:pStyle w:val="Caption"/>
        <w:jc w:val="center"/>
        <w:rPr>
          <w:lang w:val="en-US"/>
        </w:rPr>
      </w:pPr>
      <w:r>
        <w:t xml:space="preserve">Figure </w:t>
      </w:r>
      <w:fldSimple w:instr=" SEQ Figure \* ARABIC ">
        <w:r w:rsidR="000E56A3">
          <w:rPr>
            <w:noProof/>
          </w:rPr>
          <w:t>3</w:t>
        </w:r>
      </w:fldSimple>
      <w:r>
        <w:rPr>
          <w:lang w:val="en-US"/>
        </w:rPr>
        <w:t>: "occurrence window" in direct prediction</w:t>
      </w:r>
    </w:p>
    <w:p w14:paraId="54059158" w14:textId="652E76E1" w:rsidR="007C188D" w:rsidRDefault="007C188D" w:rsidP="009A1026">
      <w:pPr>
        <w:rPr>
          <w:lang w:val="en-US"/>
        </w:rPr>
      </w:pPr>
      <w:r>
        <w:rPr>
          <w:lang w:val="en-US"/>
        </w:rPr>
        <w:t xml:space="preserve">As one can easily see, the figure 3 (for direct prediction) is nearly identical to the figure 2 (for indirect prediction), with the only difference being that we use the term “max ETD” in one and “occurrence window” in another, whereas </w:t>
      </w:r>
    </w:p>
    <w:p w14:paraId="6B2B6007" w14:textId="1CA2E15B" w:rsidR="00542E17" w:rsidRPr="00542E17" w:rsidRDefault="00542E17" w:rsidP="009A1026">
      <w:pPr>
        <w:rPr>
          <w:lang w:val="en-US"/>
        </w:rPr>
      </w:pPr>
      <m:oMathPara>
        <m:oMath>
          <m:r>
            <w:rPr>
              <w:rFonts w:ascii="Cambria Math" w:hAnsi="Cambria Math"/>
              <w:lang w:val="en-US"/>
            </w:rPr>
            <m:t>Occurrence Window=</m:t>
          </m:r>
          <m:f>
            <m:fPr>
              <m:ctrlPr>
                <w:rPr>
                  <w:rFonts w:ascii="Cambria Math" w:hAnsi="Cambria Math"/>
                  <w:i/>
                  <w:lang w:val="en-US"/>
                </w:rPr>
              </m:ctrlPr>
            </m:fPr>
            <m:num>
              <m:func>
                <m:funcPr>
                  <m:ctrlPr>
                    <w:rPr>
                      <w:rFonts w:ascii="Cambria Math" w:hAnsi="Cambria Math"/>
                      <w:i/>
                      <w:lang w:val="en-US"/>
                    </w:rPr>
                  </m:ctrlPr>
                </m:funcPr>
                <m:fName>
                  <m:r>
                    <m:rPr>
                      <m:sty m:val="p"/>
                    </m:rPr>
                    <w:rPr>
                      <w:rFonts w:ascii="Cambria Math" w:hAnsi="Cambria Math"/>
                      <w:lang w:val="en-US"/>
                    </w:rPr>
                    <m:t>max</m:t>
                  </m:r>
                </m:fName>
                <m:e>
                  <m:r>
                    <w:rPr>
                      <w:rFonts w:ascii="Cambria Math" w:hAnsi="Cambria Math"/>
                      <w:lang w:val="en-US"/>
                    </w:rPr>
                    <m:t>ETD</m:t>
                  </m:r>
                </m:e>
              </m:func>
            </m:num>
            <m:den>
              <m:r>
                <w:rPr>
                  <w:rFonts w:ascii="Cambria Math" w:hAnsi="Cambria Math"/>
                  <w:lang w:val="en-US"/>
                </w:rPr>
                <m:t>2</m:t>
              </m:r>
            </m:den>
          </m:f>
        </m:oMath>
      </m:oMathPara>
    </w:p>
    <w:p w14:paraId="32A15396" w14:textId="674E46FF" w:rsidR="007C188D" w:rsidRDefault="00FA079D" w:rsidP="009A1026">
      <w:pPr>
        <w:rPr>
          <w:lang w:val="en-US"/>
        </w:rPr>
      </w:pPr>
      <w:r>
        <w:rPr>
          <w:lang w:val="en-US"/>
        </w:rPr>
        <w:t xml:space="preserve">With such trivial relation between occurrence window and max ETD it surely makes no sense to use two separate terms to refer to the same thing. It is best to define one term, that clearly identifies the concept, which is applicable to both direct and indirect prediction. </w:t>
      </w:r>
    </w:p>
    <w:p w14:paraId="796F1072" w14:textId="5CF02F56" w:rsidR="00B1566B" w:rsidRPr="00B1566B" w:rsidRDefault="00B1566B" w:rsidP="009A1026">
      <w:pPr>
        <w:rPr>
          <w:b/>
          <w:bCs/>
          <w:lang w:val="en-US"/>
        </w:rPr>
      </w:pPr>
      <w:r w:rsidRPr="00B1566B">
        <w:rPr>
          <w:b/>
          <w:bCs/>
          <w:lang w:val="en-US"/>
        </w:rPr>
        <w:t>Observation 4: max ETD in indirect prediction and occurrence window in direct prediction essentially refer to the same thing.</w:t>
      </w:r>
    </w:p>
    <w:p w14:paraId="343601D6" w14:textId="02FE8606" w:rsidR="00E74805" w:rsidRDefault="00E74805" w:rsidP="00E74805">
      <w:pPr>
        <w:rPr>
          <w:lang w:val="en-US"/>
        </w:rPr>
      </w:pPr>
      <w:r>
        <w:rPr>
          <w:lang w:val="en-US"/>
        </w:rPr>
        <w:t>Therefore, we propose to introduce the term “event window”, which unifies the terms “max ETD” for indirect prediction and “occurrence window” for direct prediction. Event window is identified by times t1 and t2, where t1 is equal or larger than t0 and the event is predicted to occur (with specified accuracy) between t1 and t2.</w:t>
      </w:r>
    </w:p>
    <w:p w14:paraId="5572E36B" w14:textId="4A6DCEFC" w:rsidR="003B5F56" w:rsidRPr="00B1566B" w:rsidRDefault="003B5F56" w:rsidP="009A1026">
      <w:pPr>
        <w:rPr>
          <w:b/>
          <w:bCs/>
          <w:lang w:val="en-US"/>
        </w:rPr>
      </w:pPr>
      <w:r w:rsidRPr="00B1566B">
        <w:rPr>
          <w:b/>
          <w:bCs/>
          <w:lang w:val="en-US"/>
        </w:rPr>
        <w:t xml:space="preserve">Proposal 2: to introduce the term “event window”, which unifies the terms “max ETD” for indirect prediction and “occurrence window” for direct prediction. </w:t>
      </w:r>
      <w:r w:rsidR="00FA079D" w:rsidRPr="00B1566B">
        <w:rPr>
          <w:b/>
          <w:bCs/>
          <w:lang w:val="en-US"/>
        </w:rPr>
        <w:t xml:space="preserve">Event window is identified by times t1 and t2, where t1 is </w:t>
      </w:r>
      <w:r w:rsidR="00E74805" w:rsidRPr="00B1566B">
        <w:rPr>
          <w:b/>
          <w:bCs/>
          <w:lang w:val="en-US"/>
        </w:rPr>
        <w:t>equal or larger than t0 and the event is predicted to occur (with specified accuracy) between t1 and t2.</w:t>
      </w:r>
    </w:p>
    <w:p w14:paraId="1FDEEFDA" w14:textId="7A8A9CB4" w:rsidR="003B5F56" w:rsidRPr="00B1566B" w:rsidRDefault="003B5F56" w:rsidP="009A1026">
      <w:pPr>
        <w:rPr>
          <w:b/>
          <w:bCs/>
          <w:lang w:val="en-US"/>
        </w:rPr>
      </w:pPr>
      <w:r w:rsidRPr="00B1566B">
        <w:rPr>
          <w:b/>
          <w:bCs/>
          <w:lang w:val="en-US"/>
        </w:rPr>
        <w:t xml:space="preserve">Proposal 3: for event prediction, event </w:t>
      </w:r>
      <w:r w:rsidR="005C5001">
        <w:rPr>
          <w:b/>
          <w:bCs/>
          <w:lang w:val="en-US"/>
        </w:rPr>
        <w:t>window</w:t>
      </w:r>
      <w:r w:rsidRPr="00B1566B">
        <w:rPr>
          <w:b/>
          <w:bCs/>
          <w:lang w:val="en-US"/>
        </w:rPr>
        <w:t xml:space="preserve"> </w:t>
      </w:r>
      <w:r w:rsidR="00687749" w:rsidRPr="00B1566B">
        <w:rPr>
          <w:b/>
          <w:bCs/>
          <w:lang w:val="en-US"/>
        </w:rPr>
        <w:t xml:space="preserve">should be considered as another inference parameter together with </w:t>
      </w:r>
      <w:r w:rsidR="004C40D7" w:rsidRPr="00B1566B">
        <w:rPr>
          <w:b/>
          <w:bCs/>
          <w:lang w:val="en-US"/>
        </w:rPr>
        <w:t xml:space="preserve">PW. </w:t>
      </w:r>
    </w:p>
    <w:p w14:paraId="3A667770" w14:textId="5A7DE868" w:rsidR="00396F9A" w:rsidRDefault="00396F9A" w:rsidP="009A1026">
      <w:pPr>
        <w:rPr>
          <w:lang w:val="en-US"/>
        </w:rPr>
      </w:pPr>
      <w:r>
        <w:rPr>
          <w:lang w:val="en-US"/>
        </w:rPr>
        <w:t>Finally, we would like to discuss the so called “HO models”</w:t>
      </w:r>
      <w:r w:rsidR="00EA20D3">
        <w:rPr>
          <w:lang w:val="en-US"/>
        </w:rPr>
        <w:t xml:space="preserve"> defined in the TR </w:t>
      </w:r>
      <w:r w:rsidR="00494D1F">
        <w:rPr>
          <w:lang w:val="en-US"/>
        </w:rPr>
        <w:t>38.744 [2] as follows:</w:t>
      </w:r>
    </w:p>
    <w:p w14:paraId="48D660C0" w14:textId="726779D3" w:rsidR="00494D1F" w:rsidRDefault="00391627" w:rsidP="009A1026">
      <w:pPr>
        <w:rPr>
          <w:lang w:val="en-US"/>
        </w:rPr>
      </w:pPr>
      <w:r>
        <w:rPr>
          <w:lang w:val="en-US"/>
        </w:rPr>
        <w:t>Option 1: the UE signals predicted event, the network may perform HO preparation based on this indication, then the UE indicates the real event, based on which the network triggers HO.</w:t>
      </w:r>
    </w:p>
    <w:p w14:paraId="65629D04" w14:textId="77777777" w:rsidR="000E56A3" w:rsidRDefault="00391877" w:rsidP="000E56A3">
      <w:pPr>
        <w:keepNext/>
        <w:jc w:val="center"/>
      </w:pPr>
      <w:r>
        <w:rPr>
          <w:rFonts w:hint="eastAsia"/>
          <w:noProof/>
        </w:rPr>
        <w:object w:dxaOrig="5670" w:dyaOrig="2175" w14:anchorId="662FD4CB">
          <v:shape id="_x0000_i1027" type="#_x0000_t75" alt="" style="width:284.3pt;height:108.35pt;mso-width-percent:0;mso-height-percent:0;mso-width-percent:0;mso-height-percent:0" o:ole="">
            <v:imagedata r:id="rId13" o:title=""/>
          </v:shape>
          <o:OLEObject Type="Embed" ProgID="Visio.Drawing.15" ShapeID="_x0000_i1027" DrawAspect="Content" ObjectID="_1816684144" r:id="rId14"/>
        </w:object>
      </w:r>
    </w:p>
    <w:p w14:paraId="15A40A2D" w14:textId="35348F14" w:rsidR="00391627" w:rsidRDefault="000E56A3" w:rsidP="000E56A3">
      <w:pPr>
        <w:pStyle w:val="Caption"/>
        <w:jc w:val="center"/>
        <w:rPr>
          <w:lang w:val="en-US"/>
        </w:rPr>
      </w:pPr>
      <w:r>
        <w:t xml:space="preserve">Figure </w:t>
      </w:r>
      <w:fldSimple w:instr=" SEQ Figure \* ARABIC ">
        <w:r>
          <w:rPr>
            <w:noProof/>
          </w:rPr>
          <w:t>4</w:t>
        </w:r>
      </w:fldSimple>
      <w:r>
        <w:rPr>
          <w:lang w:val="en-US"/>
        </w:rPr>
        <w:t>: HO option 1</w:t>
      </w:r>
    </w:p>
    <w:p w14:paraId="6B5E0626" w14:textId="48CDD0CE" w:rsidR="00391627" w:rsidRDefault="00391627" w:rsidP="00391627">
      <w:pPr>
        <w:rPr>
          <w:lang w:val="en-US"/>
        </w:rPr>
      </w:pPr>
      <w:r>
        <w:rPr>
          <w:lang w:val="en-US"/>
        </w:rPr>
        <w:t>Option 2: the UE signals predicted event, the network triggers HO based on the predicted event.</w:t>
      </w:r>
    </w:p>
    <w:p w14:paraId="7508502E" w14:textId="77777777" w:rsidR="000E56A3" w:rsidRDefault="00391877" w:rsidP="000E56A3">
      <w:pPr>
        <w:keepNext/>
        <w:jc w:val="center"/>
      </w:pPr>
      <w:r>
        <w:rPr>
          <w:rFonts w:hint="eastAsia"/>
          <w:noProof/>
        </w:rPr>
        <w:object w:dxaOrig="6766" w:dyaOrig="1680" w14:anchorId="73A9904E">
          <v:shape id="_x0000_i1026" type="#_x0000_t75" alt="" style="width:336.6pt;height:83.15pt;mso-width-percent:0;mso-height-percent:0;mso-width-percent:0;mso-height-percent:0" o:ole="">
            <v:imagedata r:id="rId15" o:title=""/>
          </v:shape>
          <o:OLEObject Type="Embed" ProgID="Visio.Drawing.15" ShapeID="_x0000_i1026" DrawAspect="Content" ObjectID="_1816684145" r:id="rId16"/>
        </w:object>
      </w:r>
    </w:p>
    <w:p w14:paraId="3B261199" w14:textId="027962B1" w:rsidR="00017881" w:rsidRDefault="000E56A3" w:rsidP="000E56A3">
      <w:pPr>
        <w:pStyle w:val="Caption"/>
        <w:jc w:val="center"/>
        <w:rPr>
          <w:noProof/>
        </w:rPr>
      </w:pPr>
      <w:r>
        <w:t xml:space="preserve">Figure </w:t>
      </w:r>
      <w:fldSimple w:instr=" SEQ Figure \* ARABIC ">
        <w:r>
          <w:rPr>
            <w:noProof/>
          </w:rPr>
          <w:t>5</w:t>
        </w:r>
      </w:fldSimple>
      <w:r>
        <w:rPr>
          <w:lang w:val="en-US"/>
        </w:rPr>
        <w:t>: HO option 2</w:t>
      </w:r>
    </w:p>
    <w:p w14:paraId="1628974D" w14:textId="77777777" w:rsidR="000E56A3" w:rsidRDefault="00391877" w:rsidP="000E56A3">
      <w:pPr>
        <w:keepNext/>
        <w:jc w:val="center"/>
      </w:pPr>
      <w:r>
        <w:rPr>
          <w:rFonts w:hint="eastAsia"/>
          <w:noProof/>
        </w:rPr>
        <w:object w:dxaOrig="6751" w:dyaOrig="2311" w14:anchorId="49B67B55">
          <v:shape id="_x0000_i1025" type="#_x0000_t75" alt="" style="width:227.9pt;height:76.8pt;mso-width-percent:0;mso-height-percent:0;mso-width-percent:0;mso-height-percent:0" o:ole="">
            <v:imagedata r:id="rId17" o:title=""/>
          </v:shape>
          <o:OLEObject Type="Embed" ProgID="Visio.Drawing.15" ShapeID="_x0000_i1025" DrawAspect="Content" ObjectID="_1816684146" r:id="rId18"/>
        </w:object>
      </w:r>
    </w:p>
    <w:p w14:paraId="15D43026" w14:textId="0856DF4A" w:rsidR="000E56A3" w:rsidRDefault="000E56A3" w:rsidP="000E56A3">
      <w:pPr>
        <w:pStyle w:val="Caption"/>
        <w:jc w:val="center"/>
        <w:rPr>
          <w:lang w:val="en-US"/>
        </w:rPr>
      </w:pPr>
      <w:r>
        <w:t xml:space="preserve">Figure </w:t>
      </w:r>
      <w:fldSimple w:instr=" SEQ Figure \* ARABIC ">
        <w:r>
          <w:rPr>
            <w:noProof/>
          </w:rPr>
          <w:t>6</w:t>
        </w:r>
      </w:fldSimple>
      <w:r>
        <w:rPr>
          <w:lang w:val="en-US"/>
        </w:rPr>
        <w:t>: HO option 3</w:t>
      </w:r>
    </w:p>
    <w:p w14:paraId="5CBEBC23" w14:textId="471F462E" w:rsidR="00D96CCA" w:rsidRDefault="00D96CCA" w:rsidP="00D96CCA">
      <w:pPr>
        <w:rPr>
          <w:lang w:val="en-US"/>
        </w:rPr>
      </w:pPr>
      <w:r>
        <w:rPr>
          <w:lang w:val="en-US"/>
        </w:rPr>
        <w:t>Option 3:</w:t>
      </w:r>
      <w:r w:rsidR="00132847">
        <w:rPr>
          <w:lang w:val="en-US"/>
        </w:rPr>
        <w:t xml:space="preserve"> the UE signals predicted event at the time a real event would be triggered, the network triggers HO based on this event. </w:t>
      </w:r>
    </w:p>
    <w:p w14:paraId="0C39A116" w14:textId="643255F9" w:rsidR="000E56A3" w:rsidRDefault="00F564E9" w:rsidP="00EC5AE9">
      <w:pPr>
        <w:rPr>
          <w:lang w:val="en-US"/>
        </w:rPr>
      </w:pPr>
      <w:r>
        <w:rPr>
          <w:lang w:val="en-US"/>
        </w:rPr>
        <w:t xml:space="preserve">With regards to option 3, the network can implicitly configure it by selecting the PW accordingly. Therefore, no additional explicit signaling (besides PW) is needed. In fact, </w:t>
      </w:r>
      <w:r w:rsidR="00EC5AE9">
        <w:rPr>
          <w:lang w:val="en-US"/>
        </w:rPr>
        <w:t xml:space="preserve">options 1 and 2 can be also implicitly supported with the </w:t>
      </w:r>
      <w:proofErr w:type="spellStart"/>
      <w:r w:rsidR="00EC5AE9">
        <w:rPr>
          <w:lang w:val="en-US"/>
        </w:rPr>
        <w:t>signalling</w:t>
      </w:r>
      <w:proofErr w:type="spellEnd"/>
      <w:r w:rsidR="00EC5AE9">
        <w:rPr>
          <w:lang w:val="en-US"/>
        </w:rPr>
        <w:t xml:space="preserve"> to be defined anyway (it’s </w:t>
      </w:r>
      <w:proofErr w:type="spellStart"/>
      <w:r w:rsidR="00EC5AE9">
        <w:rPr>
          <w:lang w:val="en-US"/>
        </w:rPr>
        <w:t>reasonnable</w:t>
      </w:r>
      <w:proofErr w:type="spellEnd"/>
      <w:r w:rsidR="00EC5AE9">
        <w:rPr>
          <w:lang w:val="en-US"/>
        </w:rPr>
        <w:t xml:space="preserve"> to assume that we will end up having </w:t>
      </w:r>
      <w:proofErr w:type="gramStart"/>
      <w:r w:rsidR="00EC5AE9">
        <w:rPr>
          <w:lang w:val="en-US"/>
        </w:rPr>
        <w:t>signaling</w:t>
      </w:r>
      <w:proofErr w:type="gramEnd"/>
      <w:r w:rsidR="00EC5AE9">
        <w:rPr>
          <w:lang w:val="en-US"/>
        </w:rPr>
        <w:t xml:space="preserve"> allowing the network to configure real and/or predicted events).</w:t>
      </w:r>
    </w:p>
    <w:p w14:paraId="31CCC680" w14:textId="698D8478" w:rsidR="00EC5AE9" w:rsidRPr="00EC5AE9" w:rsidRDefault="00EC5AE9" w:rsidP="00EC5AE9">
      <w:pPr>
        <w:rPr>
          <w:b/>
          <w:bCs/>
          <w:lang w:val="en-US"/>
        </w:rPr>
      </w:pPr>
      <w:r w:rsidRPr="00EC5AE9">
        <w:rPr>
          <w:b/>
          <w:bCs/>
          <w:lang w:val="en-US"/>
        </w:rPr>
        <w:t>Observation 5: assuming we define signaling to configure PW and whether the UE should report real and/or predicted events, nothing else is needed to differentiate between HO options 1, 2, and 3.</w:t>
      </w:r>
    </w:p>
    <w:p w14:paraId="61C41EDF" w14:textId="3B9F43D5" w:rsidR="00EC5AE9" w:rsidRDefault="00EC5AE9" w:rsidP="00EC5AE9">
      <w:pPr>
        <w:rPr>
          <w:lang w:val="en-US"/>
        </w:rPr>
      </w:pPr>
      <w:r>
        <w:rPr>
          <w:lang w:val="en-US"/>
        </w:rPr>
        <w:t>Hence the proposal:</w:t>
      </w:r>
    </w:p>
    <w:p w14:paraId="0108458F" w14:textId="78BFD54B" w:rsidR="00017881" w:rsidRPr="003D2985" w:rsidRDefault="00017881" w:rsidP="009A1026">
      <w:pPr>
        <w:rPr>
          <w:b/>
          <w:bCs/>
          <w:lang w:val="en-US"/>
        </w:rPr>
      </w:pPr>
      <w:r w:rsidRPr="003D2985">
        <w:rPr>
          <w:b/>
          <w:bCs/>
          <w:lang w:val="en-US"/>
        </w:rPr>
        <w:t xml:space="preserve">Proposal 4: no need to differentiate between HO models 1, 2, and 3 – the network can decide </w:t>
      </w:r>
      <w:r w:rsidR="004C4F0C" w:rsidRPr="003D2985">
        <w:rPr>
          <w:b/>
          <w:bCs/>
          <w:lang w:val="en-US"/>
        </w:rPr>
        <w:t xml:space="preserve">how to use the prediction (e.g. based on model prediction accuracy, PW and event window). </w:t>
      </w:r>
    </w:p>
    <w:p w14:paraId="013EC057" w14:textId="3DBA1871" w:rsidR="00EC5AE9" w:rsidRDefault="003D2985" w:rsidP="009A1026">
      <w:pPr>
        <w:rPr>
          <w:lang w:val="en-US"/>
        </w:rPr>
      </w:pPr>
      <w:r>
        <w:rPr>
          <w:lang w:val="en-US"/>
        </w:rPr>
        <w:t xml:space="preserve">Finally, we think it’s worth clarifying how inference parameters (PW, event window, </w:t>
      </w:r>
      <w:proofErr w:type="spellStart"/>
      <w:r>
        <w:rPr>
          <w:lang w:val="en-US"/>
        </w:rPr>
        <w:t>etc</w:t>
      </w:r>
      <w:proofErr w:type="spellEnd"/>
      <w:r>
        <w:rPr>
          <w:lang w:val="en-US"/>
        </w:rPr>
        <w:t xml:space="preserve">) are signaled. Naturally, the network should be in control. However, the network cannot assume that the UE supports all possible values of the inference parameters. Therefore, the UE should first indicate possible values (as ranges or lists) to the network, and the network configures a particular set of values based on what the UE supports. </w:t>
      </w:r>
    </w:p>
    <w:p w14:paraId="4C50DA5A" w14:textId="2F7FEDA3" w:rsidR="00487439" w:rsidRPr="003D2985" w:rsidRDefault="00487439" w:rsidP="009A1026">
      <w:pPr>
        <w:rPr>
          <w:b/>
          <w:bCs/>
          <w:lang w:val="en-US"/>
        </w:rPr>
      </w:pPr>
      <w:r w:rsidRPr="003D2985">
        <w:rPr>
          <w:b/>
          <w:bCs/>
          <w:lang w:val="en-US"/>
        </w:rPr>
        <w:t>Proposal 5:</w:t>
      </w:r>
      <w:r w:rsidR="00665E44" w:rsidRPr="003D2985">
        <w:rPr>
          <w:b/>
          <w:bCs/>
          <w:lang w:val="en-US"/>
        </w:rPr>
        <w:t xml:space="preserve"> inference parameters can be configured by the network, selected from the range (or list) of values supported by the UE (as indicated in capability and applicability signaling). </w:t>
      </w:r>
    </w:p>
    <w:p w14:paraId="34C99636" w14:textId="3C58F20A" w:rsidR="008E7986" w:rsidRPr="00BE7552" w:rsidRDefault="008E7986" w:rsidP="008E7986">
      <w:pPr>
        <w:pStyle w:val="Heading1"/>
        <w:rPr>
          <w:lang w:val="en-US"/>
        </w:rPr>
      </w:pPr>
      <w:r w:rsidRPr="00BE7552">
        <w:rPr>
          <w:lang w:val="en-US"/>
        </w:rPr>
        <w:t>3</w:t>
      </w:r>
      <w:r w:rsidRPr="00BE7552">
        <w:rPr>
          <w:lang w:val="en-US"/>
        </w:rPr>
        <w:tab/>
      </w:r>
      <w:r w:rsidR="003C183A" w:rsidRPr="00BE7552">
        <w:rPr>
          <w:lang w:val="en-US"/>
        </w:rPr>
        <w:t>Proposals</w:t>
      </w:r>
    </w:p>
    <w:p w14:paraId="05A2005A" w14:textId="77777777" w:rsidR="00D8758F" w:rsidRPr="00D8758F" w:rsidRDefault="00D8758F" w:rsidP="00D8758F">
      <w:pPr>
        <w:rPr>
          <w:lang w:val="en-US"/>
        </w:rPr>
      </w:pPr>
      <w:r w:rsidRPr="00D8758F">
        <w:rPr>
          <w:lang w:val="en-US"/>
        </w:rPr>
        <w:t>Observation 1: we can either extend the existing A1-A6 with “predicted” flag or define new “predicted A1-A6” events.</w:t>
      </w:r>
    </w:p>
    <w:p w14:paraId="32F43BA3" w14:textId="77777777" w:rsidR="00D8758F" w:rsidRDefault="00D8758F" w:rsidP="00D8758F">
      <w:pPr>
        <w:rPr>
          <w:b/>
          <w:bCs/>
          <w:lang w:val="en-US"/>
        </w:rPr>
      </w:pPr>
      <w:r w:rsidRPr="009A1026">
        <w:rPr>
          <w:b/>
          <w:bCs/>
          <w:lang w:val="en-US"/>
        </w:rPr>
        <w:t xml:space="preserve">Proposal </w:t>
      </w:r>
      <w:r>
        <w:rPr>
          <w:b/>
          <w:bCs/>
          <w:lang w:val="en-US"/>
        </w:rPr>
        <w:t>1</w:t>
      </w:r>
      <w:r w:rsidRPr="009A1026">
        <w:rPr>
          <w:b/>
          <w:bCs/>
          <w:lang w:val="en-US"/>
        </w:rPr>
        <w:t>: to define new “predicted A1-A6” events, e.g. predictedA1-predictedA6.</w:t>
      </w:r>
    </w:p>
    <w:p w14:paraId="5EA0A5DE" w14:textId="77777777" w:rsidR="00D8758F" w:rsidRPr="00D8758F" w:rsidRDefault="00D8758F" w:rsidP="00D8758F">
      <w:pPr>
        <w:rPr>
          <w:lang w:val="en-US" w:bidi="he-IL"/>
        </w:rPr>
      </w:pPr>
      <w:r w:rsidRPr="00D8758F">
        <w:rPr>
          <w:lang w:val="en-US" w:bidi="he-IL"/>
        </w:rPr>
        <w:t>Observation 2: for indirect event prediction, the accuracy of the model is meaningless without the knowledge of max ETD.</w:t>
      </w:r>
    </w:p>
    <w:p w14:paraId="540824B1" w14:textId="77777777" w:rsidR="00D8758F" w:rsidRPr="00D8758F" w:rsidRDefault="00D8758F" w:rsidP="00D8758F">
      <w:pPr>
        <w:rPr>
          <w:lang w:val="en-US"/>
        </w:rPr>
      </w:pPr>
      <w:r w:rsidRPr="00D8758F">
        <w:rPr>
          <w:lang w:val="en-US"/>
        </w:rPr>
        <w:t xml:space="preserve">Observation 3: in evaluation, we assumed that occurrence window in direct prediction is the same as PW – however it doesn’t have to be. In </w:t>
      </w:r>
      <w:proofErr w:type="gramStart"/>
      <w:r w:rsidRPr="00D8758F">
        <w:rPr>
          <w:lang w:val="en-US"/>
        </w:rPr>
        <w:t>fact</w:t>
      </w:r>
      <w:proofErr w:type="gramEnd"/>
      <w:r w:rsidRPr="00D8758F">
        <w:rPr>
          <w:lang w:val="en-US"/>
        </w:rPr>
        <w:t xml:space="preserve"> it would be more efficient for network to configure different PW and occurrence windows.</w:t>
      </w:r>
    </w:p>
    <w:p w14:paraId="57747B7B" w14:textId="77777777" w:rsidR="00D8758F" w:rsidRPr="00D8758F" w:rsidRDefault="00D8758F" w:rsidP="00D8758F">
      <w:pPr>
        <w:rPr>
          <w:lang w:val="en-US"/>
        </w:rPr>
      </w:pPr>
      <w:r w:rsidRPr="00D8758F">
        <w:rPr>
          <w:lang w:val="en-US"/>
        </w:rPr>
        <w:t>Observation 4: max ETD in indirect prediction and occurrence window in direct prediction essentially refer to the same thing.</w:t>
      </w:r>
    </w:p>
    <w:p w14:paraId="2AB20E14" w14:textId="77777777" w:rsidR="00D8758F" w:rsidRPr="00B1566B" w:rsidRDefault="00D8758F" w:rsidP="00D8758F">
      <w:pPr>
        <w:rPr>
          <w:b/>
          <w:bCs/>
          <w:lang w:val="en-US"/>
        </w:rPr>
      </w:pPr>
      <w:r w:rsidRPr="00B1566B">
        <w:rPr>
          <w:b/>
          <w:bCs/>
          <w:lang w:val="en-US"/>
        </w:rPr>
        <w:t>Proposal 2: to introduce the term “event window”, which unifies the terms “max ETD” for indirect prediction and “occurrence window” for direct prediction. Event window is identified by times t1 and t2, where t1 is equal or larger than t0 and the event is predicted to occur (with specified accuracy) between t1 and t2.</w:t>
      </w:r>
    </w:p>
    <w:p w14:paraId="0BD2DA6E" w14:textId="77777777" w:rsidR="00D8758F" w:rsidRPr="00B1566B" w:rsidRDefault="00D8758F" w:rsidP="00D8758F">
      <w:pPr>
        <w:rPr>
          <w:b/>
          <w:bCs/>
          <w:lang w:val="en-US"/>
        </w:rPr>
      </w:pPr>
      <w:r w:rsidRPr="00B1566B">
        <w:rPr>
          <w:b/>
          <w:bCs/>
          <w:lang w:val="en-US"/>
        </w:rPr>
        <w:lastRenderedPageBreak/>
        <w:t xml:space="preserve">Proposal 3: for event prediction, event </w:t>
      </w:r>
      <w:r>
        <w:rPr>
          <w:b/>
          <w:bCs/>
          <w:lang w:val="en-US"/>
        </w:rPr>
        <w:t>window</w:t>
      </w:r>
      <w:r w:rsidRPr="00B1566B">
        <w:rPr>
          <w:b/>
          <w:bCs/>
          <w:lang w:val="en-US"/>
        </w:rPr>
        <w:t xml:space="preserve"> should be considered as another inference parameter together with PW. </w:t>
      </w:r>
    </w:p>
    <w:p w14:paraId="3312542D" w14:textId="77777777" w:rsidR="00D8758F" w:rsidRPr="00D8758F" w:rsidRDefault="00D8758F" w:rsidP="00D8758F">
      <w:pPr>
        <w:rPr>
          <w:lang w:val="en-US"/>
        </w:rPr>
      </w:pPr>
      <w:r w:rsidRPr="00D8758F">
        <w:rPr>
          <w:lang w:val="en-US"/>
        </w:rPr>
        <w:t>Observation 5: assuming we define signaling to configure PW and whether the UE should report real and/or predicted events, nothing else is needed to differentiate between HO options 1, 2, and 3.</w:t>
      </w:r>
    </w:p>
    <w:p w14:paraId="61340E40" w14:textId="77777777" w:rsidR="00D8758F" w:rsidRPr="003D2985" w:rsidRDefault="00D8758F" w:rsidP="00D8758F">
      <w:pPr>
        <w:rPr>
          <w:b/>
          <w:bCs/>
          <w:lang w:val="en-US"/>
        </w:rPr>
      </w:pPr>
      <w:r w:rsidRPr="003D2985">
        <w:rPr>
          <w:b/>
          <w:bCs/>
          <w:lang w:val="en-US"/>
        </w:rPr>
        <w:t xml:space="preserve">Proposal 4: no need to differentiate between HO models 1, 2, and 3 – the network can decide how to use the prediction (e.g. based on model prediction accuracy, PW and event window). </w:t>
      </w:r>
    </w:p>
    <w:p w14:paraId="769CC3B8" w14:textId="00E84C24" w:rsidR="0062595A" w:rsidRPr="00D8758F" w:rsidRDefault="00D8758F" w:rsidP="00D8758F">
      <w:pPr>
        <w:rPr>
          <w:b/>
          <w:bCs/>
          <w:lang w:val="en-US"/>
        </w:rPr>
      </w:pPr>
      <w:r w:rsidRPr="003D2985">
        <w:rPr>
          <w:b/>
          <w:bCs/>
          <w:lang w:val="en-US"/>
        </w:rPr>
        <w:t xml:space="preserve">Proposal 5: inference parameters can be configured by the network, selected from the range (or list) of values supported by the UE (as indicated in capability and applicability signaling). </w:t>
      </w:r>
    </w:p>
    <w:p w14:paraId="05CC6F0A" w14:textId="0ECC8E94" w:rsidR="005E69AE" w:rsidRPr="00BE7552" w:rsidRDefault="0062595A" w:rsidP="0062595A">
      <w:pPr>
        <w:spacing w:after="0"/>
        <w:rPr>
          <w:lang w:val="en-US"/>
        </w:rPr>
      </w:pPr>
      <w:r w:rsidRPr="00BE7552">
        <w:rPr>
          <w:lang w:val="en-US"/>
        </w:rPr>
        <w:br w:type="page"/>
      </w:r>
    </w:p>
    <w:p w14:paraId="5D2DDC34" w14:textId="77777777" w:rsidR="005E69AE" w:rsidRPr="00BE7552" w:rsidRDefault="005E69AE" w:rsidP="005E69AE">
      <w:pPr>
        <w:pStyle w:val="Heading1"/>
        <w:rPr>
          <w:lang w:val="en-US"/>
        </w:rPr>
      </w:pPr>
      <w:r w:rsidRPr="00BE7552">
        <w:rPr>
          <w:lang w:val="en-US"/>
        </w:rPr>
        <w:lastRenderedPageBreak/>
        <w:t>4</w:t>
      </w:r>
      <w:r w:rsidRPr="00BE7552">
        <w:rPr>
          <w:lang w:val="en-US"/>
        </w:rPr>
        <w:tab/>
        <w:t>References</w:t>
      </w:r>
    </w:p>
    <w:p w14:paraId="4D133CD8" w14:textId="77777777" w:rsidR="00276EE4" w:rsidRPr="00BE7552" w:rsidRDefault="00276EE4" w:rsidP="00276EE4">
      <w:pPr>
        <w:rPr>
          <w:lang w:val="en-US"/>
        </w:rPr>
      </w:pPr>
    </w:p>
    <w:p w14:paraId="731905A1" w14:textId="11418113" w:rsidR="005E69AE" w:rsidRDefault="00D53FF7" w:rsidP="005E69AE">
      <w:pPr>
        <w:pStyle w:val="EX"/>
        <w:rPr>
          <w:lang w:val="en-US"/>
        </w:rPr>
      </w:pPr>
      <w:r w:rsidRPr="00BE7552">
        <w:rPr>
          <w:lang w:val="en-US"/>
        </w:rPr>
        <w:t>RAN2#130 meeting minutes</w:t>
      </w:r>
    </w:p>
    <w:p w14:paraId="21F9D74F" w14:textId="77777777" w:rsidR="005E69AE" w:rsidRPr="00BE7552" w:rsidRDefault="005E69AE" w:rsidP="005E69AE">
      <w:pPr>
        <w:rPr>
          <w:lang w:val="en-US"/>
        </w:rPr>
      </w:pPr>
    </w:p>
    <w:bookmarkEnd w:id="0"/>
    <w:p w14:paraId="08C5B690" w14:textId="77777777" w:rsidR="002675F0" w:rsidRPr="00BE7552" w:rsidRDefault="002675F0" w:rsidP="002675F0">
      <w:pPr>
        <w:rPr>
          <w:lang w:val="en-US"/>
        </w:rPr>
      </w:pPr>
    </w:p>
    <w:sectPr w:rsidR="002675F0" w:rsidRPr="00BE7552" w:rsidSect="00114E2C">
      <w:headerReference w:type="default" r:id="rId19"/>
      <w:footerReference w:type="default" r:id="rId20"/>
      <w:footerReference w:type="first" r:id="rId2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EEA78" w14:textId="77777777" w:rsidR="00391877" w:rsidRDefault="00391877">
      <w:r>
        <w:separator/>
      </w:r>
    </w:p>
  </w:endnote>
  <w:endnote w:type="continuationSeparator" w:id="0">
    <w:p w14:paraId="4F3A58F8" w14:textId="77777777" w:rsidR="00391877" w:rsidRDefault="00391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89660" w14:textId="77777777" w:rsidR="00391877" w:rsidRDefault="00391877">
      <w:r>
        <w:separator/>
      </w:r>
    </w:p>
  </w:footnote>
  <w:footnote w:type="continuationSeparator" w:id="0">
    <w:p w14:paraId="2764EF40" w14:textId="77777777" w:rsidR="00391877" w:rsidRDefault="00391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EC63A51"/>
    <w:multiLevelType w:val="hybridMultilevel"/>
    <w:tmpl w:val="699AD81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584703D"/>
    <w:multiLevelType w:val="hybridMultilevel"/>
    <w:tmpl w:val="E9D886B6"/>
    <w:lvl w:ilvl="0" w:tplc="5C5EE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FF762EC"/>
    <w:multiLevelType w:val="hybridMultilevel"/>
    <w:tmpl w:val="83B06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3333F0B"/>
    <w:multiLevelType w:val="hybridMultilevel"/>
    <w:tmpl w:val="A7EC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02659E"/>
    <w:multiLevelType w:val="hybridMultilevel"/>
    <w:tmpl w:val="59F46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077238"/>
    <w:multiLevelType w:val="hybridMultilevel"/>
    <w:tmpl w:val="409AC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128571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29508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159084">
    <w:abstractNumId w:val="1"/>
  </w:num>
  <w:num w:numId="4" w16cid:durableId="898367832">
    <w:abstractNumId w:val="13"/>
  </w:num>
  <w:num w:numId="5" w16cid:durableId="1422750717">
    <w:abstractNumId w:val="2"/>
  </w:num>
  <w:num w:numId="6" w16cid:durableId="1440370720">
    <w:abstractNumId w:val="2"/>
  </w:num>
  <w:num w:numId="7" w16cid:durableId="917642130">
    <w:abstractNumId w:val="9"/>
  </w:num>
  <w:num w:numId="8" w16cid:durableId="102581882">
    <w:abstractNumId w:val="4"/>
  </w:num>
  <w:num w:numId="9" w16cid:durableId="950668903">
    <w:abstractNumId w:val="6"/>
  </w:num>
  <w:num w:numId="10" w16cid:durableId="1134522811">
    <w:abstractNumId w:val="8"/>
  </w:num>
  <w:num w:numId="11" w16cid:durableId="542981474">
    <w:abstractNumId w:val="3"/>
  </w:num>
  <w:num w:numId="12" w16cid:durableId="290332690">
    <w:abstractNumId w:val="16"/>
  </w:num>
  <w:num w:numId="13" w16cid:durableId="517276599">
    <w:abstractNumId w:val="10"/>
  </w:num>
  <w:num w:numId="14" w16cid:durableId="1988707093">
    <w:abstractNumId w:val="5"/>
  </w:num>
  <w:num w:numId="15" w16cid:durableId="1508862586">
    <w:abstractNumId w:val="14"/>
  </w:num>
  <w:num w:numId="16" w16cid:durableId="390009328">
    <w:abstractNumId w:val="11"/>
  </w:num>
  <w:num w:numId="17" w16cid:durableId="727731125">
    <w:abstractNumId w:val="7"/>
  </w:num>
  <w:num w:numId="18" w16cid:durableId="625083321">
    <w:abstractNumId w:val="15"/>
  </w:num>
  <w:num w:numId="19" w16cid:durableId="11916007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81"/>
    <w:rsid w:val="000052BD"/>
    <w:rsid w:val="00007FE7"/>
    <w:rsid w:val="00017881"/>
    <w:rsid w:val="00033397"/>
    <w:rsid w:val="00040095"/>
    <w:rsid w:val="00040B88"/>
    <w:rsid w:val="00051834"/>
    <w:rsid w:val="00054A22"/>
    <w:rsid w:val="0005610D"/>
    <w:rsid w:val="00062023"/>
    <w:rsid w:val="000646A3"/>
    <w:rsid w:val="000655A6"/>
    <w:rsid w:val="00080512"/>
    <w:rsid w:val="00081C9F"/>
    <w:rsid w:val="00085F66"/>
    <w:rsid w:val="000878C3"/>
    <w:rsid w:val="00097745"/>
    <w:rsid w:val="000A1DE1"/>
    <w:rsid w:val="000A365D"/>
    <w:rsid w:val="000A68F3"/>
    <w:rsid w:val="000C050B"/>
    <w:rsid w:val="000C47C3"/>
    <w:rsid w:val="000D02E6"/>
    <w:rsid w:val="000D4F63"/>
    <w:rsid w:val="000D58AB"/>
    <w:rsid w:val="000E56A3"/>
    <w:rsid w:val="000E7969"/>
    <w:rsid w:val="000F26B0"/>
    <w:rsid w:val="000F69CF"/>
    <w:rsid w:val="001012C0"/>
    <w:rsid w:val="00104BC6"/>
    <w:rsid w:val="001055B3"/>
    <w:rsid w:val="00107F0B"/>
    <w:rsid w:val="00112082"/>
    <w:rsid w:val="00114E2C"/>
    <w:rsid w:val="00122E07"/>
    <w:rsid w:val="00132847"/>
    <w:rsid w:val="00133525"/>
    <w:rsid w:val="0015048D"/>
    <w:rsid w:val="00162D64"/>
    <w:rsid w:val="00163F71"/>
    <w:rsid w:val="00165A14"/>
    <w:rsid w:val="00165F37"/>
    <w:rsid w:val="00173B9A"/>
    <w:rsid w:val="00185443"/>
    <w:rsid w:val="00187BB2"/>
    <w:rsid w:val="001A38D5"/>
    <w:rsid w:val="001A4C42"/>
    <w:rsid w:val="001C21C3"/>
    <w:rsid w:val="001D02C2"/>
    <w:rsid w:val="001D2CF6"/>
    <w:rsid w:val="001E3E8D"/>
    <w:rsid w:val="001E55C2"/>
    <w:rsid w:val="001F0C1D"/>
    <w:rsid w:val="001F1132"/>
    <w:rsid w:val="001F168B"/>
    <w:rsid w:val="00212479"/>
    <w:rsid w:val="00216543"/>
    <w:rsid w:val="002347A2"/>
    <w:rsid w:val="00247926"/>
    <w:rsid w:val="002603B4"/>
    <w:rsid w:val="00261031"/>
    <w:rsid w:val="002675F0"/>
    <w:rsid w:val="002736C4"/>
    <w:rsid w:val="00276EE4"/>
    <w:rsid w:val="0027777C"/>
    <w:rsid w:val="00290EAA"/>
    <w:rsid w:val="00293E18"/>
    <w:rsid w:val="002B6339"/>
    <w:rsid w:val="002C2936"/>
    <w:rsid w:val="002C3155"/>
    <w:rsid w:val="002C7F73"/>
    <w:rsid w:val="002D4953"/>
    <w:rsid w:val="002E00EE"/>
    <w:rsid w:val="002F5C68"/>
    <w:rsid w:val="00301FD5"/>
    <w:rsid w:val="003148B8"/>
    <w:rsid w:val="003172DC"/>
    <w:rsid w:val="00323898"/>
    <w:rsid w:val="00331B38"/>
    <w:rsid w:val="003339D3"/>
    <w:rsid w:val="003356E3"/>
    <w:rsid w:val="0034052F"/>
    <w:rsid w:val="0035462D"/>
    <w:rsid w:val="00354C4D"/>
    <w:rsid w:val="003625CF"/>
    <w:rsid w:val="003765B8"/>
    <w:rsid w:val="003836CA"/>
    <w:rsid w:val="00390A48"/>
    <w:rsid w:val="00391627"/>
    <w:rsid w:val="00391877"/>
    <w:rsid w:val="00396F9A"/>
    <w:rsid w:val="003A0483"/>
    <w:rsid w:val="003A3586"/>
    <w:rsid w:val="003A56CB"/>
    <w:rsid w:val="003A6480"/>
    <w:rsid w:val="003B0183"/>
    <w:rsid w:val="003B2EBD"/>
    <w:rsid w:val="003B5F56"/>
    <w:rsid w:val="003C183A"/>
    <w:rsid w:val="003C3971"/>
    <w:rsid w:val="003C3F98"/>
    <w:rsid w:val="003D2985"/>
    <w:rsid w:val="003E38DF"/>
    <w:rsid w:val="003E7753"/>
    <w:rsid w:val="003F4ABF"/>
    <w:rsid w:val="003F7D99"/>
    <w:rsid w:val="00423334"/>
    <w:rsid w:val="004250EC"/>
    <w:rsid w:val="00425F05"/>
    <w:rsid w:val="00427131"/>
    <w:rsid w:val="00431207"/>
    <w:rsid w:val="00433812"/>
    <w:rsid w:val="004345EC"/>
    <w:rsid w:val="004565B2"/>
    <w:rsid w:val="0047209D"/>
    <w:rsid w:val="00477CBC"/>
    <w:rsid w:val="004800CA"/>
    <w:rsid w:val="004826A9"/>
    <w:rsid w:val="00484824"/>
    <w:rsid w:val="00487439"/>
    <w:rsid w:val="004941CD"/>
    <w:rsid w:val="00494D1F"/>
    <w:rsid w:val="004B14BD"/>
    <w:rsid w:val="004C1601"/>
    <w:rsid w:val="004C40D7"/>
    <w:rsid w:val="004C4F0C"/>
    <w:rsid w:val="004D3578"/>
    <w:rsid w:val="004E213A"/>
    <w:rsid w:val="004F0988"/>
    <w:rsid w:val="004F3340"/>
    <w:rsid w:val="004F3E3D"/>
    <w:rsid w:val="004F5D36"/>
    <w:rsid w:val="00505930"/>
    <w:rsid w:val="00505B89"/>
    <w:rsid w:val="005149F4"/>
    <w:rsid w:val="005257EC"/>
    <w:rsid w:val="0053388B"/>
    <w:rsid w:val="00535773"/>
    <w:rsid w:val="00542E17"/>
    <w:rsid w:val="00543E6C"/>
    <w:rsid w:val="0054567E"/>
    <w:rsid w:val="005520E6"/>
    <w:rsid w:val="005622A4"/>
    <w:rsid w:val="00565087"/>
    <w:rsid w:val="00572E14"/>
    <w:rsid w:val="00577D76"/>
    <w:rsid w:val="00596E16"/>
    <w:rsid w:val="005973BE"/>
    <w:rsid w:val="005A1C73"/>
    <w:rsid w:val="005A5986"/>
    <w:rsid w:val="005B103F"/>
    <w:rsid w:val="005B5659"/>
    <w:rsid w:val="005C5001"/>
    <w:rsid w:val="005D2E01"/>
    <w:rsid w:val="005D7526"/>
    <w:rsid w:val="005E42FD"/>
    <w:rsid w:val="005E69AE"/>
    <w:rsid w:val="00602AEA"/>
    <w:rsid w:val="00607E3C"/>
    <w:rsid w:val="00614FDF"/>
    <w:rsid w:val="00620A55"/>
    <w:rsid w:val="006246A7"/>
    <w:rsid w:val="0062595A"/>
    <w:rsid w:val="00625E69"/>
    <w:rsid w:val="0063543D"/>
    <w:rsid w:val="00647114"/>
    <w:rsid w:val="0066344C"/>
    <w:rsid w:val="00663EA1"/>
    <w:rsid w:val="00664B99"/>
    <w:rsid w:val="00665E44"/>
    <w:rsid w:val="006817BA"/>
    <w:rsid w:val="00687749"/>
    <w:rsid w:val="00696CE0"/>
    <w:rsid w:val="00697C4F"/>
    <w:rsid w:val="006A079E"/>
    <w:rsid w:val="006A323F"/>
    <w:rsid w:val="006B0293"/>
    <w:rsid w:val="006B30D0"/>
    <w:rsid w:val="006C3D95"/>
    <w:rsid w:val="006C5CF6"/>
    <w:rsid w:val="006E19A4"/>
    <w:rsid w:val="006E5C86"/>
    <w:rsid w:val="006F0A83"/>
    <w:rsid w:val="006F49C1"/>
    <w:rsid w:val="00702BB9"/>
    <w:rsid w:val="00713C44"/>
    <w:rsid w:val="00721CA3"/>
    <w:rsid w:val="00727718"/>
    <w:rsid w:val="00731914"/>
    <w:rsid w:val="00734A5B"/>
    <w:rsid w:val="0074026F"/>
    <w:rsid w:val="0074269F"/>
    <w:rsid w:val="007428C7"/>
    <w:rsid w:val="007429F6"/>
    <w:rsid w:val="00744E76"/>
    <w:rsid w:val="00752198"/>
    <w:rsid w:val="00753881"/>
    <w:rsid w:val="007644EA"/>
    <w:rsid w:val="00764C1A"/>
    <w:rsid w:val="00774DA4"/>
    <w:rsid w:val="00781F0F"/>
    <w:rsid w:val="00785F96"/>
    <w:rsid w:val="00786FD2"/>
    <w:rsid w:val="007A0336"/>
    <w:rsid w:val="007B5646"/>
    <w:rsid w:val="007B600E"/>
    <w:rsid w:val="007C188D"/>
    <w:rsid w:val="007D7B1C"/>
    <w:rsid w:val="007E69AC"/>
    <w:rsid w:val="007F0F4A"/>
    <w:rsid w:val="007F3CF7"/>
    <w:rsid w:val="007F7334"/>
    <w:rsid w:val="00801569"/>
    <w:rsid w:val="008028A4"/>
    <w:rsid w:val="00803F44"/>
    <w:rsid w:val="00820B25"/>
    <w:rsid w:val="00825C2E"/>
    <w:rsid w:val="00830747"/>
    <w:rsid w:val="00834EEA"/>
    <w:rsid w:val="00837996"/>
    <w:rsid w:val="008503BA"/>
    <w:rsid w:val="0085303E"/>
    <w:rsid w:val="00854AE8"/>
    <w:rsid w:val="0085524D"/>
    <w:rsid w:val="00856AA6"/>
    <w:rsid w:val="008768CA"/>
    <w:rsid w:val="00881CB7"/>
    <w:rsid w:val="00883C9B"/>
    <w:rsid w:val="00886AE3"/>
    <w:rsid w:val="008B0655"/>
    <w:rsid w:val="008B2851"/>
    <w:rsid w:val="008B4C82"/>
    <w:rsid w:val="008B79B8"/>
    <w:rsid w:val="008C384C"/>
    <w:rsid w:val="008D283C"/>
    <w:rsid w:val="008E720A"/>
    <w:rsid w:val="008E7986"/>
    <w:rsid w:val="00901963"/>
    <w:rsid w:val="0090271F"/>
    <w:rsid w:val="00902E23"/>
    <w:rsid w:val="00902E58"/>
    <w:rsid w:val="009114D7"/>
    <w:rsid w:val="0091348E"/>
    <w:rsid w:val="00917CCB"/>
    <w:rsid w:val="0092256B"/>
    <w:rsid w:val="00930A1D"/>
    <w:rsid w:val="00931236"/>
    <w:rsid w:val="00941D9C"/>
    <w:rsid w:val="00942EC2"/>
    <w:rsid w:val="00957809"/>
    <w:rsid w:val="00967376"/>
    <w:rsid w:val="00972BE9"/>
    <w:rsid w:val="009735D1"/>
    <w:rsid w:val="009A1026"/>
    <w:rsid w:val="009A274B"/>
    <w:rsid w:val="009A6064"/>
    <w:rsid w:val="009B354C"/>
    <w:rsid w:val="009C247D"/>
    <w:rsid w:val="009C3FEE"/>
    <w:rsid w:val="009D088C"/>
    <w:rsid w:val="009D0DEA"/>
    <w:rsid w:val="009D4D69"/>
    <w:rsid w:val="009E1B83"/>
    <w:rsid w:val="009E4D54"/>
    <w:rsid w:val="009F37B7"/>
    <w:rsid w:val="009F5E43"/>
    <w:rsid w:val="00A00A9E"/>
    <w:rsid w:val="00A02648"/>
    <w:rsid w:val="00A10F02"/>
    <w:rsid w:val="00A11C21"/>
    <w:rsid w:val="00A164B4"/>
    <w:rsid w:val="00A17F53"/>
    <w:rsid w:val="00A24197"/>
    <w:rsid w:val="00A26956"/>
    <w:rsid w:val="00A278EB"/>
    <w:rsid w:val="00A53724"/>
    <w:rsid w:val="00A610D7"/>
    <w:rsid w:val="00A702D5"/>
    <w:rsid w:val="00A70C4A"/>
    <w:rsid w:val="00A71123"/>
    <w:rsid w:val="00A73129"/>
    <w:rsid w:val="00A75694"/>
    <w:rsid w:val="00A77312"/>
    <w:rsid w:val="00A82346"/>
    <w:rsid w:val="00A863A5"/>
    <w:rsid w:val="00A92BA1"/>
    <w:rsid w:val="00AB7C35"/>
    <w:rsid w:val="00AC6BC6"/>
    <w:rsid w:val="00AD2059"/>
    <w:rsid w:val="00AE3797"/>
    <w:rsid w:val="00B03044"/>
    <w:rsid w:val="00B05A6C"/>
    <w:rsid w:val="00B15449"/>
    <w:rsid w:val="00B1566B"/>
    <w:rsid w:val="00B31860"/>
    <w:rsid w:val="00B3598B"/>
    <w:rsid w:val="00B36360"/>
    <w:rsid w:val="00B41FE8"/>
    <w:rsid w:val="00B42525"/>
    <w:rsid w:val="00B53167"/>
    <w:rsid w:val="00B6425F"/>
    <w:rsid w:val="00B77F6F"/>
    <w:rsid w:val="00B93086"/>
    <w:rsid w:val="00BA19ED"/>
    <w:rsid w:val="00BA300B"/>
    <w:rsid w:val="00BA4B8D"/>
    <w:rsid w:val="00BA7C1F"/>
    <w:rsid w:val="00BC0F7D"/>
    <w:rsid w:val="00BC2A2A"/>
    <w:rsid w:val="00BC6691"/>
    <w:rsid w:val="00BE3255"/>
    <w:rsid w:val="00BE7552"/>
    <w:rsid w:val="00BE7AE3"/>
    <w:rsid w:val="00BF128E"/>
    <w:rsid w:val="00BF5781"/>
    <w:rsid w:val="00C1401E"/>
    <w:rsid w:val="00C1496A"/>
    <w:rsid w:val="00C162B3"/>
    <w:rsid w:val="00C1693B"/>
    <w:rsid w:val="00C26333"/>
    <w:rsid w:val="00C33079"/>
    <w:rsid w:val="00C44CDA"/>
    <w:rsid w:val="00C45231"/>
    <w:rsid w:val="00C54210"/>
    <w:rsid w:val="00C56126"/>
    <w:rsid w:val="00C640ED"/>
    <w:rsid w:val="00C72833"/>
    <w:rsid w:val="00C771A3"/>
    <w:rsid w:val="00C80F1D"/>
    <w:rsid w:val="00C824D5"/>
    <w:rsid w:val="00C87E66"/>
    <w:rsid w:val="00C93F40"/>
    <w:rsid w:val="00CA3D0C"/>
    <w:rsid w:val="00CA5316"/>
    <w:rsid w:val="00CB36DD"/>
    <w:rsid w:val="00CD2385"/>
    <w:rsid w:val="00CE2710"/>
    <w:rsid w:val="00CE2AA6"/>
    <w:rsid w:val="00CE4699"/>
    <w:rsid w:val="00CE503F"/>
    <w:rsid w:val="00CF20E3"/>
    <w:rsid w:val="00CF7139"/>
    <w:rsid w:val="00CF74E2"/>
    <w:rsid w:val="00D04191"/>
    <w:rsid w:val="00D227E3"/>
    <w:rsid w:val="00D3003B"/>
    <w:rsid w:val="00D309CC"/>
    <w:rsid w:val="00D3223E"/>
    <w:rsid w:val="00D41D1E"/>
    <w:rsid w:val="00D46431"/>
    <w:rsid w:val="00D46F7A"/>
    <w:rsid w:val="00D53FF7"/>
    <w:rsid w:val="00D5516F"/>
    <w:rsid w:val="00D56A52"/>
    <w:rsid w:val="00D57972"/>
    <w:rsid w:val="00D675A9"/>
    <w:rsid w:val="00D72474"/>
    <w:rsid w:val="00D738D6"/>
    <w:rsid w:val="00D755EB"/>
    <w:rsid w:val="00D761E4"/>
    <w:rsid w:val="00D8758F"/>
    <w:rsid w:val="00D87E00"/>
    <w:rsid w:val="00D9134D"/>
    <w:rsid w:val="00D968CA"/>
    <w:rsid w:val="00D96CCA"/>
    <w:rsid w:val="00DA3C2B"/>
    <w:rsid w:val="00DA7A03"/>
    <w:rsid w:val="00DB1818"/>
    <w:rsid w:val="00DC309B"/>
    <w:rsid w:val="00DC4DA2"/>
    <w:rsid w:val="00DD24D9"/>
    <w:rsid w:val="00DD4C17"/>
    <w:rsid w:val="00DF2B1F"/>
    <w:rsid w:val="00DF6189"/>
    <w:rsid w:val="00DF62CD"/>
    <w:rsid w:val="00E16509"/>
    <w:rsid w:val="00E22349"/>
    <w:rsid w:val="00E42ED3"/>
    <w:rsid w:val="00E44582"/>
    <w:rsid w:val="00E44EFC"/>
    <w:rsid w:val="00E52814"/>
    <w:rsid w:val="00E72324"/>
    <w:rsid w:val="00E72ABE"/>
    <w:rsid w:val="00E74805"/>
    <w:rsid w:val="00E77645"/>
    <w:rsid w:val="00E7793A"/>
    <w:rsid w:val="00E90EFC"/>
    <w:rsid w:val="00EA0554"/>
    <w:rsid w:val="00EA20D3"/>
    <w:rsid w:val="00EC0003"/>
    <w:rsid w:val="00EC4A25"/>
    <w:rsid w:val="00EC4E3D"/>
    <w:rsid w:val="00EC5AE9"/>
    <w:rsid w:val="00EC6825"/>
    <w:rsid w:val="00ED064F"/>
    <w:rsid w:val="00EE5AA7"/>
    <w:rsid w:val="00EF413C"/>
    <w:rsid w:val="00F025A2"/>
    <w:rsid w:val="00F04712"/>
    <w:rsid w:val="00F21311"/>
    <w:rsid w:val="00F22EC7"/>
    <w:rsid w:val="00F325C8"/>
    <w:rsid w:val="00F43659"/>
    <w:rsid w:val="00F52D9F"/>
    <w:rsid w:val="00F564E9"/>
    <w:rsid w:val="00F62AEB"/>
    <w:rsid w:val="00F653B8"/>
    <w:rsid w:val="00F70647"/>
    <w:rsid w:val="00F72806"/>
    <w:rsid w:val="00F81F17"/>
    <w:rsid w:val="00F83A73"/>
    <w:rsid w:val="00F87DF1"/>
    <w:rsid w:val="00F90DFE"/>
    <w:rsid w:val="00F911A6"/>
    <w:rsid w:val="00FA079D"/>
    <w:rsid w:val="00FA1266"/>
    <w:rsid w:val="00FB2B78"/>
    <w:rsid w:val="00FB6804"/>
    <w:rsid w:val="00FC1192"/>
    <w:rsid w:val="00FC7A1F"/>
    <w:rsid w:val="00FD2B6B"/>
    <w:rsid w:val="00FD545B"/>
    <w:rsid w:val="00FE05F3"/>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Doc-text2">
    <w:name w:val="Doc-text2"/>
    <w:basedOn w:val="Normal"/>
    <w:link w:val="Doc-text2Char"/>
    <w:qFormat/>
    <w:rsid w:val="00301F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01FD5"/>
    <w:rPr>
      <w:rFonts w:ascii="Arial" w:eastAsia="MS Mincho" w:hAnsi="Arial"/>
      <w:szCs w:val="24"/>
    </w:rPr>
  </w:style>
  <w:style w:type="paragraph" w:styleId="Caption">
    <w:name w:val="caption"/>
    <w:basedOn w:val="Normal"/>
    <w:next w:val="Normal"/>
    <w:unhideWhenUsed/>
    <w:qFormat/>
    <w:rsid w:val="003148B8"/>
    <w:pPr>
      <w:spacing w:after="200"/>
    </w:pPr>
    <w:rPr>
      <w:i/>
      <w:iCs/>
      <w:color w:val="44546A" w:themeColor="text2"/>
      <w:sz w:val="18"/>
      <w:szCs w:val="18"/>
    </w:rPr>
  </w:style>
  <w:style w:type="paragraph" w:customStyle="1" w:styleId="Agreement">
    <w:name w:val="Agreement"/>
    <w:basedOn w:val="Normal"/>
    <w:next w:val="Doc-text2"/>
    <w:uiPriority w:val="99"/>
    <w:qFormat/>
    <w:rsid w:val="00F911A6"/>
    <w:pPr>
      <w:numPr>
        <w:numId w:val="15"/>
      </w:numPr>
      <w:spacing w:before="60" w:after="0"/>
    </w:pPr>
    <w:rPr>
      <w:rFonts w:ascii="Arial" w:eastAsia="MS Mincho" w:hAnsi="Arial"/>
      <w:b/>
      <w:kern w:val="2"/>
      <w:szCs w:val="24"/>
      <w:lang w:eastAsia="en-GB"/>
      <w14:ligatures w14:val="standardContextual"/>
    </w:rPr>
  </w:style>
  <w:style w:type="paragraph" w:styleId="ListParagraph">
    <w:name w:val="List Paragraph"/>
    <w:basedOn w:val="Normal"/>
    <w:uiPriority w:val="34"/>
    <w:qFormat/>
    <w:rsid w:val="00E42ED3"/>
    <w:pPr>
      <w:ind w:left="720"/>
      <w:contextualSpacing/>
    </w:pPr>
  </w:style>
  <w:style w:type="character" w:styleId="PlaceholderText">
    <w:name w:val="Placeholder Text"/>
    <w:basedOn w:val="DefaultParagraphFont"/>
    <w:uiPriority w:val="99"/>
    <w:semiHidden/>
    <w:rsid w:val="00CD23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21971">
      <w:bodyDiv w:val="1"/>
      <w:marLeft w:val="0"/>
      <w:marRight w:val="0"/>
      <w:marTop w:val="0"/>
      <w:marBottom w:val="0"/>
      <w:divBdr>
        <w:top w:val="none" w:sz="0" w:space="0" w:color="auto"/>
        <w:left w:val="none" w:sz="0" w:space="0" w:color="auto"/>
        <w:bottom w:val="none" w:sz="0" w:space="0" w:color="auto"/>
        <w:right w:val="none" w:sz="0" w:space="0" w:color="auto"/>
      </w:divBdr>
      <w:divsChild>
        <w:div w:id="2037194677">
          <w:marLeft w:val="0"/>
          <w:marRight w:val="0"/>
          <w:marTop w:val="0"/>
          <w:marBottom w:val="0"/>
          <w:divBdr>
            <w:top w:val="none" w:sz="0" w:space="0" w:color="auto"/>
            <w:left w:val="none" w:sz="0" w:space="0" w:color="auto"/>
            <w:bottom w:val="none" w:sz="0" w:space="0" w:color="auto"/>
            <w:right w:val="none" w:sz="0" w:space="0" w:color="auto"/>
          </w:divBdr>
        </w:div>
        <w:div w:id="1871646033">
          <w:marLeft w:val="0"/>
          <w:marRight w:val="0"/>
          <w:marTop w:val="0"/>
          <w:marBottom w:val="0"/>
          <w:divBdr>
            <w:top w:val="none" w:sz="0" w:space="0" w:color="auto"/>
            <w:left w:val="none" w:sz="0" w:space="0" w:color="auto"/>
            <w:bottom w:val="none" w:sz="0" w:space="0" w:color="auto"/>
            <w:right w:val="none" w:sz="0" w:space="0" w:color="auto"/>
          </w:divBdr>
        </w:div>
        <w:div w:id="14946417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314.vsdx"/><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1213.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1011.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11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370</TotalTime>
  <Pages>6</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273</cp:revision>
  <cp:lastPrinted>2019-02-25T14:05:00Z</cp:lastPrinted>
  <dcterms:created xsi:type="dcterms:W3CDTF">2019-08-13T15:36:00Z</dcterms:created>
  <dcterms:modified xsi:type="dcterms:W3CDTF">2025-08-14T10:42:00Z</dcterms:modified>
  <cp:category/>
</cp:coreProperties>
</file>