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charts/chart3.xml" ContentType="application/vnd.openxmlformats-officedocument.drawingml.chart+xml"/>
  <Override PartName="/word/charts/style3.xml" ContentType="application/vnd.ms-office.chartstyle+xml"/>
  <Override PartName="/word/charts/colors3.xml" ContentType="application/vnd.ms-office.chartcolorstyle+xml"/>
  <Override PartName="/word/charts/chart4.xml" ContentType="application/vnd.openxmlformats-officedocument.drawingml.chart+xml"/>
  <Override PartName="/word/charts/style4.xml" ContentType="application/vnd.ms-office.chartstyle+xml"/>
  <Override PartName="/word/charts/colors4.xml" ContentType="application/vnd.ms-office.chartcolorstyle+xml"/>
  <Override PartName="/word/charts/chart5.xml" ContentType="application/vnd.openxmlformats-officedocument.drawingml.chart+xml"/>
  <Override PartName="/word/charts/style5.xml" ContentType="application/vnd.ms-office.chartstyle+xml"/>
  <Override PartName="/word/charts/colors5.xml" ContentType="application/vnd.ms-office.chartcolorstyle+xml"/>
  <Override PartName="/word/charts/chart6.xml" ContentType="application/vnd.openxmlformats-officedocument.drawingml.chart+xml"/>
  <Override PartName="/word/charts/style6.xml" ContentType="application/vnd.ms-office.chartstyle+xml"/>
  <Override PartName="/word/charts/colors6.xml" ContentType="application/vnd.ms-office.chartcolorstyle+xml"/>
  <Override PartName="/word/charts/chart7.xml" ContentType="application/vnd.openxmlformats-officedocument.drawingml.chart+xml"/>
  <Override PartName="/word/charts/style7.xml" ContentType="application/vnd.ms-office.chartstyle+xml"/>
  <Override PartName="/word/charts/colors7.xml" ContentType="application/vnd.ms-office.chartcolorstyle+xml"/>
  <Override PartName="/word/charts/chart8.xml" ContentType="application/vnd.openxmlformats-officedocument.drawingml.chart+xml"/>
  <Override PartName="/word/charts/style8.xml" ContentType="application/vnd.ms-office.chartstyle+xml"/>
  <Override PartName="/word/charts/colors8.xml" ContentType="application/vnd.ms-office.chartcolorstyle+xml"/>
  <Override PartName="/word/charts/chart9.xml" ContentType="application/vnd.openxmlformats-officedocument.drawingml.chart+xml"/>
  <Override PartName="/word/charts/style9.xml" ContentType="application/vnd.ms-office.chartstyle+xml"/>
  <Override PartName="/word/charts/colors9.xml" ContentType="application/vnd.ms-office.chartcolorstyle+xml"/>
  <Override PartName="/word/charts/chart10.xml" ContentType="application/vnd.openxmlformats-officedocument.drawingml.chart+xml"/>
  <Override PartName="/word/charts/style10.xml" ContentType="application/vnd.ms-office.chartstyle+xml"/>
  <Override PartName="/word/charts/colors10.xml" ContentType="application/vnd.ms-office.chartcolorstyle+xml"/>
  <Override PartName="/word/charts/chart11.xml" ContentType="application/vnd.openxmlformats-officedocument.drawingml.chart+xml"/>
  <Override PartName="/word/charts/style11.xml" ContentType="application/vnd.ms-office.chartstyle+xml"/>
  <Override PartName="/word/charts/colors11.xml" ContentType="application/vnd.ms-office.chartcolorstyle+xml"/>
  <Override PartName="/word/charts/chart12.xml" ContentType="application/vnd.openxmlformats-officedocument.drawingml.chart+xml"/>
  <Override PartName="/word/charts/style12.xml" ContentType="application/vnd.ms-office.chartstyle+xml"/>
  <Override PartName="/word/charts/colors12.xml" ContentType="application/vnd.ms-office.chartcolorstyle+xml"/>
  <Override PartName="/word/charts/chart13.xml" ContentType="application/vnd.openxmlformats-officedocument.drawingml.chart+xml"/>
  <Override PartName="/word/charts/style13.xml" ContentType="application/vnd.ms-office.chartstyle+xml"/>
  <Override PartName="/word/charts/colors13.xml" ContentType="application/vnd.ms-office.chartcolorstyle+xml"/>
  <Override PartName="/word/drawings/drawing1.xml" ContentType="application/vnd.openxmlformats-officedocument.drawingml.chartshapes+xml"/>
  <Override PartName="/word/charts/chart14.xml" ContentType="application/vnd.openxmlformats-officedocument.drawingml.chart+xml"/>
  <Override PartName="/word/charts/style14.xml" ContentType="application/vnd.ms-office.chartstyle+xml"/>
  <Override PartName="/word/charts/colors14.xml" ContentType="application/vnd.ms-office.chartcolorstyle+xml"/>
  <Override PartName="/word/drawings/drawing2.xml" ContentType="application/vnd.openxmlformats-officedocument.drawingml.chartshapes+xml"/>
  <Override PartName="/word/charts/chart15.xml" ContentType="application/vnd.openxmlformats-officedocument.drawingml.chart+xml"/>
  <Override PartName="/word/charts/style15.xml" ContentType="application/vnd.ms-office.chartstyle+xml"/>
  <Override PartName="/word/charts/colors15.xml" ContentType="application/vnd.ms-office.chartcolorstyle+xml"/>
  <Override PartName="/word/charts/chart16.xml" ContentType="application/vnd.openxmlformats-officedocument.drawingml.chart+xml"/>
  <Override PartName="/word/charts/style16.xml" ContentType="application/vnd.ms-office.chartstyle+xml"/>
  <Override PartName="/word/charts/colors16.xml" ContentType="application/vnd.ms-office.chartcolorstyle+xml"/>
  <Override PartName="/word/charts/chart17.xml" ContentType="application/vnd.openxmlformats-officedocument.drawingml.chart+xml"/>
  <Override PartName="/word/charts/style17.xml" ContentType="application/vnd.ms-office.chartstyle+xml"/>
  <Override PartName="/word/charts/colors17.xml" ContentType="application/vnd.ms-office.chartcolorstyle+xml"/>
  <Override PartName="/word/charts/chart18.xml" ContentType="application/vnd.openxmlformats-officedocument.drawingml.chart+xml"/>
  <Override PartName="/word/charts/style18.xml" ContentType="application/vnd.ms-office.chartstyle+xml"/>
  <Override PartName="/word/charts/colors18.xml" ContentType="application/vnd.ms-office.chartcolorstyle+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BDBB49" w14:textId="68E2E0AF" w:rsidR="00F04C42" w:rsidRPr="001A6A39" w:rsidRDefault="00F04C42" w:rsidP="00E25422">
      <w:pPr>
        <w:rPr>
          <w:b/>
          <w:lang w:val="de-DE"/>
        </w:rPr>
      </w:pPr>
      <w:bookmarkStart w:id="0" w:name="_Hlk145670493"/>
      <w:bookmarkStart w:id="1" w:name="_Hlk117841894"/>
      <w:r w:rsidRPr="001A6A39">
        <w:rPr>
          <w:b/>
          <w:lang w:val="de-DE"/>
        </w:rPr>
        <w:t>3</w:t>
      </w:r>
      <w:bookmarkStart w:id="2" w:name="_Ref158906132"/>
      <w:bookmarkEnd w:id="2"/>
      <w:r w:rsidRPr="001A6A39">
        <w:rPr>
          <w:b/>
          <w:lang w:val="de-DE"/>
        </w:rPr>
        <w:t>GPP TSG RAN WG1 #1</w:t>
      </w:r>
      <w:r w:rsidR="00E50CCA" w:rsidRPr="001A6A39">
        <w:rPr>
          <w:b/>
          <w:lang w:val="de-DE"/>
        </w:rPr>
        <w:t>2</w:t>
      </w:r>
      <w:r w:rsidR="008D0128">
        <w:rPr>
          <w:b/>
          <w:lang w:val="de-DE"/>
        </w:rPr>
        <w:t xml:space="preserve">3   </w:t>
      </w:r>
      <w:r w:rsidR="00EE5803" w:rsidRPr="001A6A39">
        <w:rPr>
          <w:b/>
          <w:lang w:val="de-DE"/>
        </w:rPr>
        <w:t xml:space="preserve">                                                  </w:t>
      </w:r>
      <w:r w:rsidR="00246FBE" w:rsidRPr="001A6A39">
        <w:rPr>
          <w:b/>
          <w:lang w:val="de-DE"/>
        </w:rPr>
        <w:t xml:space="preserve">                          </w:t>
      </w:r>
      <w:r w:rsidR="005B2337" w:rsidRPr="001A6A39">
        <w:rPr>
          <w:b/>
          <w:bCs/>
          <w:lang w:val="de-DE"/>
        </w:rPr>
        <w:t xml:space="preserve">                        </w:t>
      </w:r>
      <w:r w:rsidRPr="001A6A39">
        <w:rPr>
          <w:b/>
          <w:lang w:val="de-DE"/>
        </w:rPr>
        <w:t>R1-</w:t>
      </w:r>
      <w:r w:rsidRPr="001A6A39">
        <w:rPr>
          <w:b/>
          <w:bCs/>
          <w:lang w:val="de-DE"/>
        </w:rPr>
        <w:t>2</w:t>
      </w:r>
      <w:r w:rsidR="00E50CCA" w:rsidRPr="001A6A39">
        <w:rPr>
          <w:b/>
          <w:bCs/>
          <w:lang w:val="de-DE"/>
        </w:rPr>
        <w:t>5</w:t>
      </w:r>
      <w:r w:rsidR="00451051">
        <w:rPr>
          <w:b/>
          <w:bCs/>
          <w:lang w:val="de-DE"/>
        </w:rPr>
        <w:t>09213</w:t>
      </w:r>
    </w:p>
    <w:p w14:paraId="37C6959E" w14:textId="5511DC36" w:rsidR="00F04C42" w:rsidRPr="00AC6352" w:rsidRDefault="008D0128" w:rsidP="00E25422">
      <w:pPr>
        <w:rPr>
          <w:b/>
        </w:rPr>
      </w:pPr>
      <w:r>
        <w:rPr>
          <w:b/>
          <w:bCs/>
        </w:rPr>
        <w:t>Dallas</w:t>
      </w:r>
      <w:r w:rsidR="008C7449">
        <w:rPr>
          <w:b/>
          <w:bCs/>
        </w:rPr>
        <w:t xml:space="preserve">, </w:t>
      </w:r>
      <w:r>
        <w:rPr>
          <w:b/>
          <w:bCs/>
        </w:rPr>
        <w:t>USA</w:t>
      </w:r>
      <w:r w:rsidR="00F56199" w:rsidRPr="00A66AE6">
        <w:rPr>
          <w:b/>
          <w:bCs/>
        </w:rPr>
        <w:t xml:space="preserve">, </w:t>
      </w:r>
      <w:r>
        <w:rPr>
          <w:b/>
          <w:bCs/>
        </w:rPr>
        <w:t>November</w:t>
      </w:r>
      <w:r w:rsidR="00F56199" w:rsidRPr="00A66AE6">
        <w:rPr>
          <w:b/>
          <w:bCs/>
        </w:rPr>
        <w:t xml:space="preserve"> </w:t>
      </w:r>
      <w:r w:rsidR="00B010C1">
        <w:rPr>
          <w:b/>
          <w:bCs/>
        </w:rPr>
        <w:t>1</w:t>
      </w:r>
      <w:r w:rsidR="00C328BB">
        <w:rPr>
          <w:b/>
          <w:bCs/>
        </w:rPr>
        <w:t>7</w:t>
      </w:r>
      <w:r w:rsidR="00B010C1" w:rsidRPr="00B010C1">
        <w:rPr>
          <w:b/>
          <w:bCs/>
          <w:vertAlign w:val="superscript"/>
        </w:rPr>
        <w:t>th</w:t>
      </w:r>
      <w:r w:rsidR="00B010C1">
        <w:rPr>
          <w:b/>
          <w:bCs/>
        </w:rPr>
        <w:t xml:space="preserve"> </w:t>
      </w:r>
      <w:r w:rsidR="00F56199" w:rsidRPr="00A66AE6">
        <w:rPr>
          <w:b/>
          <w:bCs/>
        </w:rPr>
        <w:t>–</w:t>
      </w:r>
      <w:r w:rsidR="00C9090D">
        <w:rPr>
          <w:b/>
          <w:bCs/>
        </w:rPr>
        <w:t xml:space="preserve"> </w:t>
      </w:r>
      <w:r w:rsidR="00C328BB">
        <w:rPr>
          <w:b/>
          <w:bCs/>
        </w:rPr>
        <w:t>21</w:t>
      </w:r>
      <w:r w:rsidR="00C328BB" w:rsidRPr="00C328BB">
        <w:rPr>
          <w:b/>
          <w:bCs/>
          <w:vertAlign w:val="superscript"/>
        </w:rPr>
        <w:t>st</w:t>
      </w:r>
      <w:r w:rsidR="00C328BB">
        <w:rPr>
          <w:b/>
          <w:bCs/>
        </w:rPr>
        <w:t xml:space="preserve"> </w:t>
      </w:r>
      <w:r w:rsidR="00CD103E">
        <w:rPr>
          <w:b/>
          <w:bCs/>
        </w:rPr>
        <w:t>,</w:t>
      </w:r>
      <w:r w:rsidR="00F56199" w:rsidRPr="00A66AE6">
        <w:rPr>
          <w:b/>
          <w:bCs/>
        </w:rPr>
        <w:t xml:space="preserve"> 202</w:t>
      </w:r>
      <w:r w:rsidR="00CD103E">
        <w:rPr>
          <w:b/>
          <w:bCs/>
        </w:rPr>
        <w:t>5</w:t>
      </w:r>
    </w:p>
    <w:bookmarkEnd w:id="0"/>
    <w:p w14:paraId="5866ADC8" w14:textId="77777777" w:rsidR="00F04C42" w:rsidRPr="00E50CCA" w:rsidRDefault="00F04C42" w:rsidP="00E25422"/>
    <w:p w14:paraId="392574CB" w14:textId="23B54DE1" w:rsidR="00841851" w:rsidRPr="00841851" w:rsidRDefault="00841851" w:rsidP="00E25422">
      <w:pPr>
        <w:rPr>
          <w:lang w:eastAsia="ja-JP"/>
        </w:rPr>
      </w:pPr>
      <w:r w:rsidRPr="00AC6352">
        <w:rPr>
          <w:b/>
        </w:rPr>
        <w:t>Agenda item:</w:t>
      </w:r>
      <w:r w:rsidRPr="00841851">
        <w:tab/>
      </w:r>
      <w:r w:rsidR="00BD7C71">
        <w:tab/>
      </w:r>
      <w:r w:rsidR="006E769A">
        <w:t>10</w:t>
      </w:r>
      <w:r>
        <w:t>.1.</w:t>
      </w:r>
      <w:r w:rsidR="006E769A">
        <w:t>1</w:t>
      </w:r>
      <w:r>
        <w:t>.</w:t>
      </w:r>
      <w:r w:rsidR="007C61B2">
        <w:t>1</w:t>
      </w:r>
    </w:p>
    <w:p w14:paraId="6CFE708D" w14:textId="1DD5A268" w:rsidR="00841851" w:rsidRPr="00841851" w:rsidRDefault="00841851" w:rsidP="00E25422">
      <w:pPr>
        <w:rPr>
          <w:lang w:eastAsia="ja-JP"/>
        </w:rPr>
      </w:pPr>
      <w:r w:rsidRPr="00841851">
        <w:rPr>
          <w:b/>
        </w:rPr>
        <w:t xml:space="preserve">Source: </w:t>
      </w:r>
      <w:r w:rsidRPr="00841851">
        <w:rPr>
          <w:b/>
        </w:rPr>
        <w:tab/>
      </w:r>
      <w:r w:rsidR="009D0317">
        <w:rPr>
          <w:b/>
        </w:rPr>
        <w:tab/>
      </w:r>
      <w:r w:rsidRPr="00841851">
        <w:t>Q</w:t>
      </w:r>
      <w:r w:rsidRPr="00841851">
        <w:rPr>
          <w:rFonts w:hint="eastAsia"/>
          <w:lang w:eastAsia="ja-JP"/>
        </w:rPr>
        <w:t>ualcomm</w:t>
      </w:r>
      <w:r w:rsidRPr="00841851">
        <w:rPr>
          <w:rFonts w:ascii="MS Mincho" w:hAnsi="MS Mincho"/>
          <w:lang w:eastAsia="ja-JP"/>
        </w:rPr>
        <w:t xml:space="preserve"> </w:t>
      </w:r>
      <w:r w:rsidRPr="00841851">
        <w:rPr>
          <w:rFonts w:hint="eastAsia"/>
          <w:lang w:eastAsia="ja-JP"/>
        </w:rPr>
        <w:t>Incorporated</w:t>
      </w:r>
    </w:p>
    <w:p w14:paraId="7830C522" w14:textId="72E7038C" w:rsidR="00841851" w:rsidRPr="00841851" w:rsidRDefault="00841851" w:rsidP="00E25422">
      <w:pPr>
        <w:rPr>
          <w:lang w:eastAsia="ja-JP"/>
        </w:rPr>
      </w:pPr>
      <w:r w:rsidRPr="00841851">
        <w:rPr>
          <w:b/>
        </w:rPr>
        <w:t>Title:</w:t>
      </w:r>
      <w:r w:rsidRPr="00841851">
        <w:t xml:space="preserve"> </w:t>
      </w:r>
      <w:r w:rsidRPr="00841851">
        <w:tab/>
      </w:r>
      <w:r w:rsidR="009D0317">
        <w:tab/>
      </w:r>
      <w:r w:rsidR="009D0317">
        <w:tab/>
      </w:r>
      <w:r w:rsidR="006E769A">
        <w:t>Specification of inference aspects of AIML CSI compression</w:t>
      </w:r>
    </w:p>
    <w:p w14:paraId="0207A98F" w14:textId="51105855" w:rsidR="00841851" w:rsidRPr="00841851" w:rsidRDefault="00841851" w:rsidP="00E25422">
      <w:r w:rsidRPr="00841851">
        <w:rPr>
          <w:b/>
        </w:rPr>
        <w:t>Document for:</w:t>
      </w:r>
      <w:r w:rsidRPr="00841851">
        <w:tab/>
      </w:r>
      <w:r w:rsidRPr="00841851">
        <w:tab/>
        <w:t>Discussion and Decision</w:t>
      </w:r>
    </w:p>
    <w:p w14:paraId="763DD7BF" w14:textId="77777777" w:rsidR="00841851" w:rsidRPr="00F04C42" w:rsidRDefault="00841851" w:rsidP="00E25422"/>
    <w:p w14:paraId="62614B80" w14:textId="67486AFD" w:rsidR="00D70B54" w:rsidRDefault="00D70B54" w:rsidP="00D70B54">
      <w:pPr>
        <w:pStyle w:val="Heading1"/>
      </w:pPr>
      <w:bookmarkStart w:id="3" w:name="_Ref163224089"/>
      <w:bookmarkEnd w:id="1"/>
      <w:r>
        <w:t>Introduction</w:t>
      </w:r>
    </w:p>
    <w:p w14:paraId="3A9BC47B" w14:textId="4B60E655" w:rsidR="00822EF1" w:rsidRDefault="00E21170" w:rsidP="007F0CAC">
      <w:pPr>
        <w:pStyle w:val="3GPPText"/>
      </w:pPr>
      <w:r>
        <w:t xml:space="preserve">After extensive studies in the past two releases, </w:t>
      </w:r>
      <w:r w:rsidR="00AF7CDC">
        <w:t xml:space="preserve">RAN1 has identified good performance complexity trade-off for CSI compression via two-sided model and also </w:t>
      </w:r>
      <w:r w:rsidR="00ED5B1A">
        <w:t xml:space="preserve">documented </w:t>
      </w:r>
      <w:r w:rsidR="000B11DC">
        <w:t xml:space="preserve">solutions to address inter-vendor collaboration [1]. Based on the conclusion of </w:t>
      </w:r>
      <w:r w:rsidR="00E82C09">
        <w:t>the study, spatial-frequency</w:t>
      </w:r>
      <w:r w:rsidR="00F32E53">
        <w:t xml:space="preserve"> CSI</w:t>
      </w:r>
      <w:r w:rsidR="00E82C09">
        <w:t xml:space="preserve"> compression (with temporal aspects) </w:t>
      </w:r>
      <w:r w:rsidR="00F32E53">
        <w:t xml:space="preserve">via two-sided AIML model proceeds to the normative work, with following </w:t>
      </w:r>
      <w:r w:rsidR="00912656">
        <w:t>objective [2]</w:t>
      </w:r>
      <w:r w:rsidR="00F47BC0">
        <w:t xml:space="preserve"> for RAN1</w:t>
      </w:r>
      <w:r w:rsidR="00912656">
        <w:t>.</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912656" w14:paraId="11B8342A" w14:textId="77777777" w:rsidTr="00D668BF">
        <w:tc>
          <w:tcPr>
            <w:tcW w:w="9350" w:type="dxa"/>
          </w:tcPr>
          <w:p w14:paraId="00423CE2" w14:textId="77777777" w:rsidR="00F47BC0" w:rsidRPr="004C281F" w:rsidRDefault="00F47BC0" w:rsidP="00F47BC0">
            <w:pPr>
              <w:spacing w:after="0"/>
              <w:rPr>
                <w:bCs/>
                <w:lang w:val="en-US"/>
              </w:rPr>
            </w:pPr>
            <w:r w:rsidRPr="000126B8">
              <w:rPr>
                <w:b/>
                <w:color w:val="0000FF"/>
                <w:lang w:val="en-US"/>
              </w:rPr>
              <w:t>CSI feedback enhancement</w:t>
            </w:r>
            <w:r w:rsidRPr="004C281F">
              <w:rPr>
                <w:bCs/>
                <w:lang w:val="en-US"/>
              </w:rPr>
              <w:t>, encompassing (two-sided model) [RAN1</w:t>
            </w:r>
            <w:r>
              <w:rPr>
                <w:bCs/>
                <w:lang w:val="en-US"/>
              </w:rPr>
              <w:t>, RAN</w:t>
            </w:r>
            <w:r w:rsidRPr="004C281F">
              <w:rPr>
                <w:bCs/>
                <w:lang w:val="en-US"/>
              </w:rPr>
              <w:t>2]:</w:t>
            </w:r>
          </w:p>
          <w:p w14:paraId="08265DE1" w14:textId="77777777" w:rsidR="00F47BC0" w:rsidRPr="00D25B4D" w:rsidRDefault="00F47BC0" w:rsidP="00304C8B">
            <w:pPr>
              <w:pStyle w:val="ListParagraph"/>
              <w:numPr>
                <w:ilvl w:val="0"/>
                <w:numId w:val="9"/>
              </w:numPr>
              <w:overflowPunct w:val="0"/>
              <w:autoSpaceDE w:val="0"/>
              <w:autoSpaceDN w:val="0"/>
              <w:adjustRightInd w:val="0"/>
              <w:spacing w:after="0"/>
              <w:jc w:val="left"/>
              <w:textAlignment w:val="baseline"/>
              <w:rPr>
                <w:bCs/>
                <w:lang w:val="en-US"/>
              </w:rPr>
            </w:pPr>
            <w:r w:rsidRPr="00D25B4D">
              <w:rPr>
                <w:bCs/>
                <w:lang w:val="en-US"/>
              </w:rPr>
              <w:t xml:space="preserve">CSI spatial/frequency compression without temporal aspects (“Case 0”), </w:t>
            </w:r>
          </w:p>
          <w:p w14:paraId="42EC47EC" w14:textId="77777777" w:rsidR="00F47BC0" w:rsidRPr="00D25B4D" w:rsidRDefault="00F47BC0" w:rsidP="00304C8B">
            <w:pPr>
              <w:pStyle w:val="ListParagraph"/>
              <w:numPr>
                <w:ilvl w:val="0"/>
                <w:numId w:val="9"/>
              </w:numPr>
              <w:overflowPunct w:val="0"/>
              <w:autoSpaceDE w:val="0"/>
              <w:autoSpaceDN w:val="0"/>
              <w:adjustRightInd w:val="0"/>
              <w:spacing w:after="0"/>
              <w:jc w:val="left"/>
              <w:textAlignment w:val="baseline"/>
              <w:rPr>
                <w:bCs/>
                <w:lang w:val="en-US"/>
              </w:rPr>
            </w:pPr>
            <w:r w:rsidRPr="00D25B4D">
              <w:rPr>
                <w:bCs/>
                <w:lang w:val="en-US"/>
              </w:rPr>
              <w:t>Specify necessary signalling/mechanism(s) as per the identified potential specification impacts in FS_NR_AIML_Air , including</w:t>
            </w:r>
            <w:r>
              <w:rPr>
                <w:bCs/>
                <w:lang w:val="en-US"/>
              </w:rPr>
              <w:t>:</w:t>
            </w:r>
          </w:p>
          <w:p w14:paraId="7D900003" w14:textId="77777777" w:rsidR="00F47BC0" w:rsidRPr="00D25B4D" w:rsidRDefault="00F47BC0" w:rsidP="00304C8B">
            <w:pPr>
              <w:pStyle w:val="ListParagraph"/>
              <w:numPr>
                <w:ilvl w:val="1"/>
                <w:numId w:val="8"/>
              </w:numPr>
              <w:overflowPunct w:val="0"/>
              <w:autoSpaceDE w:val="0"/>
              <w:autoSpaceDN w:val="0"/>
              <w:adjustRightInd w:val="0"/>
              <w:spacing w:after="0"/>
              <w:jc w:val="left"/>
              <w:textAlignment w:val="baseline"/>
              <w:rPr>
                <w:bCs/>
                <w:lang w:val="en-US"/>
              </w:rPr>
            </w:pPr>
            <w:r w:rsidRPr="00D25B4D">
              <w:rPr>
                <w:bCs/>
                <w:lang w:val="en-US"/>
              </w:rPr>
              <w:t>Model pairing procedure including ID and applicability reporting</w:t>
            </w:r>
          </w:p>
          <w:p w14:paraId="185D7B76" w14:textId="77777777" w:rsidR="00F47BC0" w:rsidRPr="00D25B4D" w:rsidRDefault="00F47BC0" w:rsidP="00304C8B">
            <w:pPr>
              <w:pStyle w:val="ListParagraph"/>
              <w:numPr>
                <w:ilvl w:val="1"/>
                <w:numId w:val="8"/>
              </w:numPr>
              <w:overflowPunct w:val="0"/>
              <w:autoSpaceDE w:val="0"/>
              <w:autoSpaceDN w:val="0"/>
              <w:adjustRightInd w:val="0"/>
              <w:spacing w:after="0"/>
              <w:jc w:val="left"/>
              <w:textAlignment w:val="baseline"/>
              <w:rPr>
                <w:bCs/>
                <w:lang w:val="en-US"/>
              </w:rPr>
            </w:pPr>
            <w:r w:rsidRPr="00D25B4D">
              <w:rPr>
                <w:bCs/>
                <w:lang w:val="en-US"/>
              </w:rPr>
              <w:t>Inference aspects including target CSI type, measurement and report configuration, CQI RI determination, payload determination, quantization configuration codebook, UCI mapping, CSI processing criteria and timeline, priority rules for CSI reports</w:t>
            </w:r>
          </w:p>
          <w:p w14:paraId="555627D2" w14:textId="77777777" w:rsidR="00F47BC0" w:rsidRPr="00D25B4D" w:rsidRDefault="00F47BC0" w:rsidP="00304C8B">
            <w:pPr>
              <w:pStyle w:val="ListParagraph"/>
              <w:numPr>
                <w:ilvl w:val="1"/>
                <w:numId w:val="8"/>
              </w:numPr>
              <w:overflowPunct w:val="0"/>
              <w:autoSpaceDE w:val="0"/>
              <w:autoSpaceDN w:val="0"/>
              <w:adjustRightInd w:val="0"/>
              <w:spacing w:after="0"/>
              <w:jc w:val="left"/>
              <w:textAlignment w:val="baseline"/>
              <w:rPr>
                <w:bCs/>
                <w:lang w:val="en-US"/>
              </w:rPr>
            </w:pPr>
            <w:r w:rsidRPr="00D25B4D">
              <w:rPr>
                <w:bCs/>
                <w:lang w:val="en-US"/>
              </w:rPr>
              <w:t>NW and UE side data collection for training,</w:t>
            </w:r>
          </w:p>
          <w:p w14:paraId="654287D7" w14:textId="77777777" w:rsidR="00F47BC0" w:rsidRPr="00D25B4D" w:rsidRDefault="00F47BC0" w:rsidP="00304C8B">
            <w:pPr>
              <w:pStyle w:val="ListParagraph"/>
              <w:numPr>
                <w:ilvl w:val="2"/>
                <w:numId w:val="8"/>
              </w:numPr>
              <w:overflowPunct w:val="0"/>
              <w:autoSpaceDE w:val="0"/>
              <w:autoSpaceDN w:val="0"/>
              <w:adjustRightInd w:val="0"/>
              <w:spacing w:after="0"/>
              <w:jc w:val="left"/>
              <w:textAlignment w:val="baseline"/>
              <w:rPr>
                <w:bCs/>
                <w:lang w:val="en-US"/>
              </w:rPr>
            </w:pPr>
            <w:r w:rsidRPr="00D25B4D">
              <w:rPr>
                <w:bCs/>
                <w:lang w:val="en-US"/>
              </w:rPr>
              <w:t>Target CSI format</w:t>
            </w:r>
          </w:p>
          <w:p w14:paraId="44623A2B" w14:textId="77777777" w:rsidR="00F47BC0" w:rsidRPr="00D25B4D" w:rsidRDefault="00F47BC0" w:rsidP="00304C8B">
            <w:pPr>
              <w:pStyle w:val="ListParagraph"/>
              <w:numPr>
                <w:ilvl w:val="2"/>
                <w:numId w:val="8"/>
              </w:numPr>
              <w:overflowPunct w:val="0"/>
              <w:autoSpaceDE w:val="0"/>
              <w:autoSpaceDN w:val="0"/>
              <w:adjustRightInd w:val="0"/>
              <w:spacing w:after="0"/>
              <w:jc w:val="left"/>
              <w:textAlignment w:val="baseline"/>
              <w:rPr>
                <w:bCs/>
                <w:lang w:val="en-US"/>
              </w:rPr>
            </w:pPr>
            <w:r w:rsidRPr="00D25B4D">
              <w:rPr>
                <w:bCs/>
                <w:lang w:val="en-US"/>
              </w:rPr>
              <w:t>Note The framework defined in BM and CSI prediction use cases could be reused</w:t>
            </w:r>
          </w:p>
          <w:p w14:paraId="075E4F27" w14:textId="77777777" w:rsidR="00F47BC0" w:rsidRPr="00D25B4D" w:rsidRDefault="00F47BC0" w:rsidP="00304C8B">
            <w:pPr>
              <w:pStyle w:val="ListParagraph"/>
              <w:numPr>
                <w:ilvl w:val="1"/>
                <w:numId w:val="8"/>
              </w:numPr>
              <w:overflowPunct w:val="0"/>
              <w:autoSpaceDE w:val="0"/>
              <w:autoSpaceDN w:val="0"/>
              <w:adjustRightInd w:val="0"/>
              <w:spacing w:after="0"/>
              <w:jc w:val="left"/>
              <w:textAlignment w:val="baseline"/>
              <w:rPr>
                <w:bCs/>
                <w:lang w:val="en-US"/>
              </w:rPr>
            </w:pPr>
            <w:r w:rsidRPr="00D25B4D">
              <w:rPr>
                <w:bCs/>
                <w:lang w:val="en-US"/>
              </w:rPr>
              <w:t xml:space="preserve">Specify performance monitoring </w:t>
            </w:r>
          </w:p>
          <w:p w14:paraId="480F423D" w14:textId="77777777" w:rsidR="00F47BC0" w:rsidRPr="004C281F" w:rsidRDefault="00F47BC0" w:rsidP="00F47BC0">
            <w:pPr>
              <w:spacing w:after="0"/>
              <w:rPr>
                <w:bCs/>
                <w:lang w:val="en-US"/>
              </w:rPr>
            </w:pPr>
          </w:p>
          <w:p w14:paraId="0C6D0B69" w14:textId="77777777" w:rsidR="00F47BC0" w:rsidRPr="004C281F" w:rsidRDefault="00F47BC0" w:rsidP="00F47BC0">
            <w:pPr>
              <w:spacing w:after="0"/>
              <w:rPr>
                <w:bCs/>
                <w:lang w:val="en-US"/>
              </w:rPr>
            </w:pPr>
            <w:r w:rsidRPr="00756AB1">
              <w:rPr>
                <w:b/>
                <w:color w:val="0000FF"/>
                <w:lang w:val="en-US"/>
              </w:rPr>
              <w:t>Inter-vendor training collaboration</w:t>
            </w:r>
            <w:r w:rsidRPr="00756AB1">
              <w:rPr>
                <w:bCs/>
                <w:color w:val="0000FF"/>
                <w:lang w:val="en-US"/>
              </w:rPr>
              <w:t xml:space="preserve"> </w:t>
            </w:r>
            <w:r w:rsidRPr="004C281F">
              <w:rPr>
                <w:bCs/>
                <w:lang w:val="en-US"/>
              </w:rPr>
              <w:t xml:space="preserve">for two-sided AI/ML models </w:t>
            </w:r>
          </w:p>
          <w:p w14:paraId="4E5B682D" w14:textId="77777777" w:rsidR="00F47BC0" w:rsidRPr="00AF7AE1" w:rsidRDefault="00F47BC0" w:rsidP="00304C8B">
            <w:pPr>
              <w:pStyle w:val="ListParagraph"/>
              <w:numPr>
                <w:ilvl w:val="0"/>
                <w:numId w:val="10"/>
              </w:numPr>
              <w:overflowPunct w:val="0"/>
              <w:autoSpaceDE w:val="0"/>
              <w:autoSpaceDN w:val="0"/>
              <w:adjustRightInd w:val="0"/>
              <w:spacing w:after="0"/>
              <w:jc w:val="left"/>
              <w:textAlignment w:val="baseline"/>
              <w:rPr>
                <w:bCs/>
                <w:lang w:val="en-US"/>
              </w:rPr>
            </w:pPr>
            <w:r w:rsidRPr="00EC67C0">
              <w:rPr>
                <w:bCs/>
                <w:lang w:val="en-US"/>
              </w:rPr>
              <w:t>Fully defined/specified reference model (“Direction C”) with RAN1 scalability study outcome taken into account [RAN4/</w:t>
            </w:r>
            <w:r w:rsidRPr="00AF7AE1">
              <w:rPr>
                <w:bCs/>
                <w:lang w:val="en-US"/>
              </w:rPr>
              <w:t>RAN1] – check-point in RAN#110 upon RAN4 feedback</w:t>
            </w:r>
          </w:p>
          <w:p w14:paraId="23B8668F" w14:textId="77777777" w:rsidR="00F47BC0" w:rsidRPr="00AF7AE1" w:rsidRDefault="00F47BC0" w:rsidP="00304C8B">
            <w:pPr>
              <w:pStyle w:val="ListParagraph"/>
              <w:numPr>
                <w:ilvl w:val="1"/>
                <w:numId w:val="10"/>
              </w:numPr>
              <w:overflowPunct w:val="0"/>
              <w:autoSpaceDE w:val="0"/>
              <w:autoSpaceDN w:val="0"/>
              <w:adjustRightInd w:val="0"/>
              <w:spacing w:after="0"/>
              <w:jc w:val="left"/>
              <w:textAlignment w:val="baseline"/>
              <w:rPr>
                <w:bCs/>
                <w:lang w:val="en-US"/>
              </w:rPr>
            </w:pPr>
            <w:r w:rsidRPr="00AF7AE1">
              <w:rPr>
                <w:bCs/>
                <w:lang w:val="en-US"/>
              </w:rPr>
              <w:t>Specification of standardized encoder model structure plus parameter exchange (“Direction A, sub-option 3a-1” without target CSI sharing) leveraging defined/reference model of “Direction C” and taking RAN1 scalability study outcome into account [RAN4/RAN1/RAN2/RAN3] – check-point in RAN#110 upon SA WG feedback</w:t>
            </w:r>
          </w:p>
          <w:p w14:paraId="7443381D" w14:textId="77777777" w:rsidR="00F47BC0" w:rsidRPr="00AF7AE1" w:rsidRDefault="00F47BC0" w:rsidP="00304C8B">
            <w:pPr>
              <w:pStyle w:val="ListParagraph"/>
              <w:numPr>
                <w:ilvl w:val="0"/>
                <w:numId w:val="10"/>
              </w:numPr>
              <w:overflowPunct w:val="0"/>
              <w:autoSpaceDE w:val="0"/>
              <w:autoSpaceDN w:val="0"/>
              <w:adjustRightInd w:val="0"/>
              <w:spacing w:after="0"/>
              <w:jc w:val="left"/>
              <w:textAlignment w:val="baseline"/>
              <w:rPr>
                <w:bCs/>
                <w:lang w:val="en-US"/>
              </w:rPr>
            </w:pPr>
            <w:r w:rsidRPr="00AF7AE1">
              <w:rPr>
                <w:bCs/>
                <w:lang w:val="en-US"/>
              </w:rPr>
              <w:t>Specification of standardized dataset format/content plus dataset exchange (“Direction A, sub-option 4-1”) [RAN1/RAN2/RAN3/RAN4] – check-point in RAN#110 upon SA WG feedback</w:t>
            </w:r>
          </w:p>
          <w:p w14:paraId="26C29418" w14:textId="77777777" w:rsidR="00912656" w:rsidRDefault="00912656" w:rsidP="007F0CAC">
            <w:pPr>
              <w:pStyle w:val="3GPPText"/>
            </w:pPr>
          </w:p>
        </w:tc>
      </w:tr>
    </w:tbl>
    <w:p w14:paraId="1B1AE056" w14:textId="34763D51" w:rsidR="00912656" w:rsidRPr="006E1C10" w:rsidRDefault="006D6D54" w:rsidP="007F0CAC">
      <w:pPr>
        <w:pStyle w:val="3GPPText"/>
      </w:pPr>
      <w:r>
        <w:t>The above objectives are further split into three agenda, i.e., inference aspects,</w:t>
      </w:r>
      <w:r w:rsidR="00ED12B0">
        <w:t xml:space="preserve"> inter-vendor collaboration and</w:t>
      </w:r>
      <w:r>
        <w:t xml:space="preserve"> </w:t>
      </w:r>
      <w:r w:rsidR="00ED12B0">
        <w:t xml:space="preserve">other aspects including data collection, monitoring and model pairing. Per guidance from the agenda, in this contribution, we will discuss specification impacts of the inference aspects, including </w:t>
      </w:r>
      <w:r w:rsidR="00ED12B0" w:rsidRPr="00D25B4D">
        <w:rPr>
          <w:bCs/>
          <w:lang w:val="en-US"/>
        </w:rPr>
        <w:t xml:space="preserve">target CSI </w:t>
      </w:r>
      <w:r w:rsidR="00ED12B0" w:rsidRPr="00D25B4D">
        <w:rPr>
          <w:bCs/>
          <w:lang w:val="en-US"/>
        </w:rPr>
        <w:lastRenderedPageBreak/>
        <w:t>type, measurement and report configuration, CQI RI determination, payload determination, quantization configuration codebook, UCI mapping, CSI processing criteria and timeline, priority rules for CSI reports</w:t>
      </w:r>
      <w:r w:rsidR="00ED12B0">
        <w:rPr>
          <w:bCs/>
          <w:lang w:val="en-US"/>
        </w:rPr>
        <w:t>.</w:t>
      </w:r>
    </w:p>
    <w:p w14:paraId="765A725D" w14:textId="77777777" w:rsidR="00506044" w:rsidRDefault="00506044" w:rsidP="00C33209">
      <w:pPr>
        <w:pStyle w:val="Heading1"/>
      </w:pPr>
      <w:r>
        <w:t xml:space="preserve">Payload determination and quantization </w:t>
      </w:r>
    </w:p>
    <w:p w14:paraId="2B17EA70" w14:textId="77777777" w:rsidR="00F67B0B" w:rsidRDefault="00F225DB" w:rsidP="00101A0F">
      <w:r>
        <w:t>Regarding the payload determination</w:t>
      </w:r>
      <w:r w:rsidR="00550532">
        <w:t xml:space="preserve">, RAN1 has agreed </w:t>
      </w:r>
      <w:r w:rsidR="00206357">
        <w:t xml:space="preserve">to specify the dimension of the latent message and its quantization configurations. </w:t>
      </w:r>
      <w:r w:rsidR="00B1554B">
        <w:t xml:space="preserve">In the last meeting, general principles of </w:t>
      </w:r>
      <w:r w:rsidR="00110DBD">
        <w:t xml:space="preserve">determining the payload parameters per layer and across layers / ranks are </w:t>
      </w:r>
      <w:r w:rsidR="008A1B12">
        <w:t>agreed</w:t>
      </w:r>
      <w:r w:rsidR="00101A0F">
        <w:t>.</w:t>
      </w:r>
      <w:r w:rsidR="005F3CA0">
        <w:t xml:space="preserve"> </w:t>
      </w:r>
    </w:p>
    <w:p w14:paraId="6D882B93" w14:textId="11E49E2C" w:rsidR="00F67B0B" w:rsidRDefault="005F3CA0" w:rsidP="00101A0F">
      <w:r>
        <w:t>A rank common and layer common model is considered as the baseline implementation</w:t>
      </w:r>
      <w:r w:rsidR="005B603F">
        <w:t xml:space="preserve"> considering the UE </w:t>
      </w:r>
      <w:r w:rsidR="00E944E7">
        <w:t xml:space="preserve">memory cost and model loading complexity. </w:t>
      </w:r>
      <w:r w:rsidR="00DE747A">
        <w:t>A certain payload scalability design should be also considered for the model</w:t>
      </w:r>
      <w:r w:rsidR="000154D5">
        <w:t xml:space="preserve"> development</w:t>
      </w:r>
      <w:r w:rsidR="00DE747A">
        <w:t xml:space="preserve">. </w:t>
      </w:r>
      <w:r w:rsidR="00E944E7">
        <w:t xml:space="preserve">The performance benefits of any proposed </w:t>
      </w:r>
      <w:r w:rsidR="0030154C">
        <w:t>payload parameters should be justified with th</w:t>
      </w:r>
      <w:r w:rsidR="000154D5">
        <w:t>ese</w:t>
      </w:r>
      <w:r w:rsidR="0030154C">
        <w:t xml:space="preserve"> assumption</w:t>
      </w:r>
      <w:r w:rsidR="000154D5">
        <w:t>s</w:t>
      </w:r>
      <w:r w:rsidR="0030154C">
        <w:t xml:space="preserve"> rather than using a </w:t>
      </w:r>
      <w:r w:rsidR="00F67B0B">
        <w:t>specific model for each layer / rank</w:t>
      </w:r>
      <w:r w:rsidR="000154D5">
        <w:t xml:space="preserve"> / payload configuration</w:t>
      </w:r>
      <w:r w:rsidR="00F67B0B">
        <w:t xml:space="preserve">. </w:t>
      </w:r>
    </w:p>
    <w:p w14:paraId="21DD78FA" w14:textId="77D56616" w:rsidR="00E6524A" w:rsidRPr="00FE0A50" w:rsidRDefault="00F369EA" w:rsidP="00101A0F">
      <w:pPr>
        <w:rPr>
          <w:szCs w:val="20"/>
        </w:rPr>
      </w:pPr>
      <w:r>
        <w:t xml:space="preserve">In light of above, the total number of per-layer payload </w:t>
      </w:r>
      <w:r w:rsidR="008C74F3">
        <w:t xml:space="preserve">pair </w:t>
      </w:r>
      <w:r w:rsidR="00F201AD">
        <w:t xml:space="preserve"> </w:t>
      </w:r>
      <m:oMath>
        <m:d>
          <m:dPr>
            <m:begChr m:val="{"/>
            <m:endChr m:val="}"/>
            <m:ctrlPr>
              <w:rPr>
                <w:rFonts w:ascii="Cambria Math" w:hAnsi="Cambria Math"/>
                <w:szCs w:val="20"/>
              </w:rPr>
            </m:ctrlPr>
          </m:dPr>
          <m:e>
            <m:sSup>
              <m:sSupPr>
                <m:ctrlPr>
                  <w:rPr>
                    <w:rFonts w:ascii="Cambria Math" w:hAnsi="Cambria Math"/>
                    <w:szCs w:val="20"/>
                  </w:rPr>
                </m:ctrlPr>
              </m:sSupPr>
              <m:e>
                <m:r>
                  <m:rPr>
                    <m:sty m:val="p"/>
                  </m:rPr>
                  <w:rPr>
                    <w:rFonts w:ascii="Cambria Math" w:hAnsi="Cambria Math"/>
                    <w:szCs w:val="20"/>
                  </w:rPr>
                  <m:t>d</m:t>
                </m:r>
              </m:e>
              <m:sup>
                <m:r>
                  <m:rPr>
                    <m:sty m:val="p"/>
                  </m:rPr>
                  <w:rPr>
                    <w:rFonts w:ascii="Cambria Math" w:hAnsi="Cambria Math"/>
                    <w:szCs w:val="20"/>
                  </w:rPr>
                  <m:t>l,ν</m:t>
                </m:r>
              </m:sup>
            </m:sSup>
            <m:r>
              <m:rPr>
                <m:sty m:val="p"/>
              </m:rPr>
              <w:rPr>
                <w:rFonts w:ascii="Cambria Math" w:hAnsi="Cambria Math"/>
                <w:szCs w:val="20"/>
              </w:rPr>
              <m:t>,</m:t>
            </m:r>
            <m:sSup>
              <m:sSupPr>
                <m:ctrlPr>
                  <w:rPr>
                    <w:rFonts w:ascii="Cambria Math" w:hAnsi="Cambria Math"/>
                    <w:szCs w:val="20"/>
                  </w:rPr>
                </m:ctrlPr>
              </m:sSupPr>
              <m:e>
                <m:r>
                  <m:rPr>
                    <m:sty m:val="p"/>
                  </m:rPr>
                  <w:rPr>
                    <w:rFonts w:ascii="Cambria Math" w:hAnsi="Cambria Math"/>
                    <w:szCs w:val="20"/>
                  </w:rPr>
                  <m:t>Q</m:t>
                </m:r>
              </m:e>
              <m:sup>
                <m:r>
                  <m:rPr>
                    <m:sty m:val="p"/>
                  </m:rPr>
                  <w:rPr>
                    <w:rFonts w:ascii="Cambria Math" w:hAnsi="Cambria Math"/>
                    <w:szCs w:val="20"/>
                  </w:rPr>
                  <m:t>l,ν</m:t>
                </m:r>
              </m:sup>
            </m:sSup>
          </m:e>
        </m:d>
      </m:oMath>
      <w:r w:rsidR="008C74F3" w:rsidRPr="00C763BC">
        <w:rPr>
          <w:szCs w:val="20"/>
        </w:rPr>
        <w:t xml:space="preserve"> or</w:t>
      </w:r>
      <w:r w:rsidR="008C74F3">
        <w:rPr>
          <w:szCs w:val="20"/>
        </w:rPr>
        <w:t xml:space="preserve"> triplet</w:t>
      </w:r>
      <w:r w:rsidR="008C74F3" w:rsidRPr="00C763BC">
        <w:rPr>
          <w:szCs w:val="20"/>
        </w:rPr>
        <w:t xml:space="preserve"> </w:t>
      </w:r>
      <m:oMath>
        <m:d>
          <m:dPr>
            <m:begChr m:val="{"/>
            <m:endChr m:val="}"/>
            <m:ctrlPr>
              <w:rPr>
                <w:rFonts w:ascii="Cambria Math" w:hAnsi="Cambria Math"/>
                <w:szCs w:val="20"/>
              </w:rPr>
            </m:ctrlPr>
          </m:dPr>
          <m:e>
            <m:sSup>
              <m:sSupPr>
                <m:ctrlPr>
                  <w:rPr>
                    <w:rFonts w:ascii="Cambria Math" w:hAnsi="Cambria Math"/>
                    <w:szCs w:val="20"/>
                  </w:rPr>
                </m:ctrlPr>
              </m:sSupPr>
              <m:e>
                <m:r>
                  <m:rPr>
                    <m:sty m:val="p"/>
                  </m:rPr>
                  <w:rPr>
                    <w:rFonts w:ascii="Cambria Math" w:hAnsi="Cambria Math"/>
                    <w:szCs w:val="20"/>
                  </w:rPr>
                  <m:t>d</m:t>
                </m:r>
              </m:e>
              <m:sup>
                <m:r>
                  <m:rPr>
                    <m:sty m:val="p"/>
                  </m:rPr>
                  <w:rPr>
                    <w:rFonts w:ascii="Cambria Math" w:hAnsi="Cambria Math"/>
                    <w:szCs w:val="20"/>
                  </w:rPr>
                  <m:t>l,ν</m:t>
                </m:r>
              </m:sup>
            </m:sSup>
            <m:r>
              <m:rPr>
                <m:sty m:val="p"/>
              </m:rPr>
              <w:rPr>
                <w:rFonts w:ascii="Cambria Math" w:hAnsi="Cambria Math"/>
                <w:szCs w:val="20"/>
              </w:rPr>
              <m:t>,L,</m:t>
            </m:r>
            <m:sSup>
              <m:sSupPr>
                <m:ctrlPr>
                  <w:rPr>
                    <w:rFonts w:ascii="Cambria Math" w:hAnsi="Cambria Math"/>
                    <w:szCs w:val="20"/>
                  </w:rPr>
                </m:ctrlPr>
              </m:sSupPr>
              <m:e>
                <m:r>
                  <m:rPr>
                    <m:sty m:val="p"/>
                  </m:rPr>
                  <w:rPr>
                    <w:rFonts w:ascii="Cambria Math" w:hAnsi="Cambria Math"/>
                    <w:szCs w:val="20"/>
                  </w:rPr>
                  <m:t>Q</m:t>
                </m:r>
              </m:e>
              <m:sup>
                <m:r>
                  <m:rPr>
                    <m:sty m:val="p"/>
                  </m:rPr>
                  <w:rPr>
                    <w:rFonts w:ascii="Cambria Math" w:hAnsi="Cambria Math"/>
                    <w:szCs w:val="20"/>
                  </w:rPr>
                  <m:t>l,ν</m:t>
                </m:r>
              </m:sup>
            </m:sSup>
          </m:e>
        </m:d>
      </m:oMath>
      <w:r w:rsidR="008C74F3" w:rsidRPr="00C763BC">
        <w:rPr>
          <w:szCs w:val="20"/>
        </w:rPr>
        <w:t xml:space="preserve"> </w:t>
      </w:r>
      <w:r w:rsidR="008C74F3">
        <w:rPr>
          <w:szCs w:val="20"/>
        </w:rPr>
        <w:t xml:space="preserve">should be limited </w:t>
      </w:r>
      <w:r w:rsidR="007A338F">
        <w:rPr>
          <w:szCs w:val="20"/>
        </w:rPr>
        <w:t xml:space="preserve">across all layers and ranks </w:t>
      </w:r>
      <w:r w:rsidR="008C74F3">
        <w:rPr>
          <w:szCs w:val="20"/>
        </w:rPr>
        <w:t xml:space="preserve">as it is challenging </w:t>
      </w:r>
      <w:r w:rsidR="007A338F">
        <w:rPr>
          <w:szCs w:val="20"/>
        </w:rPr>
        <w:t>to support arbitrary number of per-layer pairs/triplets using a rank-common and layer-common model.</w:t>
      </w:r>
      <w:r w:rsidR="00FE0A50">
        <w:rPr>
          <w:szCs w:val="20"/>
        </w:rPr>
        <w:t xml:space="preserve"> </w:t>
      </w:r>
      <w:r w:rsidR="00E6524A">
        <w:t xml:space="preserve">Besides, RAN1 will strive to design </w:t>
      </w:r>
      <w:r w:rsidR="008C2500">
        <w:t xml:space="preserve">a comparable </w:t>
      </w:r>
      <w:r w:rsidR="00E6524A">
        <w:t>payload of rank 2, 3 and 4</w:t>
      </w:r>
      <w:r w:rsidR="008C2500">
        <w:t xml:space="preserve"> to avoid waste of UL resource allocation.</w:t>
      </w:r>
      <w:r w:rsidR="00591C78">
        <w:t xml:space="preserve"> </w:t>
      </w:r>
    </w:p>
    <w:tbl>
      <w:tblPr>
        <w:tblStyle w:val="TableGrid"/>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350"/>
      </w:tblGrid>
      <w:tr w:rsidR="00294121" w14:paraId="78041046" w14:textId="77777777" w:rsidTr="00F8030B">
        <w:tc>
          <w:tcPr>
            <w:tcW w:w="9350" w:type="dxa"/>
          </w:tcPr>
          <w:p w14:paraId="5327BC32" w14:textId="77777777" w:rsidR="00E61A52" w:rsidRPr="00D47103" w:rsidRDefault="00E61A52" w:rsidP="00E61A52">
            <w:pPr>
              <w:pStyle w:val="3GPPNormalText"/>
              <w:rPr>
                <w:b/>
                <w:bCs/>
                <w:lang w:val="en-US"/>
              </w:rPr>
            </w:pPr>
            <w:r w:rsidRPr="00D47103">
              <w:rPr>
                <w:b/>
                <w:bCs/>
                <w:highlight w:val="green"/>
                <w:lang w:val="en-US"/>
              </w:rPr>
              <w:t>Agreement:</w:t>
            </w:r>
          </w:p>
          <w:p w14:paraId="366BB504" w14:textId="77777777" w:rsidR="00E61A52" w:rsidRPr="00C763BC" w:rsidRDefault="00E61A52" w:rsidP="00E61A52">
            <w:pPr>
              <w:rPr>
                <w:szCs w:val="20"/>
              </w:rPr>
            </w:pPr>
            <w:r w:rsidRPr="00C763BC">
              <w:rPr>
                <w:szCs w:val="20"/>
              </w:rPr>
              <w:t xml:space="preserve">For determining the payload parameters combinations </w:t>
            </w:r>
            <m:oMath>
              <m:d>
                <m:dPr>
                  <m:begChr m:val="{"/>
                  <m:endChr m:val="}"/>
                  <m:ctrlPr>
                    <w:rPr>
                      <w:rFonts w:ascii="Cambria Math" w:hAnsi="Cambria Math"/>
                      <w:szCs w:val="20"/>
                    </w:rPr>
                  </m:ctrlPr>
                </m:dPr>
                <m:e>
                  <m:sSup>
                    <m:sSupPr>
                      <m:ctrlPr>
                        <w:rPr>
                          <w:rFonts w:ascii="Cambria Math" w:hAnsi="Cambria Math"/>
                          <w:szCs w:val="20"/>
                        </w:rPr>
                      </m:ctrlPr>
                    </m:sSupPr>
                    <m:e>
                      <m:r>
                        <m:rPr>
                          <m:sty m:val="p"/>
                        </m:rPr>
                        <w:rPr>
                          <w:rFonts w:ascii="Cambria Math" w:hAnsi="Cambria Math"/>
                          <w:szCs w:val="20"/>
                        </w:rPr>
                        <m:t>d</m:t>
                      </m:r>
                    </m:e>
                    <m:sup>
                      <m:r>
                        <m:rPr>
                          <m:sty m:val="p"/>
                        </m:rPr>
                        <w:rPr>
                          <w:rFonts w:ascii="Cambria Math" w:hAnsi="Cambria Math"/>
                          <w:szCs w:val="20"/>
                        </w:rPr>
                        <m:t>l,ν</m:t>
                      </m:r>
                    </m:sup>
                  </m:sSup>
                  <m:r>
                    <m:rPr>
                      <m:sty m:val="p"/>
                    </m:rPr>
                    <w:rPr>
                      <w:rFonts w:ascii="Cambria Math" w:hAnsi="Cambria Math"/>
                      <w:szCs w:val="20"/>
                    </w:rPr>
                    <m:t>,</m:t>
                  </m:r>
                  <m:sSup>
                    <m:sSupPr>
                      <m:ctrlPr>
                        <w:rPr>
                          <w:rFonts w:ascii="Cambria Math" w:hAnsi="Cambria Math"/>
                          <w:szCs w:val="20"/>
                        </w:rPr>
                      </m:ctrlPr>
                    </m:sSupPr>
                    <m:e>
                      <m:r>
                        <m:rPr>
                          <m:sty m:val="p"/>
                        </m:rPr>
                        <w:rPr>
                          <w:rFonts w:ascii="Cambria Math" w:hAnsi="Cambria Math"/>
                          <w:szCs w:val="20"/>
                        </w:rPr>
                        <m:t>Q</m:t>
                      </m:r>
                    </m:e>
                    <m:sup>
                      <m:r>
                        <m:rPr>
                          <m:sty m:val="p"/>
                        </m:rPr>
                        <w:rPr>
                          <w:rFonts w:ascii="Cambria Math" w:hAnsi="Cambria Math"/>
                          <w:szCs w:val="20"/>
                        </w:rPr>
                        <m:t>l,ν</m:t>
                      </m:r>
                    </m:sup>
                  </m:sSup>
                </m:e>
              </m:d>
            </m:oMath>
            <w:r w:rsidRPr="00C763BC">
              <w:rPr>
                <w:szCs w:val="20"/>
              </w:rPr>
              <w:t xml:space="preserve"> or </w:t>
            </w:r>
            <m:oMath>
              <m:d>
                <m:dPr>
                  <m:begChr m:val="{"/>
                  <m:endChr m:val="}"/>
                  <m:ctrlPr>
                    <w:rPr>
                      <w:rFonts w:ascii="Cambria Math" w:hAnsi="Cambria Math"/>
                      <w:szCs w:val="20"/>
                    </w:rPr>
                  </m:ctrlPr>
                </m:dPr>
                <m:e>
                  <m:sSup>
                    <m:sSupPr>
                      <m:ctrlPr>
                        <w:rPr>
                          <w:rFonts w:ascii="Cambria Math" w:hAnsi="Cambria Math"/>
                          <w:szCs w:val="20"/>
                        </w:rPr>
                      </m:ctrlPr>
                    </m:sSupPr>
                    <m:e>
                      <m:r>
                        <m:rPr>
                          <m:sty m:val="p"/>
                        </m:rPr>
                        <w:rPr>
                          <w:rFonts w:ascii="Cambria Math" w:hAnsi="Cambria Math"/>
                          <w:szCs w:val="20"/>
                        </w:rPr>
                        <m:t>d</m:t>
                      </m:r>
                    </m:e>
                    <m:sup>
                      <m:r>
                        <m:rPr>
                          <m:sty m:val="p"/>
                        </m:rPr>
                        <w:rPr>
                          <w:rFonts w:ascii="Cambria Math" w:hAnsi="Cambria Math"/>
                          <w:szCs w:val="20"/>
                        </w:rPr>
                        <m:t>l,ν</m:t>
                      </m:r>
                    </m:sup>
                  </m:sSup>
                  <m:r>
                    <m:rPr>
                      <m:sty m:val="p"/>
                    </m:rPr>
                    <w:rPr>
                      <w:rFonts w:ascii="Cambria Math" w:hAnsi="Cambria Math"/>
                      <w:szCs w:val="20"/>
                    </w:rPr>
                    <m:t>,L,</m:t>
                  </m:r>
                  <m:sSup>
                    <m:sSupPr>
                      <m:ctrlPr>
                        <w:rPr>
                          <w:rFonts w:ascii="Cambria Math" w:hAnsi="Cambria Math"/>
                          <w:szCs w:val="20"/>
                        </w:rPr>
                      </m:ctrlPr>
                    </m:sSupPr>
                    <m:e>
                      <m:r>
                        <m:rPr>
                          <m:sty m:val="p"/>
                        </m:rPr>
                        <w:rPr>
                          <w:rFonts w:ascii="Cambria Math" w:hAnsi="Cambria Math"/>
                          <w:szCs w:val="20"/>
                        </w:rPr>
                        <m:t>Q</m:t>
                      </m:r>
                    </m:e>
                    <m:sup>
                      <m:r>
                        <m:rPr>
                          <m:sty m:val="p"/>
                        </m:rPr>
                        <w:rPr>
                          <w:rFonts w:ascii="Cambria Math" w:hAnsi="Cambria Math"/>
                          <w:szCs w:val="20"/>
                        </w:rPr>
                        <m:t>l,ν</m:t>
                      </m:r>
                    </m:sup>
                  </m:sSup>
                </m:e>
              </m:d>
            </m:oMath>
            <w:r w:rsidRPr="00C763BC">
              <w:rPr>
                <w:szCs w:val="20"/>
              </w:rPr>
              <w:t xml:space="preserve">  across all layers and ranks, consider following general principles for precoding matrix-based target CSI</w:t>
            </w:r>
          </w:p>
          <w:p w14:paraId="5D0C1A24" w14:textId="77777777" w:rsidR="00E61A52" w:rsidRPr="00C763BC" w:rsidRDefault="00E61A52" w:rsidP="00304C8B">
            <w:pPr>
              <w:pStyle w:val="ListParagraph"/>
              <w:numPr>
                <w:ilvl w:val="0"/>
                <w:numId w:val="15"/>
              </w:numPr>
              <w:spacing w:after="160" w:line="278" w:lineRule="auto"/>
              <w:jc w:val="left"/>
              <w:rPr>
                <w:szCs w:val="20"/>
              </w:rPr>
            </w:pPr>
            <w:r w:rsidRPr="00C763BC">
              <w:rPr>
                <w:szCs w:val="20"/>
              </w:rPr>
              <w:t xml:space="preserve">Rank-common and layer-common model with payload-scalable design is considered as the baseline implementation for discussion purpose. </w:t>
            </w:r>
          </w:p>
          <w:p w14:paraId="3453C00E" w14:textId="77777777" w:rsidR="00E61A52" w:rsidRPr="00C763BC" w:rsidRDefault="00E61A52" w:rsidP="00304C8B">
            <w:pPr>
              <w:pStyle w:val="ListParagraph"/>
              <w:numPr>
                <w:ilvl w:val="1"/>
                <w:numId w:val="15"/>
              </w:numPr>
              <w:spacing w:after="160" w:line="278" w:lineRule="auto"/>
              <w:jc w:val="left"/>
              <w:rPr>
                <w:szCs w:val="20"/>
              </w:rPr>
            </w:pPr>
            <w:r w:rsidRPr="00C763BC">
              <w:rPr>
                <w:szCs w:val="20"/>
              </w:rPr>
              <w:t>Note: layer-specific / rank-specific (if supported) payload parameters are supported by this rank-common and layer-common model with payload-scalable design.</w:t>
            </w:r>
          </w:p>
          <w:p w14:paraId="0BFB9EEC" w14:textId="77777777" w:rsidR="00E61A52" w:rsidRPr="00C763BC" w:rsidRDefault="00E61A52" w:rsidP="00304C8B">
            <w:pPr>
              <w:pStyle w:val="ListParagraph"/>
              <w:numPr>
                <w:ilvl w:val="0"/>
                <w:numId w:val="15"/>
              </w:numPr>
              <w:spacing w:after="160" w:line="278" w:lineRule="auto"/>
              <w:jc w:val="left"/>
              <w:rPr>
                <w:szCs w:val="20"/>
              </w:rPr>
            </w:pPr>
            <w:r w:rsidRPr="00C763BC">
              <w:rPr>
                <w:szCs w:val="20"/>
              </w:rPr>
              <w:t xml:space="preserve">Limiting the total number of (per-layer) payload parameters combinations </w:t>
            </w:r>
            <m:oMath>
              <m:d>
                <m:dPr>
                  <m:begChr m:val="{"/>
                  <m:endChr m:val="}"/>
                  <m:ctrlPr>
                    <w:rPr>
                      <w:rFonts w:ascii="Cambria Math" w:hAnsi="Cambria Math"/>
                      <w:szCs w:val="20"/>
                    </w:rPr>
                  </m:ctrlPr>
                </m:dPr>
                <m:e>
                  <m:sSup>
                    <m:sSupPr>
                      <m:ctrlPr>
                        <w:rPr>
                          <w:rFonts w:ascii="Cambria Math" w:hAnsi="Cambria Math"/>
                          <w:szCs w:val="20"/>
                        </w:rPr>
                      </m:ctrlPr>
                    </m:sSupPr>
                    <m:e>
                      <m:r>
                        <m:rPr>
                          <m:sty m:val="p"/>
                        </m:rPr>
                        <w:rPr>
                          <w:rFonts w:ascii="Cambria Math" w:hAnsi="Cambria Math"/>
                          <w:szCs w:val="20"/>
                        </w:rPr>
                        <m:t>d</m:t>
                      </m:r>
                    </m:e>
                    <m:sup>
                      <m:r>
                        <m:rPr>
                          <m:sty m:val="p"/>
                        </m:rPr>
                        <w:rPr>
                          <w:rFonts w:ascii="Cambria Math" w:hAnsi="Cambria Math"/>
                          <w:szCs w:val="20"/>
                        </w:rPr>
                        <m:t>l,ν</m:t>
                      </m:r>
                    </m:sup>
                  </m:sSup>
                  <m:r>
                    <m:rPr>
                      <m:sty m:val="p"/>
                    </m:rPr>
                    <w:rPr>
                      <w:rFonts w:ascii="Cambria Math" w:hAnsi="Cambria Math"/>
                      <w:szCs w:val="20"/>
                    </w:rPr>
                    <m:t>,</m:t>
                  </m:r>
                  <m:sSup>
                    <m:sSupPr>
                      <m:ctrlPr>
                        <w:rPr>
                          <w:rFonts w:ascii="Cambria Math" w:hAnsi="Cambria Math"/>
                          <w:szCs w:val="20"/>
                        </w:rPr>
                      </m:ctrlPr>
                    </m:sSupPr>
                    <m:e>
                      <m:r>
                        <m:rPr>
                          <m:sty m:val="p"/>
                        </m:rPr>
                        <w:rPr>
                          <w:rFonts w:ascii="Cambria Math" w:hAnsi="Cambria Math"/>
                          <w:szCs w:val="20"/>
                        </w:rPr>
                        <m:t>Q</m:t>
                      </m:r>
                    </m:e>
                    <m:sup>
                      <m:r>
                        <m:rPr>
                          <m:sty m:val="p"/>
                        </m:rPr>
                        <w:rPr>
                          <w:rFonts w:ascii="Cambria Math" w:hAnsi="Cambria Math"/>
                          <w:szCs w:val="20"/>
                        </w:rPr>
                        <m:t>l,ν</m:t>
                      </m:r>
                    </m:sup>
                  </m:sSup>
                </m:e>
              </m:d>
            </m:oMath>
            <w:r w:rsidRPr="00C763BC">
              <w:rPr>
                <w:szCs w:val="20"/>
              </w:rPr>
              <w:t xml:space="preserve"> or </w:t>
            </w:r>
            <m:oMath>
              <m:d>
                <m:dPr>
                  <m:begChr m:val="{"/>
                  <m:endChr m:val="}"/>
                  <m:ctrlPr>
                    <w:rPr>
                      <w:rFonts w:ascii="Cambria Math" w:hAnsi="Cambria Math"/>
                      <w:szCs w:val="20"/>
                    </w:rPr>
                  </m:ctrlPr>
                </m:dPr>
                <m:e>
                  <m:sSup>
                    <m:sSupPr>
                      <m:ctrlPr>
                        <w:rPr>
                          <w:rFonts w:ascii="Cambria Math" w:hAnsi="Cambria Math"/>
                          <w:szCs w:val="20"/>
                        </w:rPr>
                      </m:ctrlPr>
                    </m:sSupPr>
                    <m:e>
                      <m:r>
                        <m:rPr>
                          <m:sty m:val="p"/>
                        </m:rPr>
                        <w:rPr>
                          <w:rFonts w:ascii="Cambria Math" w:hAnsi="Cambria Math"/>
                          <w:szCs w:val="20"/>
                        </w:rPr>
                        <m:t>d</m:t>
                      </m:r>
                    </m:e>
                    <m:sup>
                      <m:r>
                        <m:rPr>
                          <m:sty m:val="p"/>
                        </m:rPr>
                        <w:rPr>
                          <w:rFonts w:ascii="Cambria Math" w:hAnsi="Cambria Math"/>
                          <w:szCs w:val="20"/>
                        </w:rPr>
                        <m:t>l,ν</m:t>
                      </m:r>
                    </m:sup>
                  </m:sSup>
                  <m:r>
                    <m:rPr>
                      <m:sty m:val="p"/>
                    </m:rPr>
                    <w:rPr>
                      <w:rFonts w:ascii="Cambria Math" w:hAnsi="Cambria Math"/>
                      <w:szCs w:val="20"/>
                    </w:rPr>
                    <m:t>,L,</m:t>
                  </m:r>
                  <m:sSup>
                    <m:sSupPr>
                      <m:ctrlPr>
                        <w:rPr>
                          <w:rFonts w:ascii="Cambria Math" w:hAnsi="Cambria Math"/>
                          <w:szCs w:val="20"/>
                        </w:rPr>
                      </m:ctrlPr>
                    </m:sSupPr>
                    <m:e>
                      <m:r>
                        <m:rPr>
                          <m:sty m:val="p"/>
                        </m:rPr>
                        <w:rPr>
                          <w:rFonts w:ascii="Cambria Math" w:hAnsi="Cambria Math"/>
                          <w:szCs w:val="20"/>
                        </w:rPr>
                        <m:t>Q</m:t>
                      </m:r>
                    </m:e>
                    <m:sup>
                      <m:r>
                        <m:rPr>
                          <m:sty m:val="p"/>
                        </m:rPr>
                        <w:rPr>
                          <w:rFonts w:ascii="Cambria Math" w:hAnsi="Cambria Math"/>
                          <w:szCs w:val="20"/>
                        </w:rPr>
                        <m:t>l,ν</m:t>
                      </m:r>
                    </m:sup>
                  </m:sSup>
                </m:e>
              </m:d>
            </m:oMath>
            <w:r w:rsidRPr="00C763BC">
              <w:rPr>
                <w:szCs w:val="20"/>
              </w:rPr>
              <w:t xml:space="preserve">  across all layers and all ranks.</w:t>
            </w:r>
          </w:p>
          <w:p w14:paraId="4F0C824D" w14:textId="77777777" w:rsidR="00E61A52" w:rsidRPr="00C763BC" w:rsidRDefault="00E61A52" w:rsidP="00304C8B">
            <w:pPr>
              <w:pStyle w:val="ListParagraph"/>
              <w:numPr>
                <w:ilvl w:val="0"/>
                <w:numId w:val="15"/>
              </w:numPr>
              <w:spacing w:after="160" w:line="278" w:lineRule="auto"/>
              <w:jc w:val="left"/>
              <w:rPr>
                <w:szCs w:val="20"/>
              </w:rPr>
            </w:pPr>
            <w:r w:rsidRPr="00C763BC">
              <w:rPr>
                <w:szCs w:val="20"/>
              </w:rPr>
              <w:t>At least for medium to high per-layer payload regime, the total payload size of rank 2, rank 3 and 4 are comparable to each other.</w:t>
            </w:r>
          </w:p>
          <w:p w14:paraId="2DEF9126" w14:textId="77777777" w:rsidR="00E61A52" w:rsidRPr="00C763BC" w:rsidRDefault="00E61A52" w:rsidP="00304C8B">
            <w:pPr>
              <w:pStyle w:val="ListParagraph"/>
              <w:numPr>
                <w:ilvl w:val="0"/>
                <w:numId w:val="15"/>
              </w:numPr>
              <w:spacing w:after="160" w:line="278" w:lineRule="auto"/>
              <w:jc w:val="left"/>
              <w:rPr>
                <w:szCs w:val="20"/>
              </w:rPr>
            </w:pPr>
            <w:r w:rsidRPr="00C763BC">
              <w:rPr>
                <w:szCs w:val="20"/>
              </w:rPr>
              <w:t>Spectral efficiency or system throughput and trade-off with feedback overhead are considered as the performance metric.</w:t>
            </w:r>
          </w:p>
          <w:p w14:paraId="5AA03C17" w14:textId="77777777" w:rsidR="00E61A52" w:rsidRDefault="00E61A52" w:rsidP="00E61A52"/>
          <w:p w14:paraId="502E1DAA" w14:textId="77777777" w:rsidR="00E61A52" w:rsidRPr="00545D55" w:rsidRDefault="00E61A52" w:rsidP="00E61A52">
            <w:pPr>
              <w:pStyle w:val="3GPPNormalText"/>
              <w:rPr>
                <w:lang w:val="en-US"/>
              </w:rPr>
            </w:pPr>
            <w:r w:rsidRPr="00545D55">
              <w:rPr>
                <w:highlight w:val="green"/>
                <w:lang w:val="en-US"/>
              </w:rPr>
              <w:t>Agreement:</w:t>
            </w:r>
          </w:p>
          <w:p w14:paraId="1434DE66" w14:textId="77777777" w:rsidR="00E61A52" w:rsidRPr="0015359D" w:rsidRDefault="00E61A52" w:rsidP="00E61A52">
            <w:pPr>
              <w:spacing w:line="278" w:lineRule="auto"/>
            </w:pPr>
            <w:r w:rsidRPr="0015359D">
              <w:t xml:space="preserve">When the Target CSI is precoder matrix, in order to down-select to N per-layer payload parameter combinations (PC) of </w:t>
            </w:r>
            <m:oMath>
              <m:d>
                <m:dPr>
                  <m:begChr m:val="{"/>
                  <m:endChr m:val="}"/>
                  <m:ctrlPr>
                    <w:rPr>
                      <w:rFonts w:ascii="Cambria Math" w:hAnsi="Cambria Math"/>
                    </w:rPr>
                  </m:ctrlPr>
                </m:dPr>
                <m:e>
                  <m:sSup>
                    <m:sSupPr>
                      <m:ctrlPr>
                        <w:rPr>
                          <w:rFonts w:ascii="Cambria Math" w:hAnsi="Cambria Math"/>
                        </w:rPr>
                      </m:ctrlPr>
                    </m:sSupPr>
                    <m:e>
                      <m:r>
                        <m:rPr>
                          <m:sty m:val="p"/>
                        </m:rPr>
                        <w:rPr>
                          <w:rFonts w:ascii="Cambria Math" w:hAnsi="Cambria Math"/>
                        </w:rPr>
                        <m:t>d</m:t>
                      </m:r>
                    </m:e>
                    <m:sup>
                      <m:r>
                        <m:rPr>
                          <m:sty m:val="p"/>
                        </m:rPr>
                        <w:rPr>
                          <w:rFonts w:ascii="Cambria Math" w:hAnsi="Cambria Math"/>
                        </w:rPr>
                        <m:t>l,ν</m:t>
                      </m:r>
                    </m:sup>
                  </m:sSup>
                  <m:r>
                    <m:rPr>
                      <m:sty m:val="p"/>
                    </m:rPr>
                    <w:rPr>
                      <w:rFonts w:ascii="Cambria Math" w:hAnsi="Cambria Math"/>
                    </w:rPr>
                    <m:t>,</m:t>
                  </m:r>
                  <m:sSup>
                    <m:sSupPr>
                      <m:ctrlPr>
                        <w:rPr>
                          <w:rFonts w:ascii="Cambria Math" w:hAnsi="Cambria Math"/>
                        </w:rPr>
                      </m:ctrlPr>
                    </m:sSupPr>
                    <m:e>
                      <m:r>
                        <m:rPr>
                          <m:sty m:val="p"/>
                        </m:rPr>
                        <w:rPr>
                          <w:rFonts w:ascii="Cambria Math" w:hAnsi="Cambria Math"/>
                        </w:rPr>
                        <m:t>Q</m:t>
                      </m:r>
                    </m:e>
                    <m:sup>
                      <m:r>
                        <m:rPr>
                          <m:sty m:val="p"/>
                        </m:rPr>
                        <w:rPr>
                          <w:rFonts w:ascii="Cambria Math" w:hAnsi="Cambria Math"/>
                        </w:rPr>
                        <m:t>l,ν</m:t>
                      </m:r>
                    </m:sup>
                  </m:sSup>
                </m:e>
              </m:d>
            </m:oMath>
            <w:r w:rsidRPr="0015359D">
              <w:t xml:space="preserve"> or </w:t>
            </w:r>
            <m:oMath>
              <m:d>
                <m:dPr>
                  <m:begChr m:val="{"/>
                  <m:endChr m:val="}"/>
                  <m:ctrlPr>
                    <w:rPr>
                      <w:rFonts w:ascii="Cambria Math" w:hAnsi="Cambria Math"/>
                    </w:rPr>
                  </m:ctrlPr>
                </m:dPr>
                <m:e>
                  <m:sSup>
                    <m:sSupPr>
                      <m:ctrlPr>
                        <w:rPr>
                          <w:rFonts w:ascii="Cambria Math" w:hAnsi="Cambria Math"/>
                        </w:rPr>
                      </m:ctrlPr>
                    </m:sSupPr>
                    <m:e>
                      <m:r>
                        <m:rPr>
                          <m:sty m:val="p"/>
                        </m:rPr>
                        <w:rPr>
                          <w:rFonts w:ascii="Cambria Math" w:hAnsi="Cambria Math"/>
                        </w:rPr>
                        <m:t>d</m:t>
                      </m:r>
                    </m:e>
                    <m:sup>
                      <m:r>
                        <m:rPr>
                          <m:sty m:val="p"/>
                        </m:rPr>
                        <w:rPr>
                          <w:rFonts w:ascii="Cambria Math" w:hAnsi="Cambria Math"/>
                        </w:rPr>
                        <m:t>l,ν</m:t>
                      </m:r>
                    </m:sup>
                  </m:sSup>
                  <m:r>
                    <m:rPr>
                      <m:sty m:val="p"/>
                    </m:rPr>
                    <w:rPr>
                      <w:rFonts w:ascii="Cambria Math" w:hAnsi="Cambria Math"/>
                    </w:rPr>
                    <m:t>, L,</m:t>
                  </m:r>
                  <m:sSup>
                    <m:sSupPr>
                      <m:ctrlPr>
                        <w:rPr>
                          <w:rFonts w:ascii="Cambria Math" w:hAnsi="Cambria Math"/>
                        </w:rPr>
                      </m:ctrlPr>
                    </m:sSupPr>
                    <m:e>
                      <m:r>
                        <m:rPr>
                          <m:sty m:val="p"/>
                        </m:rPr>
                        <w:rPr>
                          <w:rFonts w:ascii="Cambria Math" w:hAnsi="Cambria Math"/>
                        </w:rPr>
                        <m:t>Q</m:t>
                      </m:r>
                    </m:e>
                    <m:sup>
                      <m:r>
                        <m:rPr>
                          <m:sty m:val="p"/>
                        </m:rPr>
                        <w:rPr>
                          <w:rFonts w:ascii="Cambria Math" w:hAnsi="Cambria Math"/>
                        </w:rPr>
                        <m:t>l,ν</m:t>
                      </m:r>
                    </m:sup>
                  </m:sSup>
                </m:e>
              </m:d>
            </m:oMath>
            <w:r w:rsidRPr="0015359D">
              <w:t xml:space="preserve"> based on performance, overhead and complexity trade-off results, consider the following candidate values:</w:t>
            </w:r>
          </w:p>
          <w:p w14:paraId="4B44A826" w14:textId="77777777" w:rsidR="00E61A52" w:rsidRPr="0015359D" w:rsidRDefault="00E61A52" w:rsidP="00304C8B">
            <w:pPr>
              <w:pStyle w:val="ListParagraph"/>
              <w:numPr>
                <w:ilvl w:val="0"/>
                <w:numId w:val="16"/>
              </w:numPr>
              <w:spacing w:after="160" w:line="278" w:lineRule="auto"/>
              <w:jc w:val="left"/>
            </w:pPr>
            <w:r w:rsidRPr="0015359D">
              <w:t xml:space="preserve">Candiate values for </w:t>
            </w:r>
            <m:oMath>
              <m:sSup>
                <m:sSupPr>
                  <m:ctrlPr>
                    <w:rPr>
                      <w:rFonts w:ascii="Cambria Math" w:hAnsi="Cambria Math"/>
                    </w:rPr>
                  </m:ctrlPr>
                </m:sSupPr>
                <m:e>
                  <m:r>
                    <m:rPr>
                      <m:sty m:val="p"/>
                    </m:rPr>
                    <w:rPr>
                      <w:rFonts w:ascii="Cambria Math" w:hAnsi="Cambria Math"/>
                    </w:rPr>
                    <m:t>d</m:t>
                  </m:r>
                </m:e>
                <m:sup>
                  <m:r>
                    <m:rPr>
                      <m:sty m:val="p"/>
                    </m:rPr>
                    <w:rPr>
                      <w:rFonts w:ascii="Cambria Math" w:hAnsi="Cambria Math"/>
                    </w:rPr>
                    <m:t>l,ν</m:t>
                  </m:r>
                </m:sup>
              </m:sSup>
            </m:oMath>
            <w:r w:rsidRPr="0015359D">
              <w:t>: 32, 64, 96, 128, 192</w:t>
            </w:r>
          </w:p>
          <w:p w14:paraId="23F3A361" w14:textId="77777777" w:rsidR="00E61A52" w:rsidRPr="0015359D" w:rsidRDefault="00E61A52" w:rsidP="00304C8B">
            <w:pPr>
              <w:pStyle w:val="ListParagraph"/>
              <w:numPr>
                <w:ilvl w:val="0"/>
                <w:numId w:val="16"/>
              </w:numPr>
              <w:spacing w:after="160" w:line="278" w:lineRule="auto"/>
              <w:jc w:val="left"/>
            </w:pPr>
            <w:r w:rsidRPr="0015359D">
              <w:t xml:space="preserve">Candidate values for </w:t>
            </w:r>
            <m:oMath>
              <m:sSup>
                <m:sSupPr>
                  <m:ctrlPr>
                    <w:rPr>
                      <w:rFonts w:ascii="Cambria Math" w:hAnsi="Cambria Math"/>
                    </w:rPr>
                  </m:ctrlPr>
                </m:sSupPr>
                <m:e>
                  <m:r>
                    <m:rPr>
                      <m:sty m:val="p"/>
                    </m:rPr>
                    <w:rPr>
                      <w:rFonts w:ascii="Cambria Math" w:hAnsi="Cambria Math"/>
                    </w:rPr>
                    <m:t>Q</m:t>
                  </m:r>
                </m:e>
                <m:sup>
                  <m:r>
                    <m:rPr>
                      <m:sty m:val="p"/>
                    </m:rPr>
                    <w:rPr>
                      <w:rFonts w:ascii="Cambria Math" w:hAnsi="Cambria Math"/>
                    </w:rPr>
                    <m:t>l,ν</m:t>
                  </m:r>
                </m:sup>
              </m:sSup>
            </m:oMath>
            <w:r w:rsidRPr="0015359D">
              <w:t>: 1, 2, 3, 4, (8, 10 only for VQ)</w:t>
            </w:r>
          </w:p>
          <w:p w14:paraId="54CF9774" w14:textId="77777777" w:rsidR="00E61A52" w:rsidRPr="0015359D" w:rsidRDefault="00E61A52" w:rsidP="00304C8B">
            <w:pPr>
              <w:pStyle w:val="ListParagraph"/>
              <w:numPr>
                <w:ilvl w:val="1"/>
                <w:numId w:val="16"/>
              </w:numPr>
              <w:spacing w:after="160" w:line="278" w:lineRule="auto"/>
              <w:jc w:val="left"/>
            </w:pPr>
            <w:r w:rsidRPr="0015359D">
              <w:t>2 is considered as the baseline assumption for SQ.</w:t>
            </w:r>
          </w:p>
          <w:p w14:paraId="3AF22777" w14:textId="77777777" w:rsidR="00E61A52" w:rsidRPr="0015359D" w:rsidRDefault="00E61A52" w:rsidP="00304C8B">
            <w:pPr>
              <w:pStyle w:val="ListParagraph"/>
              <w:numPr>
                <w:ilvl w:val="0"/>
                <w:numId w:val="16"/>
              </w:numPr>
              <w:spacing w:after="160" w:line="278" w:lineRule="auto"/>
              <w:jc w:val="left"/>
            </w:pPr>
            <w:r w:rsidRPr="0015359D">
              <w:t xml:space="preserve">Candidate values for L: L=2, 4,  </w:t>
            </w:r>
            <m:oMath>
              <m:sSup>
                <m:sSupPr>
                  <m:ctrlPr>
                    <w:rPr>
                      <w:rFonts w:ascii="Cambria Math" w:hAnsi="Cambria Math"/>
                    </w:rPr>
                  </m:ctrlPr>
                </m:sSupPr>
                <m:e>
                  <m:r>
                    <m:rPr>
                      <m:sty m:val="p"/>
                    </m:rPr>
                    <w:rPr>
                      <w:rFonts w:ascii="Cambria Math" w:hAnsi="Cambria Math"/>
                    </w:rPr>
                    <m:t>d</m:t>
                  </m:r>
                </m:e>
                <m:sup>
                  <m:r>
                    <m:rPr>
                      <m:sty m:val="p"/>
                    </m:rPr>
                    <w:rPr>
                      <w:rFonts w:ascii="Cambria Math" w:hAnsi="Cambria Math"/>
                    </w:rPr>
                    <m:t>l,ν</m:t>
                  </m:r>
                </m:sup>
              </m:sSup>
            </m:oMath>
          </w:p>
          <w:p w14:paraId="76E0D067" w14:textId="77777777" w:rsidR="00E61A52" w:rsidRPr="0015359D" w:rsidRDefault="00E61A52" w:rsidP="00304C8B">
            <w:pPr>
              <w:pStyle w:val="ListParagraph"/>
              <w:numPr>
                <w:ilvl w:val="0"/>
                <w:numId w:val="16"/>
              </w:numPr>
              <w:spacing w:after="160" w:line="278" w:lineRule="auto"/>
              <w:jc w:val="left"/>
            </w:pPr>
            <w:r w:rsidRPr="0015359D">
              <w:t>Candidate values for N: 4, 5, 6</w:t>
            </w:r>
          </w:p>
          <w:p w14:paraId="29A7E6E5" w14:textId="77777777" w:rsidR="00E61A52" w:rsidRPr="0015359D" w:rsidRDefault="00E61A52" w:rsidP="00304C8B">
            <w:pPr>
              <w:pStyle w:val="ListParagraph"/>
              <w:numPr>
                <w:ilvl w:val="0"/>
                <w:numId w:val="16"/>
              </w:numPr>
              <w:spacing w:after="160" w:line="278" w:lineRule="auto"/>
              <w:jc w:val="left"/>
            </w:pPr>
            <w:r w:rsidRPr="0015359D">
              <w:lastRenderedPageBreak/>
              <w:t xml:space="preserve">Note: These N payload PCs of </w:t>
            </w:r>
            <m:oMath>
              <m:d>
                <m:dPr>
                  <m:begChr m:val="{"/>
                  <m:endChr m:val="}"/>
                  <m:ctrlPr>
                    <w:rPr>
                      <w:rFonts w:ascii="Cambria Math" w:hAnsi="Cambria Math"/>
                    </w:rPr>
                  </m:ctrlPr>
                </m:dPr>
                <m:e>
                  <m:sSup>
                    <m:sSupPr>
                      <m:ctrlPr>
                        <w:rPr>
                          <w:rFonts w:ascii="Cambria Math" w:hAnsi="Cambria Math"/>
                        </w:rPr>
                      </m:ctrlPr>
                    </m:sSupPr>
                    <m:e>
                      <m:r>
                        <m:rPr>
                          <m:sty m:val="p"/>
                        </m:rPr>
                        <w:rPr>
                          <w:rFonts w:ascii="Cambria Math" w:hAnsi="Cambria Math"/>
                        </w:rPr>
                        <m:t>d</m:t>
                      </m:r>
                    </m:e>
                    <m:sup>
                      <m:r>
                        <m:rPr>
                          <m:sty m:val="p"/>
                        </m:rPr>
                        <w:rPr>
                          <w:rFonts w:ascii="Cambria Math" w:hAnsi="Cambria Math"/>
                        </w:rPr>
                        <m:t>l,ν</m:t>
                      </m:r>
                    </m:sup>
                  </m:sSup>
                  <m:r>
                    <m:rPr>
                      <m:sty m:val="p"/>
                    </m:rPr>
                    <w:rPr>
                      <w:rFonts w:ascii="Cambria Math" w:hAnsi="Cambria Math"/>
                    </w:rPr>
                    <m:t>,</m:t>
                  </m:r>
                  <m:sSup>
                    <m:sSupPr>
                      <m:ctrlPr>
                        <w:rPr>
                          <w:rFonts w:ascii="Cambria Math" w:hAnsi="Cambria Math"/>
                        </w:rPr>
                      </m:ctrlPr>
                    </m:sSupPr>
                    <m:e>
                      <m:r>
                        <m:rPr>
                          <m:sty m:val="p"/>
                        </m:rPr>
                        <w:rPr>
                          <w:rFonts w:ascii="Cambria Math" w:hAnsi="Cambria Math"/>
                        </w:rPr>
                        <m:t>Q</m:t>
                      </m:r>
                    </m:e>
                    <m:sup>
                      <m:r>
                        <m:rPr>
                          <m:sty m:val="p"/>
                        </m:rPr>
                        <w:rPr>
                          <w:rFonts w:ascii="Cambria Math" w:hAnsi="Cambria Math"/>
                        </w:rPr>
                        <m:t>l,ν</m:t>
                      </m:r>
                    </m:sup>
                  </m:sSup>
                </m:e>
              </m:d>
            </m:oMath>
            <w:r w:rsidRPr="0015359D">
              <w:t xml:space="preserve"> or </w:t>
            </w:r>
            <m:oMath>
              <m:d>
                <m:dPr>
                  <m:begChr m:val="{"/>
                  <m:endChr m:val="}"/>
                  <m:ctrlPr>
                    <w:rPr>
                      <w:rFonts w:ascii="Cambria Math" w:hAnsi="Cambria Math"/>
                    </w:rPr>
                  </m:ctrlPr>
                </m:dPr>
                <m:e>
                  <m:sSup>
                    <m:sSupPr>
                      <m:ctrlPr>
                        <w:rPr>
                          <w:rFonts w:ascii="Cambria Math" w:hAnsi="Cambria Math"/>
                        </w:rPr>
                      </m:ctrlPr>
                    </m:sSupPr>
                    <m:e>
                      <m:r>
                        <m:rPr>
                          <m:sty m:val="p"/>
                        </m:rPr>
                        <w:rPr>
                          <w:rFonts w:ascii="Cambria Math" w:hAnsi="Cambria Math"/>
                        </w:rPr>
                        <m:t>d</m:t>
                      </m:r>
                    </m:e>
                    <m:sup>
                      <m:r>
                        <m:rPr>
                          <m:sty m:val="p"/>
                        </m:rPr>
                        <w:rPr>
                          <w:rFonts w:ascii="Cambria Math" w:hAnsi="Cambria Math"/>
                        </w:rPr>
                        <m:t>l,ν</m:t>
                      </m:r>
                    </m:sup>
                  </m:sSup>
                  <m:r>
                    <m:rPr>
                      <m:sty m:val="p"/>
                    </m:rPr>
                    <w:rPr>
                      <w:rFonts w:ascii="Cambria Math" w:hAnsi="Cambria Math"/>
                    </w:rPr>
                    <m:t>, L,</m:t>
                  </m:r>
                  <m:sSup>
                    <m:sSupPr>
                      <m:ctrlPr>
                        <w:rPr>
                          <w:rFonts w:ascii="Cambria Math" w:hAnsi="Cambria Math"/>
                        </w:rPr>
                      </m:ctrlPr>
                    </m:sSupPr>
                    <m:e>
                      <m:r>
                        <m:rPr>
                          <m:sty m:val="p"/>
                        </m:rPr>
                        <w:rPr>
                          <w:rFonts w:ascii="Cambria Math" w:hAnsi="Cambria Math"/>
                        </w:rPr>
                        <m:t>Q</m:t>
                      </m:r>
                    </m:e>
                    <m:sup>
                      <m:r>
                        <m:rPr>
                          <m:sty m:val="p"/>
                        </m:rPr>
                        <w:rPr>
                          <w:rFonts w:ascii="Cambria Math" w:hAnsi="Cambria Math"/>
                        </w:rPr>
                        <m:t>l,ν</m:t>
                      </m:r>
                    </m:sup>
                  </m:sSup>
                </m:e>
              </m:d>
            </m:oMath>
            <w:r w:rsidRPr="0015359D">
              <w:t xml:space="preserve"> are considered as the pool for the payload PC for each layer and each rank.</w:t>
            </w:r>
          </w:p>
          <w:p w14:paraId="2951B330" w14:textId="77777777" w:rsidR="00E61A52" w:rsidRPr="0015359D" w:rsidRDefault="00E61A52" w:rsidP="00304C8B">
            <w:pPr>
              <w:pStyle w:val="ListParagraph"/>
              <w:numPr>
                <w:ilvl w:val="0"/>
                <w:numId w:val="16"/>
              </w:numPr>
              <w:spacing w:after="160" w:line="278" w:lineRule="auto"/>
              <w:jc w:val="left"/>
            </w:pPr>
            <w:r w:rsidRPr="0015359D">
              <w:t>Note: The above is for discussion purpose, how to configure the PCs (across layers and ranks) is a separate discussion.</w:t>
            </w:r>
          </w:p>
          <w:p w14:paraId="3E5403AA" w14:textId="77777777" w:rsidR="00E61A52" w:rsidRPr="0015359D" w:rsidRDefault="00E61A52" w:rsidP="00304C8B">
            <w:pPr>
              <w:pStyle w:val="ListParagraph"/>
              <w:numPr>
                <w:ilvl w:val="0"/>
                <w:numId w:val="16"/>
              </w:numPr>
              <w:spacing w:after="160" w:line="278" w:lineRule="auto"/>
              <w:jc w:val="left"/>
            </w:pPr>
            <w:r w:rsidRPr="0015359D">
              <w:t>Note: Rank-common and layer-common model with payload scalable design is considered.</w:t>
            </w:r>
          </w:p>
          <w:p w14:paraId="381D78AF" w14:textId="77777777" w:rsidR="00E61A52" w:rsidRPr="0015359D" w:rsidRDefault="00E61A52" w:rsidP="00304C8B">
            <w:pPr>
              <w:pStyle w:val="ListParagraph"/>
              <w:numPr>
                <w:ilvl w:val="0"/>
                <w:numId w:val="16"/>
              </w:numPr>
              <w:spacing w:after="160" w:line="278" w:lineRule="auto"/>
              <w:jc w:val="left"/>
            </w:pPr>
            <w:r w:rsidRPr="0015359D">
              <w:t>Note: The above does not mean support of both SQ and VQ.</w:t>
            </w:r>
          </w:p>
          <w:p w14:paraId="5DABA8F0" w14:textId="77777777" w:rsidR="00E61A52" w:rsidRPr="0015359D" w:rsidRDefault="00E61A52" w:rsidP="00304C8B">
            <w:pPr>
              <w:pStyle w:val="ListParagraph"/>
              <w:numPr>
                <w:ilvl w:val="0"/>
                <w:numId w:val="16"/>
              </w:numPr>
              <w:spacing w:after="160" w:line="278" w:lineRule="auto"/>
              <w:jc w:val="left"/>
            </w:pPr>
            <w:r w:rsidRPr="0015359D">
              <w:t>Note: The number of parameters combinations configurations (Y) does not exceed 8.</w:t>
            </w:r>
          </w:p>
          <w:p w14:paraId="1D7CF773" w14:textId="77777777" w:rsidR="00E61A52" w:rsidRDefault="00E61A52" w:rsidP="00E61A52">
            <w:pPr>
              <w:pStyle w:val="ListParagraph"/>
              <w:spacing w:after="160" w:line="278" w:lineRule="auto"/>
              <w:rPr>
                <w:b/>
                <w:bCs/>
                <w:i/>
                <w:iCs/>
                <w:sz w:val="28"/>
                <w:szCs w:val="36"/>
              </w:rPr>
            </w:pPr>
          </w:p>
          <w:p w14:paraId="5E2DBEB5" w14:textId="77777777" w:rsidR="00E61A52" w:rsidRPr="00545D55" w:rsidRDefault="00E61A52" w:rsidP="00E61A52">
            <w:pPr>
              <w:pStyle w:val="3GPPNormalText"/>
              <w:rPr>
                <w:lang w:val="en-US"/>
              </w:rPr>
            </w:pPr>
            <w:r w:rsidRPr="00545D55">
              <w:rPr>
                <w:highlight w:val="green"/>
                <w:lang w:val="en-US"/>
              </w:rPr>
              <w:t>Agreement:</w:t>
            </w:r>
          </w:p>
          <w:p w14:paraId="1BFA0DFB" w14:textId="77777777" w:rsidR="00E61A52" w:rsidRPr="0015359D" w:rsidRDefault="00E61A52" w:rsidP="00E61A52">
            <w:pPr>
              <w:spacing w:line="278" w:lineRule="auto"/>
            </w:pPr>
            <w:r w:rsidRPr="0015359D">
              <w:t xml:space="preserve">For payload parameter combinations (PC), consider followings </w:t>
            </w:r>
          </w:p>
          <w:p w14:paraId="62F7230F" w14:textId="77777777" w:rsidR="00E61A52" w:rsidRPr="0015359D" w:rsidRDefault="00E61A52" w:rsidP="00304C8B">
            <w:pPr>
              <w:pStyle w:val="ListParagraph"/>
              <w:numPr>
                <w:ilvl w:val="0"/>
                <w:numId w:val="17"/>
              </w:numPr>
              <w:spacing w:after="160" w:line="278" w:lineRule="auto"/>
              <w:jc w:val="left"/>
            </w:pPr>
            <w:r w:rsidRPr="0015359D">
              <w:t xml:space="preserve">Support Y configurable PCs (across layers and ranks) as below, where X_n, Xn_31, Xn_32, Xn_33, Xn_41, Xn_42, Xn_43, Xn_44 represent a pair of </w:t>
            </w:r>
            <m:oMath>
              <m:d>
                <m:dPr>
                  <m:begChr m:val="{"/>
                  <m:endChr m:val="}"/>
                  <m:ctrlPr>
                    <w:rPr>
                      <w:rFonts w:ascii="Cambria Math" w:hAnsi="Cambria Math"/>
                    </w:rPr>
                  </m:ctrlPr>
                </m:dPr>
                <m:e>
                  <m:sSup>
                    <m:sSupPr>
                      <m:ctrlPr>
                        <w:rPr>
                          <w:rFonts w:ascii="Cambria Math" w:hAnsi="Cambria Math"/>
                        </w:rPr>
                      </m:ctrlPr>
                    </m:sSupPr>
                    <m:e>
                      <m:r>
                        <m:rPr>
                          <m:sty m:val="p"/>
                        </m:rPr>
                        <w:rPr>
                          <w:rFonts w:ascii="Cambria Math" w:hAnsi="Cambria Math"/>
                        </w:rPr>
                        <m:t>d</m:t>
                      </m:r>
                    </m:e>
                    <m:sup>
                      <m:r>
                        <m:rPr>
                          <m:sty m:val="p"/>
                        </m:rPr>
                        <w:rPr>
                          <w:rFonts w:ascii="Cambria Math" w:hAnsi="Cambria Math"/>
                        </w:rPr>
                        <m:t>l,ν</m:t>
                      </m:r>
                    </m:sup>
                  </m:sSup>
                  <m:r>
                    <m:rPr>
                      <m:sty m:val="p"/>
                    </m:rPr>
                    <w:rPr>
                      <w:rFonts w:ascii="Cambria Math" w:hAnsi="Cambria Math"/>
                    </w:rPr>
                    <m:t>,</m:t>
                  </m:r>
                  <m:sSup>
                    <m:sSupPr>
                      <m:ctrlPr>
                        <w:rPr>
                          <w:rFonts w:ascii="Cambria Math" w:hAnsi="Cambria Math"/>
                        </w:rPr>
                      </m:ctrlPr>
                    </m:sSupPr>
                    <m:e>
                      <m:r>
                        <m:rPr>
                          <m:sty m:val="p"/>
                        </m:rPr>
                        <w:rPr>
                          <w:rFonts w:ascii="Cambria Math" w:hAnsi="Cambria Math"/>
                        </w:rPr>
                        <m:t>Q</m:t>
                      </m:r>
                    </m:e>
                    <m:sup>
                      <m:r>
                        <m:rPr>
                          <m:sty m:val="p"/>
                        </m:rPr>
                        <w:rPr>
                          <w:rFonts w:ascii="Cambria Math" w:hAnsi="Cambria Math"/>
                        </w:rPr>
                        <m:t>l,ν</m:t>
                      </m:r>
                    </m:sup>
                  </m:sSup>
                </m:e>
              </m:d>
            </m:oMath>
            <w:r w:rsidRPr="0015359D">
              <w:t xml:space="preserve"> or a triplet of </w:t>
            </w:r>
            <m:oMath>
              <m:d>
                <m:dPr>
                  <m:begChr m:val="{"/>
                  <m:endChr m:val="}"/>
                  <m:ctrlPr>
                    <w:rPr>
                      <w:rFonts w:ascii="Cambria Math" w:hAnsi="Cambria Math"/>
                    </w:rPr>
                  </m:ctrlPr>
                </m:dPr>
                <m:e>
                  <m:sSup>
                    <m:sSupPr>
                      <m:ctrlPr>
                        <w:rPr>
                          <w:rFonts w:ascii="Cambria Math" w:hAnsi="Cambria Math"/>
                        </w:rPr>
                      </m:ctrlPr>
                    </m:sSupPr>
                    <m:e>
                      <m:r>
                        <m:rPr>
                          <m:sty m:val="p"/>
                        </m:rPr>
                        <w:rPr>
                          <w:rFonts w:ascii="Cambria Math" w:hAnsi="Cambria Math"/>
                        </w:rPr>
                        <m:t>d</m:t>
                      </m:r>
                    </m:e>
                    <m:sup>
                      <m:r>
                        <m:rPr>
                          <m:sty m:val="p"/>
                        </m:rPr>
                        <w:rPr>
                          <w:rFonts w:ascii="Cambria Math" w:hAnsi="Cambria Math"/>
                        </w:rPr>
                        <m:t>l,ν</m:t>
                      </m:r>
                    </m:sup>
                  </m:sSup>
                  <m:r>
                    <m:rPr>
                      <m:sty m:val="p"/>
                    </m:rPr>
                    <w:rPr>
                      <w:rFonts w:ascii="Cambria Math" w:hAnsi="Cambria Math"/>
                    </w:rPr>
                    <m:t>, L,</m:t>
                  </m:r>
                  <m:sSup>
                    <m:sSupPr>
                      <m:ctrlPr>
                        <w:rPr>
                          <w:rFonts w:ascii="Cambria Math" w:hAnsi="Cambria Math"/>
                        </w:rPr>
                      </m:ctrlPr>
                    </m:sSupPr>
                    <m:e>
                      <m:r>
                        <m:rPr>
                          <m:sty m:val="p"/>
                        </m:rPr>
                        <w:rPr>
                          <w:rFonts w:ascii="Cambria Math" w:hAnsi="Cambria Math"/>
                        </w:rPr>
                        <m:t>Q</m:t>
                      </m:r>
                    </m:e>
                    <m:sup>
                      <m:r>
                        <m:rPr>
                          <m:sty m:val="p"/>
                        </m:rPr>
                        <w:rPr>
                          <w:rFonts w:ascii="Cambria Math" w:hAnsi="Cambria Math"/>
                        </w:rPr>
                        <m:t>l,ν</m:t>
                      </m:r>
                    </m:sup>
                  </m:sSup>
                </m:e>
              </m:d>
            </m:oMath>
            <w:r w:rsidRPr="0015359D">
              <w:t xml:space="preserve">  chosen from the per-layer PC pool. </w:t>
            </w:r>
          </w:p>
          <w:tbl>
            <w:tblPr>
              <w:tblStyle w:val="TableGrid"/>
              <w:tblW w:w="0" w:type="auto"/>
              <w:tblInd w:w="8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6"/>
              <w:gridCol w:w="791"/>
              <w:gridCol w:w="1143"/>
              <w:gridCol w:w="2520"/>
              <w:gridCol w:w="2298"/>
            </w:tblGrid>
            <w:tr w:rsidR="00E61A52" w:rsidRPr="0015359D" w14:paraId="295A2827" w14:textId="77777777" w:rsidTr="00F8030B">
              <w:tc>
                <w:tcPr>
                  <w:tcW w:w="766" w:type="dxa"/>
                </w:tcPr>
                <w:p w14:paraId="3E08DE3A" w14:textId="77777777" w:rsidR="00E61A52" w:rsidRPr="0015359D" w:rsidRDefault="00E61A52" w:rsidP="00E61A52"/>
              </w:tc>
              <w:tc>
                <w:tcPr>
                  <w:tcW w:w="791" w:type="dxa"/>
                </w:tcPr>
                <w:p w14:paraId="7542207F" w14:textId="77777777" w:rsidR="00E61A52" w:rsidRPr="0015359D" w:rsidRDefault="00E61A52" w:rsidP="00E61A52">
                  <w:r w:rsidRPr="0015359D">
                    <w:t>Rank1</w:t>
                  </w:r>
                </w:p>
              </w:tc>
              <w:tc>
                <w:tcPr>
                  <w:tcW w:w="1143" w:type="dxa"/>
                </w:tcPr>
                <w:p w14:paraId="04E5A8A5" w14:textId="77777777" w:rsidR="00E61A52" w:rsidRPr="0015359D" w:rsidRDefault="00E61A52" w:rsidP="00E61A52">
                  <w:r w:rsidRPr="0015359D">
                    <w:t>Rank2</w:t>
                  </w:r>
                </w:p>
              </w:tc>
              <w:tc>
                <w:tcPr>
                  <w:tcW w:w="2520" w:type="dxa"/>
                </w:tcPr>
                <w:p w14:paraId="798362D5" w14:textId="77777777" w:rsidR="00E61A52" w:rsidRPr="0015359D" w:rsidRDefault="00E61A52" w:rsidP="00E61A52">
                  <w:r w:rsidRPr="0015359D">
                    <w:t>Rank3</w:t>
                  </w:r>
                </w:p>
              </w:tc>
              <w:tc>
                <w:tcPr>
                  <w:tcW w:w="2298" w:type="dxa"/>
                </w:tcPr>
                <w:p w14:paraId="40737B9E" w14:textId="77777777" w:rsidR="00E61A52" w:rsidRPr="0015359D" w:rsidRDefault="00E61A52" w:rsidP="00E61A52">
                  <w:r w:rsidRPr="0015359D">
                    <w:t>Rank4</w:t>
                  </w:r>
                </w:p>
              </w:tc>
            </w:tr>
            <w:tr w:rsidR="00E61A52" w:rsidRPr="0015359D" w14:paraId="2698C3AD" w14:textId="77777777" w:rsidTr="00F8030B">
              <w:tc>
                <w:tcPr>
                  <w:tcW w:w="766" w:type="dxa"/>
                </w:tcPr>
                <w:p w14:paraId="02C32C26" w14:textId="77777777" w:rsidR="00E61A52" w:rsidRPr="0015359D" w:rsidRDefault="00E61A52" w:rsidP="00E61A52">
                  <w:r w:rsidRPr="0015359D">
                    <w:rPr>
                      <w:rFonts w:hint="eastAsia"/>
                    </w:rPr>
                    <w:t>P</w:t>
                  </w:r>
                  <w:r w:rsidRPr="0015359D">
                    <w:t>C1</w:t>
                  </w:r>
                </w:p>
              </w:tc>
              <w:tc>
                <w:tcPr>
                  <w:tcW w:w="791" w:type="dxa"/>
                </w:tcPr>
                <w:p w14:paraId="14816854" w14:textId="77777777" w:rsidR="00E61A52" w:rsidRPr="0015359D" w:rsidRDefault="00E61A52" w:rsidP="00E61A52">
                  <w:r w:rsidRPr="0015359D">
                    <w:t>X1</w:t>
                  </w:r>
                </w:p>
              </w:tc>
              <w:tc>
                <w:tcPr>
                  <w:tcW w:w="1143" w:type="dxa"/>
                </w:tcPr>
                <w:p w14:paraId="438C0CAD" w14:textId="77777777" w:rsidR="00E61A52" w:rsidRPr="0015359D" w:rsidRDefault="00E61A52" w:rsidP="00E61A52">
                  <w:r w:rsidRPr="0015359D">
                    <w:t>X1, X1</w:t>
                  </w:r>
                </w:p>
              </w:tc>
              <w:tc>
                <w:tcPr>
                  <w:tcW w:w="2520" w:type="dxa"/>
                </w:tcPr>
                <w:p w14:paraId="6ECF0F21" w14:textId="77777777" w:rsidR="00E61A52" w:rsidRPr="0015359D" w:rsidRDefault="00E61A52" w:rsidP="00E61A52">
                  <w:r w:rsidRPr="0015359D">
                    <w:t>X1_31, X1_32, X1_33</w:t>
                  </w:r>
                </w:p>
              </w:tc>
              <w:tc>
                <w:tcPr>
                  <w:tcW w:w="2298" w:type="dxa"/>
                </w:tcPr>
                <w:p w14:paraId="18844D5E" w14:textId="77777777" w:rsidR="00E61A52" w:rsidRPr="0015359D" w:rsidRDefault="00E61A52" w:rsidP="00E61A52">
                  <w:r w:rsidRPr="0015359D">
                    <w:t>X1_41, X1_42, X1_43, X1_44</w:t>
                  </w:r>
                </w:p>
              </w:tc>
            </w:tr>
            <w:tr w:rsidR="00E61A52" w:rsidRPr="0015359D" w14:paraId="67228C08" w14:textId="77777777" w:rsidTr="00F8030B">
              <w:tc>
                <w:tcPr>
                  <w:tcW w:w="766" w:type="dxa"/>
                </w:tcPr>
                <w:p w14:paraId="4D9783FC" w14:textId="77777777" w:rsidR="00E61A52" w:rsidRPr="0015359D" w:rsidRDefault="00E61A52" w:rsidP="00E61A52">
                  <w:r w:rsidRPr="0015359D">
                    <w:rPr>
                      <w:rFonts w:hint="eastAsia"/>
                    </w:rPr>
                    <w:t>P</w:t>
                  </w:r>
                  <w:r w:rsidRPr="0015359D">
                    <w:t>C2</w:t>
                  </w:r>
                </w:p>
              </w:tc>
              <w:tc>
                <w:tcPr>
                  <w:tcW w:w="791" w:type="dxa"/>
                </w:tcPr>
                <w:p w14:paraId="48AF46F8" w14:textId="77777777" w:rsidR="00E61A52" w:rsidRPr="0015359D" w:rsidRDefault="00E61A52" w:rsidP="00E61A52">
                  <w:r w:rsidRPr="0015359D">
                    <w:t>X2</w:t>
                  </w:r>
                </w:p>
              </w:tc>
              <w:tc>
                <w:tcPr>
                  <w:tcW w:w="1143" w:type="dxa"/>
                </w:tcPr>
                <w:p w14:paraId="07426B91" w14:textId="77777777" w:rsidR="00E61A52" w:rsidRPr="0015359D" w:rsidRDefault="00E61A52" w:rsidP="00E61A52">
                  <w:r w:rsidRPr="0015359D">
                    <w:t>X2, X2</w:t>
                  </w:r>
                </w:p>
              </w:tc>
              <w:tc>
                <w:tcPr>
                  <w:tcW w:w="2520" w:type="dxa"/>
                </w:tcPr>
                <w:p w14:paraId="1A255A7E" w14:textId="77777777" w:rsidR="00E61A52" w:rsidRPr="0015359D" w:rsidRDefault="00E61A52" w:rsidP="00E61A52">
                  <w:r w:rsidRPr="0015359D">
                    <w:t>X2_31, X2_32, X2_33</w:t>
                  </w:r>
                </w:p>
              </w:tc>
              <w:tc>
                <w:tcPr>
                  <w:tcW w:w="2298" w:type="dxa"/>
                </w:tcPr>
                <w:p w14:paraId="260D4BD2" w14:textId="77777777" w:rsidR="00E61A52" w:rsidRPr="0015359D" w:rsidRDefault="00E61A52" w:rsidP="00E61A52">
                  <w:r w:rsidRPr="0015359D">
                    <w:t>X2_41, X2_42, X2_43, X2_44</w:t>
                  </w:r>
                </w:p>
              </w:tc>
            </w:tr>
            <w:tr w:rsidR="00E61A52" w:rsidRPr="0015359D" w14:paraId="54BFF9F7" w14:textId="77777777" w:rsidTr="00F8030B">
              <w:tc>
                <w:tcPr>
                  <w:tcW w:w="766" w:type="dxa"/>
                </w:tcPr>
                <w:p w14:paraId="3362F975" w14:textId="77777777" w:rsidR="00E61A52" w:rsidRPr="0015359D" w:rsidRDefault="00E61A52" w:rsidP="00E61A52">
                  <w:r w:rsidRPr="0015359D">
                    <w:t>…</w:t>
                  </w:r>
                </w:p>
              </w:tc>
              <w:tc>
                <w:tcPr>
                  <w:tcW w:w="791" w:type="dxa"/>
                </w:tcPr>
                <w:p w14:paraId="7708BC37" w14:textId="77777777" w:rsidR="00E61A52" w:rsidRPr="0015359D" w:rsidRDefault="00E61A52" w:rsidP="00E61A52"/>
              </w:tc>
              <w:tc>
                <w:tcPr>
                  <w:tcW w:w="1143" w:type="dxa"/>
                </w:tcPr>
                <w:p w14:paraId="25298B75" w14:textId="77777777" w:rsidR="00E61A52" w:rsidRPr="0015359D" w:rsidRDefault="00E61A52" w:rsidP="00E61A52"/>
              </w:tc>
              <w:tc>
                <w:tcPr>
                  <w:tcW w:w="2520" w:type="dxa"/>
                </w:tcPr>
                <w:p w14:paraId="45D7DC8C" w14:textId="77777777" w:rsidR="00E61A52" w:rsidRPr="0015359D" w:rsidRDefault="00E61A52" w:rsidP="00E61A52"/>
              </w:tc>
              <w:tc>
                <w:tcPr>
                  <w:tcW w:w="2298" w:type="dxa"/>
                </w:tcPr>
                <w:p w14:paraId="0534C6EC" w14:textId="77777777" w:rsidR="00E61A52" w:rsidRPr="0015359D" w:rsidRDefault="00E61A52" w:rsidP="00E61A52"/>
              </w:tc>
            </w:tr>
          </w:tbl>
          <w:p w14:paraId="63E55557" w14:textId="77777777" w:rsidR="00E61A52" w:rsidRPr="0015359D" w:rsidRDefault="00E61A52" w:rsidP="00E61A52">
            <w:pPr>
              <w:spacing w:line="278" w:lineRule="auto"/>
            </w:pPr>
          </w:p>
          <w:p w14:paraId="7007D7EC" w14:textId="77777777" w:rsidR="00E61A52" w:rsidRPr="0015359D" w:rsidRDefault="00E61A52" w:rsidP="00304C8B">
            <w:pPr>
              <w:pStyle w:val="ListParagraph"/>
              <w:numPr>
                <w:ilvl w:val="0"/>
                <w:numId w:val="17"/>
              </w:numPr>
              <w:spacing w:after="160" w:line="278" w:lineRule="auto"/>
              <w:jc w:val="left"/>
            </w:pPr>
            <w:r w:rsidRPr="0015359D">
              <w:t>For rank 1 and rank 2, layer-common and rank-common payload is supported.</w:t>
            </w:r>
          </w:p>
          <w:p w14:paraId="77F37975" w14:textId="77777777" w:rsidR="00E61A52" w:rsidRPr="0015359D" w:rsidRDefault="00E61A52" w:rsidP="00304C8B">
            <w:pPr>
              <w:pStyle w:val="ListParagraph"/>
              <w:numPr>
                <w:ilvl w:val="0"/>
                <w:numId w:val="17"/>
              </w:numPr>
              <w:spacing w:after="160" w:line="278" w:lineRule="auto"/>
              <w:jc w:val="left"/>
            </w:pPr>
            <w:r w:rsidRPr="0015359D">
              <w:t>For rank 3, consider alternatives of {Xn_31, Xn_32, Xn_33} = {a, a, a}, {a, a, b}, {a, b, b} for potential down selection.</w:t>
            </w:r>
          </w:p>
          <w:p w14:paraId="5287801A" w14:textId="77777777" w:rsidR="00E61A52" w:rsidRPr="0015359D" w:rsidRDefault="00E61A52" w:rsidP="00304C8B">
            <w:pPr>
              <w:pStyle w:val="ListParagraph"/>
              <w:numPr>
                <w:ilvl w:val="0"/>
                <w:numId w:val="17"/>
              </w:numPr>
              <w:spacing w:after="160" w:line="278" w:lineRule="auto"/>
              <w:jc w:val="left"/>
            </w:pPr>
            <w:r w:rsidRPr="0015359D">
              <w:t>For rank 4, consider alternatives of {Xn_41, Xn_42, Xn_43, Xn_44} = {a, a, a, a}, {a, a, b, b}, {a, b, b, c}, {a, a, b, c} or {a, b, c, c} for potential down selection.</w:t>
            </w:r>
          </w:p>
          <w:p w14:paraId="334A565D" w14:textId="77777777" w:rsidR="00E61A52" w:rsidRPr="0015359D" w:rsidRDefault="00E61A52" w:rsidP="00304C8B">
            <w:pPr>
              <w:pStyle w:val="ListParagraph"/>
              <w:numPr>
                <w:ilvl w:val="0"/>
                <w:numId w:val="17"/>
              </w:numPr>
              <w:spacing w:after="160" w:line="278" w:lineRule="auto"/>
              <w:jc w:val="left"/>
            </w:pPr>
            <w:r w:rsidRPr="0015359D">
              <w:t>Note: The table is for discussion purpose, how to configure the PCs (across layers and ranks) is a separate discussion.</w:t>
            </w:r>
          </w:p>
          <w:p w14:paraId="6DBC9DF1" w14:textId="55550CCF" w:rsidR="00294121" w:rsidRPr="00904ADC" w:rsidRDefault="00E61A52" w:rsidP="00304C8B">
            <w:pPr>
              <w:pStyle w:val="ListParagraph"/>
              <w:numPr>
                <w:ilvl w:val="0"/>
                <w:numId w:val="17"/>
              </w:numPr>
              <w:spacing w:after="160" w:line="278" w:lineRule="auto"/>
              <w:jc w:val="left"/>
            </w:pPr>
            <w:r w:rsidRPr="0015359D">
              <w:t>Note: a, b values in rank3 can be different from that in rank 4.</w:t>
            </w:r>
          </w:p>
        </w:tc>
      </w:tr>
    </w:tbl>
    <w:p w14:paraId="4C7B5CA8" w14:textId="77777777" w:rsidR="00101A0F" w:rsidRDefault="00101A0F" w:rsidP="00101A0F"/>
    <w:p w14:paraId="5EA9F017" w14:textId="7784EA62" w:rsidR="00FE0A50" w:rsidRDefault="00FE0A50" w:rsidP="00101A0F">
      <w:r>
        <w:t xml:space="preserve">In this section, we will first </w:t>
      </w:r>
      <w:r w:rsidR="00011D6C">
        <w:t>discuss the per-layer payload parameter pair / triplets with evaluations</w:t>
      </w:r>
      <w:r w:rsidR="005C2E51">
        <w:t xml:space="preserve"> of the agreed candidate values. In this step, we will </w:t>
      </w:r>
      <w:r w:rsidR="0015663E">
        <w:t>down-select to N</w:t>
      </w:r>
      <w:r w:rsidR="005C2E51">
        <w:t xml:space="preserve"> per-layer payload parameter pair / triplet</w:t>
      </w:r>
      <w:r w:rsidR="001927AB">
        <w:t xml:space="preserve"> and compare VQ vs. SQ</w:t>
      </w:r>
      <w:r w:rsidR="005C2E51">
        <w:t>.</w:t>
      </w:r>
      <w:r w:rsidR="007C3A9C">
        <w:t xml:space="preserve"> In the second step, </w:t>
      </w:r>
      <w:r w:rsidR="0015663E">
        <w:t xml:space="preserve">we will discuss the </w:t>
      </w:r>
      <w:r w:rsidR="001927AB">
        <w:t>payload parameter combination</w:t>
      </w:r>
      <w:r w:rsidR="005705B9">
        <w:t>s across layers / ranks by choosing t</w:t>
      </w:r>
      <w:r w:rsidR="001927AB">
        <w:t xml:space="preserve">he per-layer payload parameters </w:t>
      </w:r>
      <w:r w:rsidR="005705B9">
        <w:t>pairs / triplets from the pool agreed in step 1.</w:t>
      </w:r>
    </w:p>
    <w:p w14:paraId="163D37D8" w14:textId="77777777" w:rsidR="00FE0A50" w:rsidRPr="00101A0F" w:rsidRDefault="00FE0A50" w:rsidP="00101A0F"/>
    <w:p w14:paraId="57291A74" w14:textId="56847CD1" w:rsidR="00506044" w:rsidRDefault="00692F02" w:rsidP="00AA6932">
      <w:pPr>
        <w:pStyle w:val="Heading2"/>
      </w:pPr>
      <w:r>
        <w:lastRenderedPageBreak/>
        <w:t xml:space="preserve">Per-layer </w:t>
      </w:r>
      <w:r w:rsidR="001927AB">
        <w:t>p</w:t>
      </w:r>
      <w:r w:rsidR="00FA5753">
        <w:t xml:space="preserve">ayload </w:t>
      </w:r>
      <w:r w:rsidR="001927AB">
        <w:t>parameter pairs / triplets</w:t>
      </w:r>
    </w:p>
    <w:p w14:paraId="5585DCCF" w14:textId="77777777" w:rsidR="005D0538" w:rsidRDefault="00BB4D9C" w:rsidP="0027322B">
      <w:r>
        <w:t xml:space="preserve">As </w:t>
      </w:r>
      <w:r w:rsidR="005729D3">
        <w:t>mentioned above</w:t>
      </w:r>
      <w:r>
        <w:t xml:space="preserve">, </w:t>
      </w:r>
      <w:r w:rsidR="00C250D1">
        <w:t>we</w:t>
      </w:r>
      <w:r w:rsidR="00F10CD8">
        <w:t xml:space="preserve"> </w:t>
      </w:r>
      <w:r w:rsidR="00A26582">
        <w:t>perform the evaluation</w:t>
      </w:r>
      <w:r w:rsidR="00233DA9">
        <w:t xml:space="preserve"> considering various combinations of</w:t>
      </w:r>
      <w:r w:rsidR="004324F6">
        <w:t xml:space="preserve"> </w:t>
      </w:r>
      <w:r w:rsidR="00404765">
        <w:t xml:space="preserve">{d, L, Q}, where latent message dimension </w:t>
      </w:r>
      <w:r w:rsidR="00570433">
        <w:t xml:space="preserve">is taken from </w:t>
      </w:r>
      <m:oMath>
        <m:sSub>
          <m:sSubPr>
            <m:ctrlPr>
              <w:rPr>
                <w:rFonts w:ascii="Cambria Math" w:hAnsi="Cambria Math"/>
                <w:i/>
              </w:rPr>
            </m:ctrlPr>
          </m:sSubPr>
          <m:e>
            <m:r>
              <w:rPr>
                <w:rFonts w:ascii="Cambria Math" w:hAnsi="Cambria Math"/>
              </w:rPr>
              <m:t>d</m:t>
            </m:r>
          </m:e>
          <m:sub>
            <m:r>
              <w:rPr>
                <w:rFonts w:ascii="Cambria Math" w:hAnsi="Cambria Math"/>
              </w:rPr>
              <m:t>z</m:t>
            </m:r>
          </m:sub>
        </m:sSub>
        <m:r>
          <w:rPr>
            <w:rFonts w:ascii="Cambria Math" w:hAnsi="Cambria Math"/>
          </w:rPr>
          <m:t>={ 32, 64, 96, 128, 192}</m:t>
        </m:r>
      </m:oMath>
      <w:r w:rsidR="007F25AC">
        <w:t xml:space="preserve">, </w:t>
      </w:r>
      <w:r w:rsidR="009E3A09">
        <w:t>the quantization resolution is</w:t>
      </w:r>
      <w:r w:rsidR="000D6676">
        <w:t xml:space="preserve"> </w:t>
      </w:r>
      <m:oMath>
        <m:r>
          <w:rPr>
            <w:rFonts w:ascii="Cambria Math" w:hAnsi="Cambria Math"/>
          </w:rPr>
          <m:t>Q=</m:t>
        </m:r>
        <m:d>
          <m:dPr>
            <m:begChr m:val="{"/>
            <m:endChr m:val="}"/>
            <m:ctrlPr>
              <w:rPr>
                <w:rFonts w:ascii="Cambria Math" w:hAnsi="Cambria Math"/>
                <w:i/>
              </w:rPr>
            </m:ctrlPr>
          </m:dPr>
          <m:e>
            <m:r>
              <w:rPr>
                <w:rFonts w:ascii="Cambria Math" w:hAnsi="Cambria Math"/>
              </w:rPr>
              <m:t>1, 2,3,4</m:t>
            </m:r>
          </m:e>
        </m:d>
      </m:oMath>
      <w:r w:rsidR="00ED03A9">
        <w:t xml:space="preserve"> for SQ and </w:t>
      </w:r>
      <m:oMath>
        <m:d>
          <m:dPr>
            <m:begChr m:val="{"/>
            <m:endChr m:val="}"/>
            <m:ctrlPr>
              <w:rPr>
                <w:rFonts w:ascii="Cambria Math" w:hAnsi="Cambria Math"/>
                <w:i/>
              </w:rPr>
            </m:ctrlPr>
          </m:dPr>
          <m:e>
            <m:r>
              <w:rPr>
                <w:rFonts w:ascii="Cambria Math" w:hAnsi="Cambria Math"/>
              </w:rPr>
              <m:t>L,Q</m:t>
            </m:r>
          </m:e>
        </m:d>
        <m:r>
          <w:rPr>
            <w:rFonts w:ascii="Cambria Math" w:hAnsi="Cambria Math"/>
          </w:rPr>
          <m:t>={2,2}</m:t>
        </m:r>
      </m:oMath>
      <w:r w:rsidR="00E42004">
        <w:t xml:space="preserve">, </w:t>
      </w:r>
      <m:oMath>
        <m:d>
          <m:dPr>
            <m:begChr m:val="{"/>
            <m:endChr m:val="}"/>
            <m:ctrlPr>
              <w:rPr>
                <w:rFonts w:ascii="Cambria Math" w:hAnsi="Cambria Math"/>
                <w:i/>
              </w:rPr>
            </m:ctrlPr>
          </m:dPr>
          <m:e>
            <m:r>
              <w:rPr>
                <w:rFonts w:ascii="Cambria Math" w:hAnsi="Cambria Math"/>
              </w:rPr>
              <m:t>2,4</m:t>
            </m:r>
          </m:e>
        </m:d>
      </m:oMath>
      <w:r w:rsidR="00E42004">
        <w:t xml:space="preserve"> and </w:t>
      </w:r>
      <m:oMath>
        <m:r>
          <w:rPr>
            <w:rFonts w:ascii="Cambria Math" w:hAnsi="Cambria Math"/>
          </w:rPr>
          <m:t>{4,8}</m:t>
        </m:r>
      </m:oMath>
      <w:r w:rsidR="00F87582">
        <w:t xml:space="preserve"> for VQ</w:t>
      </w:r>
      <w:r w:rsidR="000D6676">
        <w:t>.</w:t>
      </w:r>
      <w:r w:rsidR="005D0538">
        <w:t xml:space="preserve"> In the evaluations, we consider </w:t>
      </w:r>
    </w:p>
    <w:p w14:paraId="11A055F3" w14:textId="21540E06" w:rsidR="0027322B" w:rsidRDefault="00ED1CE8" w:rsidP="00304C8B">
      <w:pPr>
        <w:pStyle w:val="ListParagraph"/>
        <w:numPr>
          <w:ilvl w:val="0"/>
          <w:numId w:val="18"/>
        </w:numPr>
      </w:pPr>
      <w:r>
        <w:t>A</w:t>
      </w:r>
      <w:r w:rsidR="005D0538">
        <w:t xml:space="preserve"> rank-common and layer-common model with 6TF blocks as the backbone.</w:t>
      </w:r>
    </w:p>
    <w:p w14:paraId="5D3FFEA5" w14:textId="16CFF0A0" w:rsidR="0009238E" w:rsidRDefault="0009238E" w:rsidP="00304C8B">
      <w:pPr>
        <w:pStyle w:val="ListParagraph"/>
        <w:numPr>
          <w:ilvl w:val="0"/>
          <w:numId w:val="18"/>
        </w:numPr>
      </w:pPr>
      <w:r>
        <w:t xml:space="preserve">Payload scalability: </w:t>
      </w:r>
      <w:r w:rsidR="00CD6462">
        <w:t>S</w:t>
      </w:r>
      <w:r>
        <w:t>pecific output layer with corresponding d value, i.e., total 5 output layers with output dimension of 32, 64, 96, 128, 192, respectively.</w:t>
      </w:r>
    </w:p>
    <w:p w14:paraId="38B226C8" w14:textId="470A2427" w:rsidR="00AB3A28" w:rsidRDefault="00AB3A28" w:rsidP="00304C8B">
      <w:pPr>
        <w:pStyle w:val="ListParagraph"/>
        <w:numPr>
          <w:ilvl w:val="0"/>
          <w:numId w:val="18"/>
        </w:numPr>
      </w:pPr>
      <w:r>
        <w:t xml:space="preserve">Quantization: </w:t>
      </w:r>
      <w:r w:rsidR="00CF759B">
        <w:t>S</w:t>
      </w:r>
      <w:r>
        <w:t xml:space="preserve">ame quantization module is applied for all the </w:t>
      </w:r>
      <w:r w:rsidR="00DA203D">
        <w:t>output dimensions, unless the quantization resolution is different.</w:t>
      </w:r>
    </w:p>
    <w:p w14:paraId="36FB6F3A" w14:textId="4D4215FD" w:rsidR="0009238E" w:rsidRDefault="00AB3A28" w:rsidP="00304C8B">
      <w:pPr>
        <w:pStyle w:val="ListParagraph"/>
        <w:numPr>
          <w:ilvl w:val="0"/>
          <w:numId w:val="18"/>
        </w:numPr>
      </w:pPr>
      <w:r>
        <w:t xml:space="preserve">Training: </w:t>
      </w:r>
      <w:r w:rsidR="00CF759B">
        <w:t>M</w:t>
      </w:r>
      <w:r>
        <w:t>ixed training of the 5 output layers</w:t>
      </w:r>
      <w:r w:rsidR="00CF759B">
        <w:t>, and quantization is jointly learned with the model.</w:t>
      </w:r>
    </w:p>
    <w:p w14:paraId="6BEBDC13" w14:textId="1DF56B90" w:rsidR="005D424F" w:rsidRPr="0024403A" w:rsidRDefault="005D424F" w:rsidP="0027322B">
      <w:pPr>
        <w:rPr>
          <w:b/>
          <w:bCs/>
          <w:u w:val="single"/>
        </w:rPr>
      </w:pPr>
      <w:r w:rsidRPr="0024403A">
        <w:rPr>
          <w:b/>
          <w:bCs/>
          <w:u w:val="single"/>
        </w:rPr>
        <w:t xml:space="preserve">Step 1: finding the best </w:t>
      </w:r>
      <w:r w:rsidR="00FF2FD0" w:rsidRPr="0024403A">
        <w:rPr>
          <w:b/>
          <w:bCs/>
          <w:u w:val="single"/>
        </w:rPr>
        <w:t>payload configurations for VQ</w:t>
      </w:r>
    </w:p>
    <w:p w14:paraId="49BF9B2D" w14:textId="3F5C9667" w:rsidR="00FF2FD0" w:rsidRDefault="006A1928" w:rsidP="0027322B">
      <w:r>
        <w:t xml:space="preserve">The evaluation results of VQ </w:t>
      </w:r>
      <w:r w:rsidR="007050B6">
        <w:t>are</w:t>
      </w:r>
      <w:r>
        <w:t xml:space="preserve"> presented in </w:t>
      </w:r>
      <w:r w:rsidR="007F6B67">
        <w:fldChar w:fldCharType="begin"/>
      </w:r>
      <w:r w:rsidR="007F6B67">
        <w:instrText xml:space="preserve"> REF _Ref210413060 \h </w:instrText>
      </w:r>
      <w:r w:rsidR="007F6B67">
        <w:fldChar w:fldCharType="separate"/>
      </w:r>
      <w:r w:rsidR="00D74611">
        <w:t xml:space="preserve">Figure </w:t>
      </w:r>
      <w:r w:rsidR="00D74611">
        <w:rPr>
          <w:noProof/>
        </w:rPr>
        <w:t>2</w:t>
      </w:r>
      <w:r w:rsidR="00D74611">
        <w:noBreakHyphen/>
      </w:r>
      <w:r w:rsidR="00D74611">
        <w:rPr>
          <w:noProof/>
        </w:rPr>
        <w:t>1</w:t>
      </w:r>
      <w:r w:rsidR="007F6B67">
        <w:fldChar w:fldCharType="end"/>
      </w:r>
      <w:r>
        <w:t>.</w:t>
      </w:r>
      <w:r w:rsidR="006C1A91">
        <w:t xml:space="preserve"> Each curve is plotted by </w:t>
      </w:r>
      <w:r w:rsidR="00166D8F">
        <w:t xml:space="preserve">setting a particular value of </w:t>
      </w:r>
      <w:r w:rsidR="008F6A99">
        <w:t>quantization resolution</w:t>
      </w:r>
      <w:r w:rsidR="00166D8F">
        <w:t xml:space="preserve"> </w:t>
      </w:r>
      <m:oMath>
        <m:r>
          <w:rPr>
            <w:rFonts w:ascii="Cambria Math" w:hAnsi="Cambria Math"/>
          </w:rPr>
          <m:t>{L,Q}</m:t>
        </m:r>
      </m:oMath>
      <w:r w:rsidR="00166D8F">
        <w:t xml:space="preserve">, and there are </w:t>
      </w:r>
      <w:r w:rsidR="00175A1A">
        <w:t>5</w:t>
      </w:r>
      <w:r w:rsidR="00166D8F">
        <w:t xml:space="preserve"> points</w:t>
      </w:r>
      <w:r w:rsidR="007F2796">
        <w:t xml:space="preserve"> on each curve resulted by the </w:t>
      </w:r>
      <w:r w:rsidR="00175A1A">
        <w:t>5</w:t>
      </w:r>
      <w:r w:rsidR="007F2796">
        <w:t xml:space="preserve"> candidate </w:t>
      </w:r>
      <w:r w:rsidR="008F6A99">
        <w:t>latent dimensions</w:t>
      </w:r>
      <w:r w:rsidR="007F2796">
        <w:t xml:space="preserve">. </w:t>
      </w:r>
      <w:r w:rsidR="00B66A81">
        <w:t>The VQ codebook is learned together with the model.</w:t>
      </w:r>
      <w:r w:rsidR="007050B6">
        <w:t xml:space="preserve"> </w:t>
      </w:r>
      <w:r w:rsidR="00B66A81">
        <w:t xml:space="preserve">Along the span of the </w:t>
      </w:r>
      <w:r w:rsidR="008F6A99">
        <w:t>4</w:t>
      </w:r>
      <w:r w:rsidR="00B66A81">
        <w:t xml:space="preserve"> curves, </w:t>
      </w:r>
      <w:r w:rsidR="00282559">
        <w:t xml:space="preserve">the ultra low payload option &lt;64-bit </w:t>
      </w:r>
      <w:r w:rsidR="00F72610">
        <w:t>is</w:t>
      </w:r>
      <w:r w:rsidR="00282559">
        <w:t xml:space="preserve"> excluded. </w:t>
      </w:r>
      <w:r w:rsidR="00694487">
        <w:t xml:space="preserve">Within </w:t>
      </w:r>
      <w:r w:rsidR="00793764">
        <w:t>the</w:t>
      </w:r>
      <w:r w:rsidR="00694487">
        <w:t xml:space="preserve"> range</w:t>
      </w:r>
      <w:r w:rsidR="00793764">
        <w:t xml:space="preserve"> [64, </w:t>
      </w:r>
      <w:r w:rsidR="00A47170">
        <w:t>384</w:t>
      </w:r>
      <w:r w:rsidR="00793764">
        <w:t>]</w:t>
      </w:r>
      <w:r w:rsidR="00694487">
        <w:t>,</w:t>
      </w:r>
      <w:r w:rsidR="00A47170">
        <w:t xml:space="preserve"> i</w:t>
      </w:r>
      <w:r w:rsidR="00913BF8">
        <w:t xml:space="preserve">t can be seen that the </w:t>
      </w:r>
      <w:r w:rsidR="00367F76">
        <w:t xml:space="preserve">fixing the CB size with Q=4 bits but only varying the latent message dimensions provide </w:t>
      </w:r>
      <w:r w:rsidR="00435587">
        <w:t xml:space="preserve">good results. Besides, </w:t>
      </w:r>
      <w:r w:rsidR="00435587">
        <w:rPr>
          <w:rStyle w:val="Strong"/>
          <w:b w:val="0"/>
          <w:bCs w:val="0"/>
        </w:rPr>
        <w:t xml:space="preserve">the performance of parameter </w:t>
      </w:r>
      <w:r w:rsidR="00435587" w:rsidRPr="00435587">
        <w:rPr>
          <w:rStyle w:val="Strong"/>
          <w:b w:val="0"/>
          <w:bCs w:val="0"/>
        </w:rPr>
        <w:t>setting</w:t>
      </w:r>
      <w:r w:rsidR="00435587" w:rsidRPr="006844C9">
        <w:rPr>
          <w:rStyle w:val="Strong"/>
        </w:rPr>
        <w:t xml:space="preserve"> </w:t>
      </w:r>
      <m:oMath>
        <m:r>
          <w:rPr>
            <w:rStyle w:val="Strong"/>
            <w:rFonts w:ascii="Cambria Math" w:hAnsi="Cambria Math"/>
          </w:rPr>
          <m:t>{L,Q}={2,4}</m:t>
        </m:r>
      </m:oMath>
      <w:r w:rsidR="00435587">
        <w:rPr>
          <w:rStyle w:val="Strong"/>
          <w:b w:val="0"/>
          <w:bCs w:val="0"/>
        </w:rPr>
        <w:t xml:space="preserve"> is comparable with </w:t>
      </w:r>
      <m:oMath>
        <m:r>
          <w:rPr>
            <w:rStyle w:val="Strong"/>
            <w:rFonts w:ascii="Cambria Math" w:hAnsi="Cambria Math"/>
          </w:rPr>
          <m:t>{L,Q}={4,8}</m:t>
        </m:r>
      </m:oMath>
      <w:r w:rsidR="00435587">
        <w:rPr>
          <w:rStyle w:val="Strong"/>
          <w:b w:val="0"/>
          <w:bCs w:val="0"/>
        </w:rPr>
        <w:t xml:space="preserve">. They both outperform </w:t>
      </w:r>
      <m:oMath>
        <m:r>
          <w:rPr>
            <w:rStyle w:val="Strong"/>
            <w:rFonts w:ascii="Cambria Math" w:hAnsi="Cambria Math"/>
          </w:rPr>
          <m:t>{L,Q}={4,4}</m:t>
        </m:r>
      </m:oMath>
      <w:r w:rsidR="00435587">
        <w:rPr>
          <w:rStyle w:val="Strong"/>
          <w:b w:val="0"/>
          <w:bCs w:val="0"/>
        </w:rPr>
        <w:t xml:space="preserve"> under the same payload size</w:t>
      </w:r>
      <w:r w:rsidR="00367F76">
        <w:t>.</w:t>
      </w:r>
    </w:p>
    <w:p w14:paraId="4A4EB679" w14:textId="37C81E0B" w:rsidR="007F6B67" w:rsidRDefault="00A042D4" w:rsidP="007F6B67">
      <w:pPr>
        <w:keepNext/>
        <w:jc w:val="center"/>
      </w:pPr>
      <w:r>
        <w:rPr>
          <w:noProof/>
        </w:rPr>
        <w:drawing>
          <wp:inline distT="0" distB="0" distL="0" distR="0" wp14:anchorId="13355A4D" wp14:editId="59EABC34">
            <wp:extent cx="2927161" cy="2026370"/>
            <wp:effectExtent l="0" t="0" r="6985" b="12065"/>
            <wp:docPr id="230221814" name="Chart 1">
              <a:extLst xmlns:a="http://schemas.openxmlformats.org/drawingml/2006/main">
                <a:ext uri="{FF2B5EF4-FFF2-40B4-BE49-F238E27FC236}">
                  <a16:creationId xmlns:a16="http://schemas.microsoft.com/office/drawing/2014/main" id="{3B1A1D5E-BFF6-AABC-9328-8BBF946B0C75}"/>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r>
        <w:rPr>
          <w:noProof/>
        </w:rPr>
        <w:drawing>
          <wp:inline distT="0" distB="0" distL="0" distR="0" wp14:anchorId="293ECCBD" wp14:editId="2F27E46E">
            <wp:extent cx="2968388" cy="2026285"/>
            <wp:effectExtent l="0" t="0" r="3810" b="12065"/>
            <wp:docPr id="1210341399" name="Chart 2">
              <a:extLst xmlns:a="http://schemas.openxmlformats.org/drawingml/2006/main">
                <a:ext uri="{FF2B5EF4-FFF2-40B4-BE49-F238E27FC236}">
                  <a16:creationId xmlns:a16="http://schemas.microsoft.com/office/drawing/2014/main" id="{AC8FC8C4-BC16-6FE7-270F-63D2D1AE3967}"/>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r>
        <w:rPr>
          <w:noProof/>
        </w:rPr>
        <w:drawing>
          <wp:inline distT="0" distB="0" distL="0" distR="0" wp14:anchorId="03E40917" wp14:editId="63C43E67">
            <wp:extent cx="2886085" cy="2150887"/>
            <wp:effectExtent l="0" t="0" r="9525" b="1905"/>
            <wp:docPr id="937596113" name="Chart 3">
              <a:extLst xmlns:a="http://schemas.openxmlformats.org/drawingml/2006/main">
                <a:ext uri="{FF2B5EF4-FFF2-40B4-BE49-F238E27FC236}">
                  <a16:creationId xmlns:a16="http://schemas.microsoft.com/office/drawing/2014/main" id="{BC2EB3CF-D43C-4F1B-006B-BA367834AD8B}"/>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r>
        <w:rPr>
          <w:noProof/>
        </w:rPr>
        <w:drawing>
          <wp:inline distT="0" distB="0" distL="0" distR="0" wp14:anchorId="73B43082" wp14:editId="6B578130">
            <wp:extent cx="2982036" cy="2162516"/>
            <wp:effectExtent l="0" t="0" r="8890" b="9525"/>
            <wp:docPr id="1600339515" name="Chart 4">
              <a:extLst xmlns:a="http://schemas.openxmlformats.org/drawingml/2006/main">
                <a:ext uri="{FF2B5EF4-FFF2-40B4-BE49-F238E27FC236}">
                  <a16:creationId xmlns:a16="http://schemas.microsoft.com/office/drawing/2014/main" id="{2D97F1D4-E87C-46E9-61F3-3D03507133DF}"/>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14:paraId="21740D00" w14:textId="2B222648" w:rsidR="00694487" w:rsidRDefault="007F6B67" w:rsidP="007F6B67">
      <w:pPr>
        <w:pStyle w:val="Caption"/>
      </w:pPr>
      <w:bookmarkStart w:id="4" w:name="_Ref210413060"/>
      <w:r>
        <w:t xml:space="preserve">Figure </w:t>
      </w:r>
      <w:r w:rsidR="003B287B">
        <w:fldChar w:fldCharType="begin"/>
      </w:r>
      <w:r w:rsidR="003B287B">
        <w:instrText xml:space="preserve"> STYLEREF 1 \s </w:instrText>
      </w:r>
      <w:r w:rsidR="003B287B">
        <w:fldChar w:fldCharType="separate"/>
      </w:r>
      <w:r w:rsidR="003B287B">
        <w:rPr>
          <w:noProof/>
        </w:rPr>
        <w:t>2</w:t>
      </w:r>
      <w:r w:rsidR="003B287B">
        <w:fldChar w:fldCharType="end"/>
      </w:r>
      <w:r w:rsidR="003B287B">
        <w:noBreakHyphen/>
      </w:r>
      <w:r w:rsidR="003B287B">
        <w:fldChar w:fldCharType="begin"/>
      </w:r>
      <w:r w:rsidR="003B287B">
        <w:instrText xml:space="preserve"> SEQ Figure \* ARABIC \s 1 </w:instrText>
      </w:r>
      <w:r w:rsidR="003B287B">
        <w:fldChar w:fldCharType="separate"/>
      </w:r>
      <w:r w:rsidR="003B287B">
        <w:rPr>
          <w:noProof/>
        </w:rPr>
        <w:t>1</w:t>
      </w:r>
      <w:r w:rsidR="003B287B">
        <w:fldChar w:fldCharType="end"/>
      </w:r>
      <w:bookmarkEnd w:id="4"/>
      <w:r>
        <w:t xml:space="preserve">. SGCS resulted by various payload configurations </w:t>
      </w:r>
      <w:r w:rsidR="00F87A72">
        <w:t>of</w:t>
      </w:r>
      <w:r>
        <w:t xml:space="preserve"> VQ.</w:t>
      </w:r>
    </w:p>
    <w:p w14:paraId="6B44A654" w14:textId="5758E519" w:rsidR="0056272A" w:rsidRPr="006844C9" w:rsidRDefault="0016251C" w:rsidP="006844C9">
      <w:pPr>
        <w:pStyle w:val="Observation"/>
        <w:rPr>
          <w:rStyle w:val="Strong"/>
          <w:b/>
        </w:rPr>
      </w:pPr>
      <w:bookmarkStart w:id="5" w:name="_Ref210414748"/>
      <w:r w:rsidRPr="006844C9">
        <w:rPr>
          <w:rStyle w:val="Strong"/>
          <w:b/>
          <w:bCs/>
        </w:rPr>
        <w:lastRenderedPageBreak/>
        <w:t xml:space="preserve">For VQ, </w:t>
      </w:r>
      <w:r w:rsidR="00135CEE">
        <w:rPr>
          <w:rStyle w:val="Strong"/>
          <w:b/>
          <w:bCs/>
        </w:rPr>
        <w:t xml:space="preserve">the performance of parameter </w:t>
      </w:r>
      <w:r w:rsidR="001F1A58" w:rsidRPr="006844C9">
        <w:rPr>
          <w:rStyle w:val="Strong"/>
          <w:b/>
          <w:bCs/>
        </w:rPr>
        <w:t xml:space="preserve">setting </w:t>
      </w:r>
      <w:r w:rsidR="00135CEE">
        <w:rPr>
          <w:rStyle w:val="Strong"/>
          <w:b/>
          <w:bCs/>
        </w:rPr>
        <w:t xml:space="preserve">{L,Q}={2,4} is comparable </w:t>
      </w:r>
      <w:r w:rsidR="00CD6716">
        <w:rPr>
          <w:rStyle w:val="Strong"/>
          <w:b/>
          <w:bCs/>
        </w:rPr>
        <w:t>with {L,Q}={4,8}. They both outperform {L,Q}={4,4} under the same payload size</w:t>
      </w:r>
      <w:r w:rsidR="006565B2">
        <w:rPr>
          <w:rStyle w:val="Strong"/>
          <w:b/>
          <w:bCs/>
        </w:rPr>
        <w:t>.</w:t>
      </w:r>
      <w:bookmarkEnd w:id="5"/>
    </w:p>
    <w:p w14:paraId="17F5A3C4" w14:textId="3C8C3E73" w:rsidR="00FF2FD0" w:rsidRPr="00E85B84" w:rsidRDefault="00FF2FD0" w:rsidP="0027322B">
      <w:pPr>
        <w:rPr>
          <w:b/>
          <w:bCs/>
          <w:u w:val="single"/>
        </w:rPr>
      </w:pPr>
      <w:r w:rsidRPr="00E85B84">
        <w:rPr>
          <w:b/>
          <w:bCs/>
          <w:u w:val="single"/>
        </w:rPr>
        <w:t>Step 2: finding the best payload configurations for SQ</w:t>
      </w:r>
    </w:p>
    <w:p w14:paraId="1977F849" w14:textId="2E515728" w:rsidR="00C35AFC" w:rsidRDefault="0024403A" w:rsidP="0027322B">
      <w:r>
        <w:t xml:space="preserve">Same evaluations are conducted for SQ. </w:t>
      </w:r>
      <w:r w:rsidR="008548E1">
        <w:t xml:space="preserve">As shown in </w:t>
      </w:r>
      <w:r w:rsidR="00F87A72">
        <w:fldChar w:fldCharType="begin"/>
      </w:r>
      <w:r w:rsidR="00F87A72">
        <w:instrText xml:space="preserve"> REF _Ref210413171 \h </w:instrText>
      </w:r>
      <w:r w:rsidR="00F87A72">
        <w:fldChar w:fldCharType="separate"/>
      </w:r>
      <w:r w:rsidR="00DF6A89">
        <w:t xml:space="preserve">Figure </w:t>
      </w:r>
      <w:r w:rsidR="00DF6A89">
        <w:rPr>
          <w:noProof/>
        </w:rPr>
        <w:t>2</w:t>
      </w:r>
      <w:r w:rsidR="00DF6A89">
        <w:noBreakHyphen/>
      </w:r>
      <w:r w:rsidR="00DF6A89">
        <w:rPr>
          <w:noProof/>
        </w:rPr>
        <w:t>2</w:t>
      </w:r>
      <w:r w:rsidR="00F87A72">
        <w:fldChar w:fldCharType="end"/>
      </w:r>
      <w:r w:rsidR="008548E1">
        <w:t xml:space="preserve">, three curves are plotted each with a specific </w:t>
      </w:r>
      <w:r w:rsidR="00D300C5">
        <w:t>codebook size</w:t>
      </w:r>
      <w:r w:rsidR="00C35AFC">
        <w:t xml:space="preserve"> of</w:t>
      </w:r>
      <w:r w:rsidR="00D300C5">
        <w:t xml:space="preserve"> </w:t>
      </w:r>
      <m:oMath>
        <m:r>
          <w:rPr>
            <w:rFonts w:ascii="Cambria Math" w:hAnsi="Cambria Math"/>
          </w:rPr>
          <m:t>Q={1,2,3}</m:t>
        </m:r>
      </m:oMath>
      <w:r w:rsidR="005E1BBF">
        <w:t xml:space="preserve"> per scalar</w:t>
      </w:r>
      <w:r w:rsidR="00D300C5">
        <w:t xml:space="preserve">. There are </w:t>
      </w:r>
      <w:r w:rsidR="007634B2">
        <w:t>6</w:t>
      </w:r>
      <w:r w:rsidR="00DC56FB">
        <w:t xml:space="preserve"> points on each curve resulted by </w:t>
      </w:r>
      <w:r w:rsidR="00D77820">
        <w:t xml:space="preserve">a particular latent message dimension </w:t>
      </w:r>
      <m:oMath>
        <m:sSub>
          <m:sSubPr>
            <m:ctrlPr>
              <w:rPr>
                <w:rFonts w:ascii="Cambria Math" w:hAnsi="Cambria Math"/>
                <w:i/>
              </w:rPr>
            </m:ctrlPr>
          </m:sSubPr>
          <m:e>
            <m:r>
              <w:rPr>
                <w:rFonts w:ascii="Cambria Math" w:hAnsi="Cambria Math"/>
              </w:rPr>
              <m:t>d</m:t>
            </m:r>
          </m:e>
          <m:sub>
            <m:r>
              <w:rPr>
                <w:rFonts w:ascii="Cambria Math" w:hAnsi="Cambria Math"/>
              </w:rPr>
              <m:t>z</m:t>
            </m:r>
          </m:sub>
        </m:sSub>
        <m:r>
          <w:rPr>
            <w:rFonts w:ascii="Cambria Math" w:hAnsi="Cambria Math"/>
          </w:rPr>
          <m:t>={32,48,64,80,96,128}</m:t>
        </m:r>
      </m:oMath>
      <w:r w:rsidR="00D77820">
        <w:t>.</w:t>
      </w:r>
      <w:r w:rsidR="00A7333E">
        <w:t xml:space="preserve"> It is straightforward to see that </w:t>
      </w:r>
      <w:r w:rsidR="00965A66">
        <w:t>SQ</w:t>
      </w:r>
      <w:r w:rsidR="002D5FA1">
        <w:t xml:space="preserve"> with </w:t>
      </w:r>
      <m:oMath>
        <m:r>
          <w:rPr>
            <w:rFonts w:ascii="Cambria Math" w:hAnsi="Cambria Math"/>
          </w:rPr>
          <m:t>Q=2</m:t>
        </m:r>
      </m:oMath>
      <w:r w:rsidR="002D5FA1">
        <w:t xml:space="preserve"> bits per</w:t>
      </w:r>
      <w:r w:rsidR="00C35AFC">
        <w:t xml:space="preserve"> scalar provides the best performance.</w:t>
      </w:r>
      <w:r w:rsidR="00E85B84">
        <w:t xml:space="preserve"> </w:t>
      </w:r>
      <w:r w:rsidR="00C35AFC" w:rsidRPr="00CD6998">
        <w:t xml:space="preserve">Besides, </w:t>
      </w:r>
      <w:r w:rsidR="00CD6998" w:rsidRPr="00CD6998">
        <w:t xml:space="preserve">the </w:t>
      </w:r>
      <w:r w:rsidR="00C35AFC" w:rsidRPr="00CD6998">
        <w:t>pre-determined sca</w:t>
      </w:r>
      <w:r w:rsidR="002630E3" w:rsidRPr="00CD6998">
        <w:t xml:space="preserve">lar quantization with uniform </w:t>
      </w:r>
      <w:r w:rsidR="006050C1" w:rsidRPr="00CD6998">
        <w:t xml:space="preserve">4 </w:t>
      </w:r>
      <w:r w:rsidR="002630E3" w:rsidRPr="00CD6998">
        <w:t>codewords</w:t>
      </w:r>
      <w:r w:rsidR="006050C1" w:rsidRPr="00CD6998">
        <w:t xml:space="preserve"> (</w:t>
      </w:r>
      <m:oMath>
        <m:r>
          <w:rPr>
            <w:rFonts w:ascii="Cambria Math" w:hAnsi="Cambria Math"/>
          </w:rPr>
          <m:t>Q=2</m:t>
        </m:r>
      </m:oMath>
      <w:r w:rsidR="006050C1" w:rsidRPr="00CD6998">
        <w:t xml:space="preserve"> bits)</w:t>
      </w:r>
      <w:r w:rsidR="002630E3" w:rsidRPr="00CD6998">
        <w:t xml:space="preserve"> </w:t>
      </w:r>
      <w:r w:rsidR="00CD6998" w:rsidRPr="00CD6998">
        <w:t xml:space="preserve">result was included in our contribution paper submitted to previous meeting. The result </w:t>
      </w:r>
      <w:r w:rsidR="002630E3" w:rsidRPr="00CD6998">
        <w:t xml:space="preserve">is shown with close performance to the learnable </w:t>
      </w:r>
      <w:r w:rsidR="006050C1" w:rsidRPr="00CD6998">
        <w:t>scalar codebook.</w:t>
      </w:r>
    </w:p>
    <w:p w14:paraId="7FE09BCE" w14:textId="5FCF049C" w:rsidR="00F87A72" w:rsidRDefault="00E805DF" w:rsidP="00F87A72">
      <w:pPr>
        <w:keepNext/>
        <w:jc w:val="center"/>
      </w:pPr>
      <w:r>
        <w:rPr>
          <w:noProof/>
        </w:rPr>
        <w:drawing>
          <wp:inline distT="0" distB="0" distL="0" distR="0" wp14:anchorId="23F0B40F" wp14:editId="0B21B63D">
            <wp:extent cx="2859206" cy="1916923"/>
            <wp:effectExtent l="0" t="0" r="17780" b="7620"/>
            <wp:docPr id="789896390" name="Chart 1">
              <a:extLst xmlns:a="http://schemas.openxmlformats.org/drawingml/2006/main">
                <a:ext uri="{FF2B5EF4-FFF2-40B4-BE49-F238E27FC236}">
                  <a16:creationId xmlns:a16="http://schemas.microsoft.com/office/drawing/2014/main" id="{B913F738-E084-7D57-D6A5-AD4EA12F86F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r>
        <w:rPr>
          <w:noProof/>
        </w:rPr>
        <w:drawing>
          <wp:inline distT="0" distB="0" distL="0" distR="0" wp14:anchorId="61BBE4A3" wp14:editId="0D1B3793">
            <wp:extent cx="2988319" cy="1922780"/>
            <wp:effectExtent l="0" t="0" r="2540" b="1270"/>
            <wp:docPr id="682903801" name="Chart 2">
              <a:extLst xmlns:a="http://schemas.openxmlformats.org/drawingml/2006/main">
                <a:ext uri="{FF2B5EF4-FFF2-40B4-BE49-F238E27FC236}">
                  <a16:creationId xmlns:a16="http://schemas.microsoft.com/office/drawing/2014/main" id="{44974A69-32C2-301E-DECD-5B53EB43765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r>
        <w:rPr>
          <w:noProof/>
        </w:rPr>
        <w:drawing>
          <wp:inline distT="0" distB="0" distL="0" distR="0" wp14:anchorId="1267BDF5" wp14:editId="66202E6C">
            <wp:extent cx="2954741" cy="1834373"/>
            <wp:effectExtent l="0" t="0" r="17145" b="13970"/>
            <wp:docPr id="1829834922" name="Chart 3">
              <a:extLst xmlns:a="http://schemas.openxmlformats.org/drawingml/2006/main">
                <a:ext uri="{FF2B5EF4-FFF2-40B4-BE49-F238E27FC236}">
                  <a16:creationId xmlns:a16="http://schemas.microsoft.com/office/drawing/2014/main" id="{1F36E1BF-0F6E-C7D5-9512-DC99D1AB177A}"/>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r>
        <w:rPr>
          <w:noProof/>
        </w:rPr>
        <w:drawing>
          <wp:inline distT="0" distB="0" distL="0" distR="0" wp14:anchorId="5E2D1CD6" wp14:editId="0AA4459E">
            <wp:extent cx="2927445" cy="1835074"/>
            <wp:effectExtent l="0" t="0" r="6350" b="13335"/>
            <wp:docPr id="398994426" name="Chart 4">
              <a:extLst xmlns:a="http://schemas.openxmlformats.org/drawingml/2006/main">
                <a:ext uri="{FF2B5EF4-FFF2-40B4-BE49-F238E27FC236}">
                  <a16:creationId xmlns:a16="http://schemas.microsoft.com/office/drawing/2014/main" id="{5DF77F7E-9285-D0D1-BAE0-08A897F5220E}"/>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inline>
        </w:drawing>
      </w:r>
    </w:p>
    <w:p w14:paraId="41F272EC" w14:textId="77D1AF62" w:rsidR="007050F9" w:rsidRDefault="00F87A72" w:rsidP="00F87A72">
      <w:pPr>
        <w:pStyle w:val="Caption"/>
      </w:pPr>
      <w:bookmarkStart w:id="6" w:name="_Ref210413171"/>
      <w:r>
        <w:t xml:space="preserve">Figure </w:t>
      </w:r>
      <w:r w:rsidR="003B287B">
        <w:fldChar w:fldCharType="begin"/>
      </w:r>
      <w:r w:rsidR="003B287B">
        <w:instrText xml:space="preserve"> STYLEREF 1 \s </w:instrText>
      </w:r>
      <w:r w:rsidR="003B287B">
        <w:fldChar w:fldCharType="separate"/>
      </w:r>
      <w:r w:rsidR="003B287B">
        <w:rPr>
          <w:noProof/>
        </w:rPr>
        <w:t>2</w:t>
      </w:r>
      <w:r w:rsidR="003B287B">
        <w:fldChar w:fldCharType="end"/>
      </w:r>
      <w:r w:rsidR="003B287B">
        <w:noBreakHyphen/>
      </w:r>
      <w:r w:rsidR="003B287B">
        <w:fldChar w:fldCharType="begin"/>
      </w:r>
      <w:r w:rsidR="003B287B">
        <w:instrText xml:space="preserve"> SEQ Figure \* ARABIC \s 1 </w:instrText>
      </w:r>
      <w:r w:rsidR="003B287B">
        <w:fldChar w:fldCharType="separate"/>
      </w:r>
      <w:r w:rsidR="003B287B">
        <w:rPr>
          <w:noProof/>
        </w:rPr>
        <w:t>2</w:t>
      </w:r>
      <w:r w:rsidR="003B287B">
        <w:fldChar w:fldCharType="end"/>
      </w:r>
      <w:bookmarkEnd w:id="6"/>
      <w:r>
        <w:t>. The SGCS resulted by various payload configurations of SQ.</w:t>
      </w:r>
    </w:p>
    <w:p w14:paraId="6E2E98D5" w14:textId="798EA2C1" w:rsidR="006844C9" w:rsidRDefault="006844C9" w:rsidP="008E5416">
      <w:pPr>
        <w:pStyle w:val="Observation"/>
        <w:rPr>
          <w:rStyle w:val="Strong"/>
          <w:b/>
          <w:bCs/>
        </w:rPr>
      </w:pPr>
      <w:bookmarkStart w:id="7" w:name="_Ref210414756"/>
      <w:r w:rsidRPr="008E5416">
        <w:rPr>
          <w:rStyle w:val="Strong"/>
          <w:b/>
          <w:bCs/>
        </w:rPr>
        <w:t xml:space="preserve">For SQ, the best </w:t>
      </w:r>
      <w:r w:rsidR="00676A52" w:rsidRPr="008E5416">
        <w:rPr>
          <w:rStyle w:val="Strong"/>
          <w:b/>
          <w:bCs/>
        </w:rPr>
        <w:t xml:space="preserve">payload options </w:t>
      </w:r>
      <w:r w:rsidR="001048B4">
        <w:rPr>
          <w:rStyle w:val="Strong"/>
          <w:b/>
          <w:bCs/>
        </w:rPr>
        <w:t>are</w:t>
      </w:r>
      <w:r w:rsidR="00676A52" w:rsidRPr="008E5416">
        <w:rPr>
          <w:rStyle w:val="Strong"/>
          <w:b/>
          <w:bCs/>
        </w:rPr>
        <w:t xml:space="preserve"> achieved by setting Q=2 bits per real entry</w:t>
      </w:r>
      <w:r w:rsidR="008E5416" w:rsidRPr="008E5416">
        <w:rPr>
          <w:rStyle w:val="Strong"/>
          <w:b/>
          <w:bCs/>
        </w:rPr>
        <w:t>. Different payload is achieved by setting a respective latent dimension dz</w:t>
      </w:r>
      <w:r w:rsidR="001048B4">
        <w:rPr>
          <w:rStyle w:val="Strong"/>
          <w:b/>
          <w:bCs/>
        </w:rPr>
        <w:t>.</w:t>
      </w:r>
      <w:bookmarkEnd w:id="7"/>
    </w:p>
    <w:p w14:paraId="259CA3D1" w14:textId="17A5382E" w:rsidR="0027322B" w:rsidRPr="0090335A" w:rsidRDefault="00E85B84" w:rsidP="0027322B">
      <w:pPr>
        <w:rPr>
          <w:b/>
          <w:bCs/>
          <w:u w:val="single"/>
        </w:rPr>
      </w:pPr>
      <w:r w:rsidRPr="0090335A">
        <w:rPr>
          <w:b/>
          <w:bCs/>
          <w:u w:val="single"/>
        </w:rPr>
        <w:t xml:space="preserve">Step 3: </w:t>
      </w:r>
      <w:r w:rsidR="005C45D6" w:rsidRPr="0090335A">
        <w:rPr>
          <w:b/>
          <w:bCs/>
          <w:u w:val="single"/>
        </w:rPr>
        <w:t>VQ vs. SQ</w:t>
      </w:r>
    </w:p>
    <w:p w14:paraId="4245BAD1" w14:textId="7F826D37" w:rsidR="003E58B4" w:rsidRDefault="00A362C4" w:rsidP="0027322B">
      <w:r>
        <w:t xml:space="preserve">In this step, we compare </w:t>
      </w:r>
      <w:r w:rsidR="002C7D14">
        <w:t>the best VQ configuration wit</w:t>
      </w:r>
      <w:r w:rsidR="00311A78">
        <w:t>h</w:t>
      </w:r>
      <w:r w:rsidR="002C7D14">
        <w:t xml:space="preserve"> the best SQ configuration. </w:t>
      </w:r>
      <w:r w:rsidR="00265D17">
        <w:t xml:space="preserve">As presented in </w:t>
      </w:r>
      <w:r w:rsidR="00A0577B">
        <w:fldChar w:fldCharType="begin"/>
      </w:r>
      <w:r w:rsidR="00A0577B">
        <w:instrText xml:space="preserve"> REF _Ref210413614 \h </w:instrText>
      </w:r>
      <w:r w:rsidR="00A0577B">
        <w:fldChar w:fldCharType="separate"/>
      </w:r>
      <w:r w:rsidR="00A0577B">
        <w:t xml:space="preserve">Figure </w:t>
      </w:r>
      <w:r w:rsidR="00A0577B">
        <w:rPr>
          <w:noProof/>
        </w:rPr>
        <w:t>2</w:t>
      </w:r>
      <w:r w:rsidR="00A0577B">
        <w:noBreakHyphen/>
      </w:r>
      <w:r w:rsidR="00A0577B">
        <w:rPr>
          <w:noProof/>
        </w:rPr>
        <w:t>3</w:t>
      </w:r>
      <w:r w:rsidR="00A0577B">
        <w:fldChar w:fldCharType="end"/>
      </w:r>
      <w:r w:rsidR="00265D17">
        <w:t xml:space="preserve">, there </w:t>
      </w:r>
      <w:r w:rsidR="00D56B01">
        <w:t>is minor to</w:t>
      </w:r>
      <w:r w:rsidR="00265D17">
        <w:t xml:space="preserve"> moderate gap between learned VQ and learned SQ</w:t>
      </w:r>
      <w:r w:rsidR="003C3DA1">
        <w:t xml:space="preserve">. </w:t>
      </w:r>
    </w:p>
    <w:p w14:paraId="32695989" w14:textId="1B4D5D7A" w:rsidR="00071F37" w:rsidRDefault="00F0798E" w:rsidP="00071F37">
      <w:pPr>
        <w:jc w:val="center"/>
      </w:pPr>
      <w:r>
        <w:rPr>
          <w:noProof/>
        </w:rPr>
        <w:lastRenderedPageBreak/>
        <w:drawing>
          <wp:inline distT="0" distB="0" distL="0" distR="0" wp14:anchorId="0207CACB" wp14:editId="4CDF175A">
            <wp:extent cx="2906973" cy="1623524"/>
            <wp:effectExtent l="0" t="0" r="8255" b="15240"/>
            <wp:docPr id="212461765" name="Chart 1">
              <a:extLst xmlns:a="http://schemas.openxmlformats.org/drawingml/2006/main">
                <a:ext uri="{FF2B5EF4-FFF2-40B4-BE49-F238E27FC236}">
                  <a16:creationId xmlns:a16="http://schemas.microsoft.com/office/drawing/2014/main" id="{6BD80FB9-867C-946D-0100-A6647E6F33C1}"/>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0"/>
              </a:graphicData>
            </a:graphic>
          </wp:inline>
        </w:drawing>
      </w:r>
      <w:r>
        <w:rPr>
          <w:noProof/>
        </w:rPr>
        <w:drawing>
          <wp:inline distT="0" distB="0" distL="0" distR="0" wp14:anchorId="706DC44C" wp14:editId="7E23C1C3">
            <wp:extent cx="2988481" cy="1623543"/>
            <wp:effectExtent l="0" t="0" r="2540" b="15240"/>
            <wp:docPr id="1039229259" name="Chart 2">
              <a:extLst xmlns:a="http://schemas.openxmlformats.org/drawingml/2006/main">
                <a:ext uri="{FF2B5EF4-FFF2-40B4-BE49-F238E27FC236}">
                  <a16:creationId xmlns:a16="http://schemas.microsoft.com/office/drawing/2014/main" id="{B336BE8C-7CCD-EE26-A655-80968F8910D4}"/>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1"/>
              </a:graphicData>
            </a:graphic>
          </wp:inline>
        </w:drawing>
      </w:r>
      <w:r>
        <w:rPr>
          <w:noProof/>
        </w:rPr>
        <w:drawing>
          <wp:inline distT="0" distB="0" distL="0" distR="0" wp14:anchorId="1E0FD323" wp14:editId="54BD52F1">
            <wp:extent cx="2818149" cy="1698587"/>
            <wp:effectExtent l="0" t="0" r="1270" b="16510"/>
            <wp:docPr id="193688537" name="Chart 3">
              <a:extLst xmlns:a="http://schemas.openxmlformats.org/drawingml/2006/main">
                <a:ext uri="{FF2B5EF4-FFF2-40B4-BE49-F238E27FC236}">
                  <a16:creationId xmlns:a16="http://schemas.microsoft.com/office/drawing/2014/main" id="{AF9F5AE5-3139-030E-8A88-DF349EEA04E8}"/>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2"/>
              </a:graphicData>
            </a:graphic>
          </wp:inline>
        </w:drawing>
      </w:r>
      <w:r>
        <w:rPr>
          <w:noProof/>
        </w:rPr>
        <w:drawing>
          <wp:inline distT="0" distB="0" distL="0" distR="0" wp14:anchorId="55BDA4AA" wp14:editId="3CCD4A5B">
            <wp:extent cx="2941093" cy="1705970"/>
            <wp:effectExtent l="0" t="0" r="12065" b="8890"/>
            <wp:docPr id="2140907039" name="Chart 4">
              <a:extLst xmlns:a="http://schemas.openxmlformats.org/drawingml/2006/main">
                <a:ext uri="{FF2B5EF4-FFF2-40B4-BE49-F238E27FC236}">
                  <a16:creationId xmlns:a16="http://schemas.microsoft.com/office/drawing/2014/main" id="{E23C6CA3-5692-4BE3-6E9B-CE66957ACE8D}"/>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3"/>
              </a:graphicData>
            </a:graphic>
          </wp:inline>
        </w:drawing>
      </w:r>
    </w:p>
    <w:p w14:paraId="6E1490E2" w14:textId="38ED86CC" w:rsidR="000407C1" w:rsidRDefault="00DD3408" w:rsidP="00DD3408">
      <w:pPr>
        <w:pStyle w:val="Caption"/>
      </w:pPr>
      <w:bookmarkStart w:id="8" w:name="_Ref210413614"/>
      <w:r>
        <w:t xml:space="preserve">Figure </w:t>
      </w:r>
      <w:r w:rsidR="003B287B">
        <w:fldChar w:fldCharType="begin"/>
      </w:r>
      <w:r w:rsidR="003B287B">
        <w:instrText xml:space="preserve"> STYLEREF 1 \s </w:instrText>
      </w:r>
      <w:r w:rsidR="003B287B">
        <w:fldChar w:fldCharType="separate"/>
      </w:r>
      <w:r w:rsidR="003B287B">
        <w:rPr>
          <w:noProof/>
        </w:rPr>
        <w:t>2</w:t>
      </w:r>
      <w:r w:rsidR="003B287B">
        <w:fldChar w:fldCharType="end"/>
      </w:r>
      <w:r w:rsidR="003B287B">
        <w:noBreakHyphen/>
      </w:r>
      <w:r w:rsidR="003B287B">
        <w:fldChar w:fldCharType="begin"/>
      </w:r>
      <w:r w:rsidR="003B287B">
        <w:instrText xml:space="preserve"> SEQ Figure \* ARABIC \s 1 </w:instrText>
      </w:r>
      <w:r w:rsidR="003B287B">
        <w:fldChar w:fldCharType="separate"/>
      </w:r>
      <w:r w:rsidR="003B287B">
        <w:rPr>
          <w:noProof/>
        </w:rPr>
        <w:t>3</w:t>
      </w:r>
      <w:r w:rsidR="003B287B">
        <w:fldChar w:fldCharType="end"/>
      </w:r>
      <w:bookmarkEnd w:id="8"/>
      <w:r>
        <w:t xml:space="preserve">. </w:t>
      </w:r>
      <w:r w:rsidRPr="000A12F1">
        <w:t>SGCS comparison between SQ and VQ, assuming a common backbone with output layers to support various payload (left), and assuming a common model with truncation to support various payload (right).</w:t>
      </w:r>
    </w:p>
    <w:p w14:paraId="06D1753F" w14:textId="7529CF11" w:rsidR="00691F4B" w:rsidRDefault="00392CFB" w:rsidP="00691F4B">
      <w:pPr>
        <w:pStyle w:val="Observation"/>
        <w:numPr>
          <w:ilvl w:val="0"/>
          <w:numId w:val="0"/>
        </w:numPr>
        <w:rPr>
          <w:b w:val="0"/>
          <w:bCs w:val="0"/>
          <w:i w:val="0"/>
          <w:iCs w:val="0"/>
        </w:rPr>
      </w:pPr>
      <w:r>
        <w:rPr>
          <w:b w:val="0"/>
          <w:bCs w:val="0"/>
          <w:i w:val="0"/>
          <w:iCs w:val="0"/>
        </w:rPr>
        <w:t>In general, the</w:t>
      </w:r>
      <w:r w:rsidR="00380A29">
        <w:rPr>
          <w:b w:val="0"/>
          <w:bCs w:val="0"/>
          <w:i w:val="0"/>
          <w:iCs w:val="0"/>
        </w:rPr>
        <w:t xml:space="preserve"> benefit of VQ depends on </w:t>
      </w:r>
      <w:r w:rsidR="00B54AA4">
        <w:rPr>
          <w:b w:val="0"/>
          <w:bCs w:val="0"/>
          <w:i w:val="0"/>
          <w:iCs w:val="0"/>
        </w:rPr>
        <w:t xml:space="preserve">the underlined dataset as VQ </w:t>
      </w:r>
      <w:r w:rsidR="009C6401">
        <w:rPr>
          <w:b w:val="0"/>
          <w:bCs w:val="0"/>
          <w:i w:val="0"/>
          <w:iCs w:val="0"/>
        </w:rPr>
        <w:t xml:space="preserve">should be developed </w:t>
      </w:r>
      <w:r w:rsidR="001175F9">
        <w:rPr>
          <w:b w:val="0"/>
          <w:bCs w:val="0"/>
          <w:i w:val="0"/>
          <w:iCs w:val="0"/>
        </w:rPr>
        <w:t>based on the data distribution.</w:t>
      </w:r>
      <w:r>
        <w:rPr>
          <w:b w:val="0"/>
          <w:bCs w:val="0"/>
          <w:i w:val="0"/>
          <w:iCs w:val="0"/>
        </w:rPr>
        <w:t xml:space="preserve"> This observation was captured in the TR 38.843 </w:t>
      </w:r>
      <w:r w:rsidR="00315C88">
        <w:rPr>
          <w:b w:val="0"/>
          <w:bCs w:val="0"/>
          <w:i w:val="0"/>
          <w:iCs w:val="0"/>
        </w:rPr>
        <w:t>of Rel-18 study.</w:t>
      </w:r>
      <w:r w:rsidR="001175F9">
        <w:rPr>
          <w:b w:val="0"/>
          <w:bCs w:val="0"/>
          <w:i w:val="0"/>
          <w:iCs w:val="0"/>
        </w:rPr>
        <w:t xml:space="preserve"> However, SQ</w:t>
      </w:r>
      <w:r w:rsidR="003A23CA">
        <w:rPr>
          <w:b w:val="0"/>
          <w:bCs w:val="0"/>
          <w:i w:val="0"/>
          <w:iCs w:val="0"/>
        </w:rPr>
        <w:t xml:space="preserve"> with standardized codebook</w:t>
      </w:r>
      <w:r w:rsidR="001175F9">
        <w:rPr>
          <w:b w:val="0"/>
          <w:bCs w:val="0"/>
          <w:i w:val="0"/>
          <w:iCs w:val="0"/>
        </w:rPr>
        <w:t xml:space="preserve"> </w:t>
      </w:r>
      <w:r w:rsidR="003E7FE4">
        <w:rPr>
          <w:b w:val="0"/>
          <w:bCs w:val="0"/>
          <w:i w:val="0"/>
          <w:iCs w:val="0"/>
        </w:rPr>
        <w:t xml:space="preserve">provides a robust and </w:t>
      </w:r>
      <w:r w:rsidR="00B04B8F">
        <w:rPr>
          <w:b w:val="0"/>
          <w:bCs w:val="0"/>
          <w:i w:val="0"/>
          <w:iCs w:val="0"/>
        </w:rPr>
        <w:t xml:space="preserve">low-complexity </w:t>
      </w:r>
      <w:r w:rsidR="009D5C06">
        <w:rPr>
          <w:b w:val="0"/>
          <w:bCs w:val="0"/>
          <w:i w:val="0"/>
          <w:iCs w:val="0"/>
        </w:rPr>
        <w:t xml:space="preserve">option </w:t>
      </w:r>
      <w:r w:rsidR="007832B2">
        <w:rPr>
          <w:b w:val="0"/>
          <w:bCs w:val="0"/>
          <w:i w:val="0"/>
          <w:iCs w:val="0"/>
        </w:rPr>
        <w:t xml:space="preserve">which might ensure a baseline performance in the field. </w:t>
      </w:r>
    </w:p>
    <w:p w14:paraId="154AFE37" w14:textId="5FF9B09E" w:rsidR="003A621C" w:rsidRPr="003A621C" w:rsidRDefault="003A621C" w:rsidP="009152CF">
      <w:pPr>
        <w:pStyle w:val="Observation"/>
        <w:rPr>
          <w:rStyle w:val="Strong"/>
          <w:b/>
          <w:bCs/>
        </w:rPr>
      </w:pPr>
      <w:bookmarkStart w:id="9" w:name="_Ref210414768"/>
      <w:r w:rsidRPr="003A621C">
        <w:rPr>
          <w:rStyle w:val="Strong"/>
          <w:b/>
          <w:bCs/>
        </w:rPr>
        <w:t>VQ with learnable codebook provides minor to moderate gain over SQ with learnable codebook</w:t>
      </w:r>
      <w:r>
        <w:rPr>
          <w:rStyle w:val="Strong"/>
          <w:b/>
          <w:bCs/>
        </w:rPr>
        <w:t xml:space="preserve"> depending on t</w:t>
      </w:r>
      <w:r w:rsidR="009152CF">
        <w:rPr>
          <w:rStyle w:val="Strong"/>
          <w:b/>
          <w:bCs/>
        </w:rPr>
        <w:t>he underlined dataset</w:t>
      </w:r>
      <w:r w:rsidRPr="003A621C">
        <w:rPr>
          <w:rStyle w:val="Strong"/>
          <w:b/>
          <w:bCs/>
        </w:rPr>
        <w:t>.</w:t>
      </w:r>
      <w:bookmarkEnd w:id="9"/>
      <w:r w:rsidRPr="003A621C">
        <w:rPr>
          <w:rStyle w:val="Strong"/>
          <w:b/>
          <w:bCs/>
        </w:rPr>
        <w:t xml:space="preserve"> </w:t>
      </w:r>
    </w:p>
    <w:p w14:paraId="3D0F9BE8" w14:textId="54F8FE46" w:rsidR="00FF7E6B" w:rsidRDefault="00FF7E6B" w:rsidP="00691F4B">
      <w:pPr>
        <w:pStyle w:val="Observation"/>
        <w:numPr>
          <w:ilvl w:val="0"/>
          <w:numId w:val="0"/>
        </w:numPr>
        <w:rPr>
          <w:b w:val="0"/>
          <w:bCs w:val="0"/>
          <w:i w:val="0"/>
          <w:iCs w:val="0"/>
        </w:rPr>
      </w:pPr>
      <w:r>
        <w:rPr>
          <w:b w:val="0"/>
          <w:bCs w:val="0"/>
          <w:i w:val="0"/>
          <w:iCs w:val="0"/>
        </w:rPr>
        <w:t xml:space="preserve">The choice of VQ or SQ, can be </w:t>
      </w:r>
      <w:r w:rsidR="00454659">
        <w:rPr>
          <w:b w:val="0"/>
          <w:bCs w:val="0"/>
          <w:i w:val="0"/>
          <w:iCs w:val="0"/>
        </w:rPr>
        <w:t>determined by NW vendors</w:t>
      </w:r>
      <w:r w:rsidR="00772D5F">
        <w:rPr>
          <w:b w:val="0"/>
          <w:bCs w:val="0"/>
          <w:i w:val="0"/>
          <w:iCs w:val="0"/>
        </w:rPr>
        <w:t>,</w:t>
      </w:r>
      <w:r w:rsidR="00454659">
        <w:rPr>
          <w:b w:val="0"/>
          <w:bCs w:val="0"/>
          <w:i w:val="0"/>
          <w:iCs w:val="0"/>
        </w:rPr>
        <w:t xml:space="preserve"> and exchanged to the UE</w:t>
      </w:r>
      <w:r w:rsidR="00C670FA">
        <w:rPr>
          <w:b w:val="0"/>
          <w:bCs w:val="0"/>
          <w:i w:val="0"/>
          <w:iCs w:val="0"/>
        </w:rPr>
        <w:t xml:space="preserve"> during inter-vendor collaboration.</w:t>
      </w:r>
      <w:r w:rsidR="003A5914">
        <w:rPr>
          <w:b w:val="0"/>
          <w:bCs w:val="0"/>
          <w:i w:val="0"/>
          <w:iCs w:val="0"/>
        </w:rPr>
        <w:t xml:space="preserve"> If a NW vendor trains a VQ codebook, it should exchange the </w:t>
      </w:r>
      <w:r w:rsidR="00393695">
        <w:rPr>
          <w:b w:val="0"/>
          <w:bCs w:val="0"/>
          <w:i w:val="0"/>
          <w:iCs w:val="0"/>
        </w:rPr>
        <w:t>codebook to the UE; otherwise, the standardized SQ codebook can be used.</w:t>
      </w:r>
      <w:r w:rsidR="0051228D">
        <w:rPr>
          <w:b w:val="0"/>
          <w:bCs w:val="0"/>
          <w:i w:val="0"/>
          <w:iCs w:val="0"/>
        </w:rPr>
        <w:t xml:space="preserve"> From this perspective, </w:t>
      </w:r>
      <w:r w:rsidR="00851E46">
        <w:rPr>
          <w:b w:val="0"/>
          <w:bCs w:val="0"/>
          <w:i w:val="0"/>
          <w:iCs w:val="0"/>
        </w:rPr>
        <w:t xml:space="preserve">no additional </w:t>
      </w:r>
      <w:r w:rsidR="00BA6C0A">
        <w:rPr>
          <w:b w:val="0"/>
          <w:bCs w:val="0"/>
          <w:i w:val="0"/>
          <w:iCs w:val="0"/>
        </w:rPr>
        <w:t>configuration is needed in the CSI report, and the choice of VQ and SQ in the inference can be conveyed by the pairing ID.</w:t>
      </w:r>
      <w:r w:rsidR="00B038D4">
        <w:rPr>
          <w:b w:val="0"/>
          <w:bCs w:val="0"/>
          <w:i w:val="0"/>
          <w:iCs w:val="0"/>
        </w:rPr>
        <w:t xml:space="preserve"> The payload size </w:t>
      </w:r>
      <w:r w:rsidR="00432C19">
        <w:rPr>
          <w:b w:val="0"/>
          <w:bCs w:val="0"/>
          <w:i w:val="0"/>
          <w:iCs w:val="0"/>
        </w:rPr>
        <w:t xml:space="preserve">is also invariant to the VQ or SQ, but only </w:t>
      </w:r>
      <w:r w:rsidR="00206BF2">
        <w:rPr>
          <w:b w:val="0"/>
          <w:bCs w:val="0"/>
          <w:i w:val="0"/>
          <w:iCs w:val="0"/>
        </w:rPr>
        <w:t>dependent on latent dimension if considering L=2 and Q=4 for VQ while L=1 and Q=2 for SQ.</w:t>
      </w:r>
    </w:p>
    <w:p w14:paraId="524E1A1D" w14:textId="13BE53F5" w:rsidR="00306260" w:rsidRPr="00306260" w:rsidRDefault="00306260" w:rsidP="00691F4B">
      <w:pPr>
        <w:pStyle w:val="Observation"/>
        <w:numPr>
          <w:ilvl w:val="0"/>
          <w:numId w:val="0"/>
        </w:numPr>
        <w:rPr>
          <w:rStyle w:val="Strong"/>
          <w:b/>
          <w:bCs/>
          <w:i w:val="0"/>
          <w:iCs w:val="0"/>
        </w:rPr>
      </w:pPr>
      <w:r>
        <w:rPr>
          <w:b w:val="0"/>
          <w:bCs w:val="0"/>
          <w:i w:val="0"/>
          <w:iCs w:val="0"/>
        </w:rPr>
        <w:t>T</w:t>
      </w:r>
      <w:r w:rsidRPr="00306260">
        <w:rPr>
          <w:b w:val="0"/>
          <w:bCs w:val="0"/>
          <w:i w:val="0"/>
          <w:iCs w:val="0"/>
        </w:rPr>
        <w:t>he necessity of specific codebook per subband, port configuration or per layer or per rank needs clear justification. To relax training effort and reduce implementation cost, it is worth noting that common codebook per pairing ID is preferred, i.e., common codebook agnostic to subband configuration, port configuration and payload configuration. Moreover, a common codebook should be adopted for each layer of each rank, and even each segment or scalar</w:t>
      </w:r>
    </w:p>
    <w:p w14:paraId="2001C5D9" w14:textId="5FE1C8CB" w:rsidR="002F516B" w:rsidRDefault="007A5A2E" w:rsidP="002F516B">
      <w:pPr>
        <w:pStyle w:val="Proposal"/>
      </w:pPr>
      <w:bookmarkStart w:id="10" w:name="_Ref210387411"/>
      <w:r>
        <w:t>Support both VQ</w:t>
      </w:r>
      <w:r w:rsidR="0030059B">
        <w:t xml:space="preserve"> </w:t>
      </w:r>
      <w:r w:rsidR="002243BC">
        <w:t xml:space="preserve">and SQ </w:t>
      </w:r>
      <w:r w:rsidR="0030059B">
        <w:t>with exchanged codebook</w:t>
      </w:r>
      <w:r>
        <w:t xml:space="preserve"> </w:t>
      </w:r>
      <w:r w:rsidR="0030059B">
        <w:t>and SQ with standardized</w:t>
      </w:r>
      <w:r w:rsidR="003323B8">
        <w:t xml:space="preserve"> codebook</w:t>
      </w:r>
      <w:bookmarkEnd w:id="10"/>
      <w:r w:rsidR="00386BE2">
        <w:t xml:space="preserve"> in the following mechanism</w:t>
      </w:r>
    </w:p>
    <w:p w14:paraId="146C61C2" w14:textId="77777777" w:rsidR="006A3EE6" w:rsidRDefault="00E824A1" w:rsidP="00304C8B">
      <w:pPr>
        <w:pStyle w:val="Proposal"/>
        <w:numPr>
          <w:ilvl w:val="0"/>
          <w:numId w:val="14"/>
        </w:numPr>
      </w:pPr>
      <w:r>
        <w:t xml:space="preserve">For a certain </w:t>
      </w:r>
      <w:r w:rsidR="0037192F">
        <w:t xml:space="preserve">pairing ID, </w:t>
      </w:r>
      <w:r w:rsidR="005F29C7">
        <w:t xml:space="preserve">only </w:t>
      </w:r>
      <w:r w:rsidR="00386BE2">
        <w:t>SQ or VQ</w:t>
      </w:r>
      <w:r w:rsidR="00A01433">
        <w:t xml:space="preserve"> </w:t>
      </w:r>
      <w:r w:rsidR="005F29C7">
        <w:t>is supported</w:t>
      </w:r>
      <w:r w:rsidR="006A3EE6">
        <w:t>, but not both</w:t>
      </w:r>
    </w:p>
    <w:p w14:paraId="1AA5766B" w14:textId="3D1BFF6C" w:rsidR="00B67B63" w:rsidRDefault="006A3EE6" w:rsidP="00304C8B">
      <w:pPr>
        <w:pStyle w:val="Proposal"/>
        <w:numPr>
          <w:ilvl w:val="0"/>
          <w:numId w:val="14"/>
        </w:numPr>
      </w:pPr>
      <w:r>
        <w:t xml:space="preserve">For a certain pairing ID, </w:t>
      </w:r>
      <w:r w:rsidR="00DF623A">
        <w:t xml:space="preserve">NW exchanges the codebook of either SQ or VQ; </w:t>
      </w:r>
      <w:r>
        <w:t xml:space="preserve">if NW does not exchange </w:t>
      </w:r>
      <w:r w:rsidR="00B67B63">
        <w:t>any codebook,</w:t>
      </w:r>
      <w:r w:rsidR="00B67B63" w:rsidRPr="00B67B63">
        <w:t xml:space="preserve"> </w:t>
      </w:r>
      <w:r w:rsidR="00B67B63">
        <w:t xml:space="preserve">the standardized SQ codebook is used </w:t>
      </w:r>
    </w:p>
    <w:p w14:paraId="385E6889" w14:textId="4738CC8F" w:rsidR="00534A36" w:rsidRDefault="00661847" w:rsidP="002F516B">
      <w:pPr>
        <w:pStyle w:val="Proposal"/>
      </w:pPr>
      <w:bookmarkStart w:id="11" w:name="_Ref210387417"/>
      <w:r>
        <w:lastRenderedPageBreak/>
        <w:t>For the</w:t>
      </w:r>
      <w:r w:rsidR="007E1C93">
        <w:t xml:space="preserve"> payload configurations for VQ and SQ</w:t>
      </w:r>
      <w:bookmarkEnd w:id="11"/>
    </w:p>
    <w:p w14:paraId="7F0FC9D4" w14:textId="520911A7" w:rsidR="002F516B" w:rsidRDefault="00C441A0" w:rsidP="00304C8B">
      <w:pPr>
        <w:pStyle w:val="Proposal"/>
        <w:numPr>
          <w:ilvl w:val="0"/>
          <w:numId w:val="11"/>
        </w:numPr>
      </w:pPr>
      <w:r>
        <w:t>For</w:t>
      </w:r>
      <w:r w:rsidR="002F516B">
        <w:t xml:space="preserve"> VQ, support fixed segment size </w:t>
      </w:r>
      <m:oMath>
        <m:r>
          <m:rPr>
            <m:sty m:val="bi"/>
          </m:rPr>
          <w:rPr>
            <w:rFonts w:ascii="Cambria Math" w:hAnsi="Cambria Math"/>
          </w:rPr>
          <m:t>L=2</m:t>
        </m:r>
      </m:oMath>
      <w:r w:rsidR="002F516B">
        <w:t xml:space="preserve"> and codebook size with </w:t>
      </w:r>
      <m:oMath>
        <m:r>
          <m:rPr>
            <m:sty m:val="bi"/>
          </m:rPr>
          <w:rPr>
            <w:rFonts w:ascii="Cambria Math" w:hAnsi="Cambria Math"/>
          </w:rPr>
          <m:t>Q=4</m:t>
        </m:r>
      </m:oMath>
      <w:r w:rsidR="002F516B">
        <w:t xml:space="preserve"> bits per segment. </w:t>
      </w:r>
    </w:p>
    <w:p w14:paraId="1BBECC78" w14:textId="054887BF" w:rsidR="002F516B" w:rsidRDefault="00B15294" w:rsidP="00304C8B">
      <w:pPr>
        <w:pStyle w:val="Proposal"/>
        <w:numPr>
          <w:ilvl w:val="0"/>
          <w:numId w:val="11"/>
        </w:numPr>
      </w:pPr>
      <w:r>
        <w:t>For</w:t>
      </w:r>
      <w:r w:rsidR="002F516B">
        <w:t xml:space="preserve"> SQ, support </w:t>
      </w:r>
      <m:oMath>
        <m:r>
          <m:rPr>
            <m:sty m:val="bi"/>
          </m:rPr>
          <w:rPr>
            <w:rFonts w:ascii="Cambria Math" w:hAnsi="Cambria Math"/>
          </w:rPr>
          <m:t>Q=2</m:t>
        </m:r>
      </m:oMath>
      <w:r w:rsidR="002F516B">
        <w:t xml:space="preserve"> per scalar</w:t>
      </w:r>
      <w:r w:rsidR="00FE6CB0">
        <w:t>.</w:t>
      </w:r>
    </w:p>
    <w:p w14:paraId="5297BB73" w14:textId="21CA2FAD" w:rsidR="0018650E" w:rsidRDefault="002F516B" w:rsidP="00304C8B">
      <w:pPr>
        <w:pStyle w:val="Proposal"/>
        <w:numPr>
          <w:ilvl w:val="0"/>
          <w:numId w:val="11"/>
        </w:numPr>
      </w:pPr>
      <w:r>
        <w:t>Support common codebooks for all</w:t>
      </w:r>
      <w:r w:rsidR="00CD727E">
        <w:t xml:space="preserve"> segments / scalars and for all</w:t>
      </w:r>
      <w:r>
        <w:t xml:space="preserve"> payload options</w:t>
      </w:r>
      <w:r w:rsidR="00FE6CB0">
        <w:t>.</w:t>
      </w:r>
    </w:p>
    <w:p w14:paraId="13785020" w14:textId="77777777" w:rsidR="006817A9" w:rsidRDefault="006817A9" w:rsidP="0027322B"/>
    <w:p w14:paraId="5D04E63E" w14:textId="7EFC3470" w:rsidR="002F516B" w:rsidRPr="000713D9" w:rsidRDefault="00C71AA0" w:rsidP="0027322B">
      <w:pPr>
        <w:rPr>
          <w:b/>
          <w:bCs/>
          <w:u w:val="single"/>
        </w:rPr>
      </w:pPr>
      <w:r w:rsidRPr="000713D9">
        <w:rPr>
          <w:b/>
          <w:bCs/>
          <w:u w:val="single"/>
        </w:rPr>
        <w:t xml:space="preserve">Step 4: </w:t>
      </w:r>
      <w:r w:rsidR="006817A9" w:rsidRPr="000713D9">
        <w:rPr>
          <w:b/>
          <w:bCs/>
          <w:u w:val="single"/>
        </w:rPr>
        <w:t>How many per-layer pair / triplets are needed</w:t>
      </w:r>
    </w:p>
    <w:p w14:paraId="278A6EEB" w14:textId="47D4C824" w:rsidR="000713D9" w:rsidRDefault="00FF23F0" w:rsidP="00C3288E">
      <w:r>
        <w:rPr>
          <w:noProof/>
        </w:rPr>
        <w:t>As elaborated in the beginning of this section, c</w:t>
      </w:r>
      <w:r w:rsidR="000763FD">
        <w:rPr>
          <w:noProof/>
        </w:rPr>
        <w:t>onsidering</w:t>
      </w:r>
      <w:r w:rsidR="008754E5">
        <w:rPr>
          <w:noProof/>
        </w:rPr>
        <w:t xml:space="preserve"> </w:t>
      </w:r>
      <w:r w:rsidR="008754E5">
        <w:rPr>
          <w:szCs w:val="20"/>
        </w:rPr>
        <w:t>the challenge to support arbitrary number of per-layer pairs/triplets using a rank-common and layer-common model</w:t>
      </w:r>
      <w:r>
        <w:rPr>
          <w:szCs w:val="20"/>
        </w:rPr>
        <w:t xml:space="preserve">, it is essential to limit the number of </w:t>
      </w:r>
      <w:r w:rsidR="00832E85">
        <w:rPr>
          <w:szCs w:val="20"/>
        </w:rPr>
        <w:t xml:space="preserve">per-layer parameter pairs </w:t>
      </w:r>
      <w:r w:rsidR="00BB610B">
        <w:rPr>
          <w:szCs w:val="20"/>
        </w:rPr>
        <w:t xml:space="preserve">across all layers and ranks. In our view, it is sufficient to </w:t>
      </w:r>
      <w:r w:rsidR="00954237">
        <w:rPr>
          <w:szCs w:val="20"/>
        </w:rPr>
        <w:t xml:space="preserve">take </w:t>
      </w:r>
      <m:oMath>
        <m:r>
          <w:rPr>
            <w:rFonts w:ascii="Cambria Math" w:hAnsi="Cambria Math"/>
            <w:szCs w:val="20"/>
          </w:rPr>
          <m:t>N=5</m:t>
        </m:r>
      </m:oMath>
      <w:r w:rsidR="00954237">
        <w:rPr>
          <w:szCs w:val="20"/>
        </w:rPr>
        <w:t xml:space="preserve"> candidates of</w:t>
      </w:r>
      <w:r w:rsidR="00BB610B">
        <w:rPr>
          <w:szCs w:val="20"/>
        </w:rPr>
        <w:t xml:space="preserve"> </w:t>
      </w:r>
      <m:oMath>
        <m:r>
          <m:rPr>
            <m:sty m:val="p"/>
          </m:rPr>
          <w:rPr>
            <w:rFonts w:ascii="Cambria Math" w:hAnsi="Cambria Math"/>
          </w:rPr>
          <m:t>d={32,64,96,128,192}</m:t>
        </m:r>
      </m:oMath>
      <w:r w:rsidR="00954237">
        <w:t xml:space="preserve"> and </w:t>
      </w:r>
      <m:oMath>
        <m:r>
          <w:rPr>
            <w:rFonts w:ascii="Cambria Math" w:hAnsi="Cambria Math"/>
          </w:rPr>
          <m:t>Q=2</m:t>
        </m:r>
      </m:oMath>
      <w:r w:rsidR="00954237">
        <w:t xml:space="preserve"> for SQ into the next stage of determining the parameters combinations across layers / ranks</w:t>
      </w:r>
      <w:r w:rsidR="00824468">
        <w:t xml:space="preserve">. </w:t>
      </w:r>
      <w:r w:rsidR="00E532C0">
        <w:t xml:space="preserve">These 5 options provide sufficient coverage from low to </w:t>
      </w:r>
      <w:r w:rsidR="00C3288E">
        <w:t xml:space="preserve">high payload regime. </w:t>
      </w:r>
      <w:r w:rsidR="00824468">
        <w:t xml:space="preserve">More than these </w:t>
      </w:r>
      <m:oMath>
        <m:r>
          <w:rPr>
            <w:rFonts w:ascii="Cambria Math" w:hAnsi="Cambria Math"/>
          </w:rPr>
          <m:t>N=5</m:t>
        </m:r>
      </m:oMath>
      <w:r w:rsidR="00824468">
        <w:t xml:space="preserve"> options may incur large degradation and the necessity needs clear and strong justification.</w:t>
      </w:r>
    </w:p>
    <w:p w14:paraId="64475D01" w14:textId="7DADD471" w:rsidR="00C36241" w:rsidRPr="00B926EF" w:rsidRDefault="00C36241" w:rsidP="00952B6C">
      <w:pPr>
        <w:pStyle w:val="Proposal"/>
      </w:pPr>
      <w:bookmarkStart w:id="12" w:name="_Ref213431484"/>
      <w:r>
        <w:t xml:space="preserve">Support </w:t>
      </w:r>
      <w:r w:rsidR="00F909DD">
        <w:t>N=</w:t>
      </w:r>
      <w:r w:rsidR="004403B9">
        <w:t>4 or 5</w:t>
      </w:r>
      <w:r w:rsidR="00F909DD">
        <w:t xml:space="preserve"> per-layer pairs / triplets </w:t>
      </w:r>
      <m:oMath>
        <m:r>
          <m:rPr>
            <m:sty m:val="bi"/>
          </m:rPr>
          <w:rPr>
            <w:rFonts w:ascii="Cambria Math" w:hAnsi="Cambria Math"/>
          </w:rPr>
          <m:t>d={32,64,96,128,192}</m:t>
        </m:r>
      </m:oMath>
      <w:r w:rsidR="00C3288E">
        <w:t xml:space="preserve"> as candidates for determining the parameter combinations across layers and ranks.</w:t>
      </w:r>
      <w:bookmarkEnd w:id="12"/>
    </w:p>
    <w:p w14:paraId="40DCEA66" w14:textId="5A259B66" w:rsidR="00FA5753" w:rsidRDefault="00FA5753" w:rsidP="00AA6932">
      <w:pPr>
        <w:pStyle w:val="Heading2"/>
      </w:pPr>
      <w:r>
        <w:t xml:space="preserve">Payload </w:t>
      </w:r>
      <w:r w:rsidR="00E72877">
        <w:t xml:space="preserve">parameter </w:t>
      </w:r>
      <w:r w:rsidR="00EE0411">
        <w:t>combination across layers</w:t>
      </w:r>
      <w:r>
        <w:t xml:space="preserve"> </w:t>
      </w:r>
      <w:r w:rsidR="003F6EF3">
        <w:t>and ranks</w:t>
      </w:r>
    </w:p>
    <w:p w14:paraId="33D66150" w14:textId="5A4327FA" w:rsidR="00F223A2" w:rsidRPr="00557817" w:rsidRDefault="002F3D04" w:rsidP="00E34537">
      <w:r>
        <w:t xml:space="preserve">With above discussion, </w:t>
      </w:r>
      <w:r w:rsidR="00C4518E">
        <w:t>let us consider</w:t>
      </w:r>
      <w:r w:rsidR="00E77711">
        <w:t xml:space="preserve"> </w:t>
      </w:r>
      <w:r w:rsidR="00F03502">
        <w:t>Y</w:t>
      </w:r>
      <w:r w:rsidR="004D64B2">
        <w:t>&lt;=</w:t>
      </w:r>
      <w:r w:rsidR="000D6546">
        <w:t>N=</w:t>
      </w:r>
      <w:r w:rsidR="00E77711">
        <w:t>5</w:t>
      </w:r>
      <w:r w:rsidR="000D6546">
        <w:t xml:space="preserve"> payload parameter combinations </w:t>
      </w:r>
      <w:r w:rsidR="00E77711">
        <w:t>as a starting point</w:t>
      </w:r>
      <w:r w:rsidR="00BF271C">
        <w:t xml:space="preserve"> as presented in </w:t>
      </w:r>
      <w:r w:rsidR="0029528D">
        <w:fldChar w:fldCharType="begin"/>
      </w:r>
      <w:r w:rsidR="0029528D">
        <w:instrText xml:space="preserve"> REF _Ref213422325 \h </w:instrText>
      </w:r>
      <w:r w:rsidR="0029528D">
        <w:fldChar w:fldCharType="separate"/>
      </w:r>
      <w:r w:rsidR="0029528D">
        <w:t xml:space="preserve">Table </w:t>
      </w:r>
      <w:r w:rsidR="0029528D">
        <w:rPr>
          <w:noProof/>
        </w:rPr>
        <w:t>2</w:t>
      </w:r>
      <w:r w:rsidR="0029528D">
        <w:noBreakHyphen/>
      </w:r>
      <w:r w:rsidR="0029528D">
        <w:rPr>
          <w:noProof/>
        </w:rPr>
        <w:t>1</w:t>
      </w:r>
      <w:r w:rsidR="0029528D">
        <w:fldChar w:fldCharType="end"/>
      </w:r>
      <w:r w:rsidR="00E77711">
        <w:t xml:space="preserve">. </w:t>
      </w:r>
      <w:r w:rsidR="00AF0354">
        <w:t xml:space="preserve">In the last meeting, it was agreed that layer-common and rank-common payload is employed for rank 1 and rank 2, it remains </w:t>
      </w:r>
      <w:r w:rsidR="00717E7F">
        <w:t>to decide the how to split the payload across layers for rank 3 and rank 4</w:t>
      </w:r>
      <w:r w:rsidR="000D6546">
        <w:t>.</w:t>
      </w:r>
    </w:p>
    <w:p w14:paraId="626BF358" w14:textId="003677E8" w:rsidR="00506D43" w:rsidRDefault="00506D43" w:rsidP="00506D43">
      <w:pPr>
        <w:pStyle w:val="Caption"/>
        <w:keepNext/>
      </w:pPr>
      <w:bookmarkStart w:id="13" w:name="_Ref213422325"/>
      <w:r>
        <w:t xml:space="preserve">Table </w:t>
      </w:r>
      <w:r w:rsidR="00407517">
        <w:fldChar w:fldCharType="begin"/>
      </w:r>
      <w:r w:rsidR="00407517">
        <w:instrText xml:space="preserve"> STYLEREF 1 \s </w:instrText>
      </w:r>
      <w:r w:rsidR="00407517">
        <w:fldChar w:fldCharType="separate"/>
      </w:r>
      <w:r w:rsidR="00407517">
        <w:rPr>
          <w:noProof/>
        </w:rPr>
        <w:t>2</w:t>
      </w:r>
      <w:r w:rsidR="00407517">
        <w:fldChar w:fldCharType="end"/>
      </w:r>
      <w:r w:rsidR="00407517">
        <w:noBreakHyphen/>
      </w:r>
      <w:r w:rsidR="00407517">
        <w:fldChar w:fldCharType="begin"/>
      </w:r>
      <w:r w:rsidR="00407517">
        <w:instrText xml:space="preserve"> SEQ Table \* ARABIC \s 1 </w:instrText>
      </w:r>
      <w:r w:rsidR="00407517">
        <w:fldChar w:fldCharType="separate"/>
      </w:r>
      <w:r w:rsidR="00407517">
        <w:rPr>
          <w:noProof/>
        </w:rPr>
        <w:t>1</w:t>
      </w:r>
      <w:r w:rsidR="00407517">
        <w:fldChar w:fldCharType="end"/>
      </w:r>
      <w:bookmarkEnd w:id="13"/>
      <w:r>
        <w:t xml:space="preserve">. Initial table with 5 PCs </w:t>
      </w:r>
      <w:r w:rsidR="0029528D">
        <w:t>with Rank 1 and Rank 2 per-layer parameter pairs filled in.</w:t>
      </w:r>
    </w:p>
    <w:tbl>
      <w:tblPr>
        <w:tblStyle w:val="TableGrid"/>
        <w:tblW w:w="9270"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0"/>
        <w:gridCol w:w="1170"/>
        <w:gridCol w:w="2430"/>
        <w:gridCol w:w="1890"/>
        <w:gridCol w:w="2880"/>
      </w:tblGrid>
      <w:tr w:rsidR="003E0A4F" w:rsidRPr="0015359D" w14:paraId="07193E7D" w14:textId="77777777" w:rsidTr="008754E5">
        <w:tc>
          <w:tcPr>
            <w:tcW w:w="900" w:type="dxa"/>
          </w:tcPr>
          <w:p w14:paraId="3104454A" w14:textId="18EB61E1" w:rsidR="000D6546" w:rsidRPr="0015359D" w:rsidRDefault="00995990" w:rsidP="001B10F9">
            <w:r>
              <w:t>SQ table</w:t>
            </w:r>
          </w:p>
        </w:tc>
        <w:tc>
          <w:tcPr>
            <w:tcW w:w="1170" w:type="dxa"/>
          </w:tcPr>
          <w:p w14:paraId="0BE30758" w14:textId="77777777" w:rsidR="000D6546" w:rsidRPr="0015359D" w:rsidRDefault="000D6546" w:rsidP="001B10F9">
            <w:r w:rsidRPr="0015359D">
              <w:t>Rank1</w:t>
            </w:r>
          </w:p>
        </w:tc>
        <w:tc>
          <w:tcPr>
            <w:tcW w:w="2430" w:type="dxa"/>
          </w:tcPr>
          <w:p w14:paraId="1F9D7E2F" w14:textId="77777777" w:rsidR="000D6546" w:rsidRPr="0015359D" w:rsidRDefault="000D6546" w:rsidP="001B10F9">
            <w:r w:rsidRPr="0015359D">
              <w:t>Rank2</w:t>
            </w:r>
          </w:p>
        </w:tc>
        <w:tc>
          <w:tcPr>
            <w:tcW w:w="1890" w:type="dxa"/>
          </w:tcPr>
          <w:p w14:paraId="77FE81ED" w14:textId="77777777" w:rsidR="000D6546" w:rsidRPr="0015359D" w:rsidRDefault="000D6546" w:rsidP="001B10F9">
            <w:r w:rsidRPr="0015359D">
              <w:t>Rank3</w:t>
            </w:r>
          </w:p>
        </w:tc>
        <w:tc>
          <w:tcPr>
            <w:tcW w:w="2880" w:type="dxa"/>
          </w:tcPr>
          <w:p w14:paraId="79CB4B6B" w14:textId="77777777" w:rsidR="000D6546" w:rsidRPr="0015359D" w:rsidRDefault="000D6546" w:rsidP="001B10F9">
            <w:r w:rsidRPr="0015359D">
              <w:t>Rank4</w:t>
            </w:r>
          </w:p>
        </w:tc>
      </w:tr>
      <w:tr w:rsidR="003E0A4F" w:rsidRPr="0015359D" w14:paraId="425851A5" w14:textId="77777777" w:rsidTr="008754E5">
        <w:tc>
          <w:tcPr>
            <w:tcW w:w="900" w:type="dxa"/>
          </w:tcPr>
          <w:p w14:paraId="6E7EE333" w14:textId="77777777" w:rsidR="000D6546" w:rsidRPr="0015359D" w:rsidRDefault="000D6546" w:rsidP="001B10F9">
            <w:r w:rsidRPr="0015359D">
              <w:rPr>
                <w:rFonts w:hint="eastAsia"/>
              </w:rPr>
              <w:t>P</w:t>
            </w:r>
            <w:r w:rsidRPr="0015359D">
              <w:t>C1</w:t>
            </w:r>
          </w:p>
        </w:tc>
        <w:tc>
          <w:tcPr>
            <w:tcW w:w="1170" w:type="dxa"/>
          </w:tcPr>
          <w:p w14:paraId="14DF18A9" w14:textId="3697B9D6" w:rsidR="000D6546" w:rsidRPr="0015359D" w:rsidRDefault="000D6546" w:rsidP="001B10F9">
            <w:r>
              <w:t>{32, 2}</w:t>
            </w:r>
          </w:p>
        </w:tc>
        <w:tc>
          <w:tcPr>
            <w:tcW w:w="2430" w:type="dxa"/>
          </w:tcPr>
          <w:p w14:paraId="4DC1CC0F" w14:textId="22EBD27F" w:rsidR="000D6546" w:rsidRPr="0015359D" w:rsidRDefault="000D6546" w:rsidP="001B10F9">
            <w:r>
              <w:t>{32, 2}, {32, 2}</w:t>
            </w:r>
          </w:p>
        </w:tc>
        <w:tc>
          <w:tcPr>
            <w:tcW w:w="1890" w:type="dxa"/>
          </w:tcPr>
          <w:p w14:paraId="1EBE2BED" w14:textId="77777777" w:rsidR="000D6546" w:rsidRPr="0015359D" w:rsidRDefault="000D6546" w:rsidP="001B10F9">
            <w:r w:rsidRPr="0015359D">
              <w:t>X1_31, X1_32, X1_33</w:t>
            </w:r>
          </w:p>
        </w:tc>
        <w:tc>
          <w:tcPr>
            <w:tcW w:w="2880" w:type="dxa"/>
          </w:tcPr>
          <w:p w14:paraId="00A7D9B9" w14:textId="77777777" w:rsidR="000D6546" w:rsidRPr="0015359D" w:rsidRDefault="000D6546" w:rsidP="001B10F9">
            <w:r w:rsidRPr="0015359D">
              <w:t>X1_41, X1_42, X1_43, X1_44</w:t>
            </w:r>
          </w:p>
        </w:tc>
      </w:tr>
      <w:tr w:rsidR="003E0A4F" w:rsidRPr="0015359D" w14:paraId="4E1F3AB1" w14:textId="77777777" w:rsidTr="008754E5">
        <w:tc>
          <w:tcPr>
            <w:tcW w:w="900" w:type="dxa"/>
          </w:tcPr>
          <w:p w14:paraId="5140ECB3" w14:textId="77777777" w:rsidR="000D6546" w:rsidRPr="0015359D" w:rsidRDefault="000D6546" w:rsidP="001B10F9">
            <w:r w:rsidRPr="0015359D">
              <w:rPr>
                <w:rFonts w:hint="eastAsia"/>
              </w:rPr>
              <w:t>P</w:t>
            </w:r>
            <w:r w:rsidRPr="0015359D">
              <w:t>C2</w:t>
            </w:r>
          </w:p>
        </w:tc>
        <w:tc>
          <w:tcPr>
            <w:tcW w:w="1170" w:type="dxa"/>
          </w:tcPr>
          <w:p w14:paraId="42C57874" w14:textId="6E62ED74" w:rsidR="000D6546" w:rsidRPr="0015359D" w:rsidRDefault="005D41BD" w:rsidP="001B10F9">
            <w:r>
              <w:t>{64, 2}</w:t>
            </w:r>
          </w:p>
        </w:tc>
        <w:tc>
          <w:tcPr>
            <w:tcW w:w="2430" w:type="dxa"/>
          </w:tcPr>
          <w:p w14:paraId="2CAAC36C" w14:textId="244C33FC" w:rsidR="000D6546" w:rsidRPr="0015359D" w:rsidRDefault="005D41BD" w:rsidP="001B10F9">
            <w:r>
              <w:t>{64, 2}, {64, 2}</w:t>
            </w:r>
          </w:p>
        </w:tc>
        <w:tc>
          <w:tcPr>
            <w:tcW w:w="1890" w:type="dxa"/>
          </w:tcPr>
          <w:p w14:paraId="2E17D270" w14:textId="77777777" w:rsidR="000D6546" w:rsidRPr="0015359D" w:rsidRDefault="000D6546" w:rsidP="001B10F9">
            <w:r w:rsidRPr="0015359D">
              <w:t>X2_31, X2_32, X2_33</w:t>
            </w:r>
          </w:p>
        </w:tc>
        <w:tc>
          <w:tcPr>
            <w:tcW w:w="2880" w:type="dxa"/>
          </w:tcPr>
          <w:p w14:paraId="62F0E21C" w14:textId="77777777" w:rsidR="000D6546" w:rsidRPr="0015359D" w:rsidRDefault="000D6546" w:rsidP="001B10F9">
            <w:r w:rsidRPr="0015359D">
              <w:t>X2_41, X2_42, X2_43, X2_44</w:t>
            </w:r>
          </w:p>
        </w:tc>
      </w:tr>
      <w:tr w:rsidR="003E0A4F" w:rsidRPr="0015359D" w14:paraId="71AE592A" w14:textId="77777777" w:rsidTr="008754E5">
        <w:tc>
          <w:tcPr>
            <w:tcW w:w="900" w:type="dxa"/>
          </w:tcPr>
          <w:p w14:paraId="1F1B6F12" w14:textId="0112179D" w:rsidR="00C32F4E" w:rsidRPr="0015359D" w:rsidRDefault="00C32F4E" w:rsidP="00C32F4E">
            <w:r w:rsidRPr="0015359D">
              <w:rPr>
                <w:rFonts w:hint="eastAsia"/>
              </w:rPr>
              <w:t>P</w:t>
            </w:r>
            <w:r w:rsidRPr="0015359D">
              <w:t>C</w:t>
            </w:r>
            <w:r>
              <w:t>3</w:t>
            </w:r>
          </w:p>
        </w:tc>
        <w:tc>
          <w:tcPr>
            <w:tcW w:w="1170" w:type="dxa"/>
          </w:tcPr>
          <w:p w14:paraId="7A80C60D" w14:textId="45F0F307" w:rsidR="00C32F4E" w:rsidRPr="0015359D" w:rsidRDefault="00C32F4E" w:rsidP="00C32F4E">
            <w:r>
              <w:t>{96, 2}</w:t>
            </w:r>
          </w:p>
        </w:tc>
        <w:tc>
          <w:tcPr>
            <w:tcW w:w="2430" w:type="dxa"/>
          </w:tcPr>
          <w:p w14:paraId="393AC99F" w14:textId="5210B47C" w:rsidR="00C32F4E" w:rsidRPr="0015359D" w:rsidRDefault="00C32F4E" w:rsidP="00C32F4E">
            <w:r>
              <w:t>{96, 2}, {96, 2}</w:t>
            </w:r>
          </w:p>
        </w:tc>
        <w:tc>
          <w:tcPr>
            <w:tcW w:w="1890" w:type="dxa"/>
          </w:tcPr>
          <w:p w14:paraId="1F55BDFE" w14:textId="591971EE" w:rsidR="00C32F4E" w:rsidRPr="0015359D" w:rsidRDefault="00C32F4E" w:rsidP="00C32F4E">
            <w:r w:rsidRPr="0015359D">
              <w:t>X</w:t>
            </w:r>
            <w:r w:rsidR="000B42CF">
              <w:t>3</w:t>
            </w:r>
            <w:r w:rsidRPr="0015359D">
              <w:t>_31, X</w:t>
            </w:r>
            <w:r w:rsidR="000B42CF">
              <w:t>3</w:t>
            </w:r>
            <w:r w:rsidRPr="0015359D">
              <w:t>_32, X</w:t>
            </w:r>
            <w:r w:rsidR="000B42CF">
              <w:t>3</w:t>
            </w:r>
            <w:r w:rsidRPr="0015359D">
              <w:t>_33</w:t>
            </w:r>
          </w:p>
        </w:tc>
        <w:tc>
          <w:tcPr>
            <w:tcW w:w="2880" w:type="dxa"/>
          </w:tcPr>
          <w:p w14:paraId="37667BF6" w14:textId="415B0D1B" w:rsidR="00C32F4E" w:rsidRPr="0015359D" w:rsidRDefault="00C32F4E" w:rsidP="00C32F4E">
            <w:r w:rsidRPr="0015359D">
              <w:t>X</w:t>
            </w:r>
            <w:r w:rsidR="000B42CF">
              <w:t>3</w:t>
            </w:r>
            <w:r w:rsidRPr="0015359D">
              <w:t>_41, X</w:t>
            </w:r>
            <w:r w:rsidR="000B42CF">
              <w:t>3</w:t>
            </w:r>
            <w:r w:rsidRPr="0015359D">
              <w:t>_42, X</w:t>
            </w:r>
            <w:r w:rsidR="000B42CF">
              <w:t>3</w:t>
            </w:r>
            <w:r w:rsidRPr="0015359D">
              <w:t>_43, X</w:t>
            </w:r>
            <w:r w:rsidR="000B42CF">
              <w:t>3</w:t>
            </w:r>
            <w:r w:rsidRPr="0015359D">
              <w:t>_44</w:t>
            </w:r>
          </w:p>
        </w:tc>
      </w:tr>
      <w:tr w:rsidR="00C32F4E" w:rsidRPr="0015359D" w14:paraId="4D39851E" w14:textId="77777777" w:rsidTr="008754E5">
        <w:tc>
          <w:tcPr>
            <w:tcW w:w="900" w:type="dxa"/>
          </w:tcPr>
          <w:p w14:paraId="0ED9DA29" w14:textId="30BBCF4B" w:rsidR="00C32F4E" w:rsidRPr="0015359D" w:rsidRDefault="00C32F4E" w:rsidP="00C32F4E">
            <w:r w:rsidRPr="0015359D">
              <w:rPr>
                <w:rFonts w:hint="eastAsia"/>
              </w:rPr>
              <w:t>P</w:t>
            </w:r>
            <w:r w:rsidRPr="0015359D">
              <w:t>C</w:t>
            </w:r>
            <w:r>
              <w:t>4</w:t>
            </w:r>
          </w:p>
        </w:tc>
        <w:tc>
          <w:tcPr>
            <w:tcW w:w="1170" w:type="dxa"/>
          </w:tcPr>
          <w:p w14:paraId="569305E0" w14:textId="4C185FCE" w:rsidR="00C32F4E" w:rsidRDefault="00C32F4E" w:rsidP="00C32F4E">
            <w:r>
              <w:t>{128, 2}</w:t>
            </w:r>
          </w:p>
        </w:tc>
        <w:tc>
          <w:tcPr>
            <w:tcW w:w="2430" w:type="dxa"/>
          </w:tcPr>
          <w:p w14:paraId="615537F1" w14:textId="33D43D9F" w:rsidR="00C32F4E" w:rsidRDefault="00C32F4E" w:rsidP="00C32F4E">
            <w:r>
              <w:t>{</w:t>
            </w:r>
            <w:r w:rsidR="000B42CF">
              <w:t>128</w:t>
            </w:r>
            <w:r>
              <w:t>, 2}, {</w:t>
            </w:r>
            <w:r w:rsidR="000B42CF">
              <w:t>128</w:t>
            </w:r>
            <w:r>
              <w:t>, 2}</w:t>
            </w:r>
          </w:p>
        </w:tc>
        <w:tc>
          <w:tcPr>
            <w:tcW w:w="1890" w:type="dxa"/>
          </w:tcPr>
          <w:p w14:paraId="1D500307" w14:textId="1E53ED57" w:rsidR="00C32F4E" w:rsidRPr="0015359D" w:rsidRDefault="00C32F4E" w:rsidP="00C32F4E">
            <w:r w:rsidRPr="0015359D">
              <w:t>X</w:t>
            </w:r>
            <w:r w:rsidR="000B42CF">
              <w:t>4</w:t>
            </w:r>
            <w:r w:rsidRPr="0015359D">
              <w:t>_31, X</w:t>
            </w:r>
            <w:r w:rsidR="000B42CF">
              <w:t>4</w:t>
            </w:r>
            <w:r w:rsidRPr="0015359D">
              <w:t>_32, X</w:t>
            </w:r>
            <w:r w:rsidR="000B42CF">
              <w:t>4</w:t>
            </w:r>
            <w:r w:rsidRPr="0015359D">
              <w:t>_33</w:t>
            </w:r>
          </w:p>
        </w:tc>
        <w:tc>
          <w:tcPr>
            <w:tcW w:w="2880" w:type="dxa"/>
          </w:tcPr>
          <w:p w14:paraId="2190DB4B" w14:textId="58B00F6B" w:rsidR="00C32F4E" w:rsidRPr="0015359D" w:rsidRDefault="00C32F4E" w:rsidP="00C32F4E">
            <w:r w:rsidRPr="0015359D">
              <w:t>X</w:t>
            </w:r>
            <w:r w:rsidR="000B42CF">
              <w:t>4</w:t>
            </w:r>
            <w:r w:rsidRPr="0015359D">
              <w:t>_41, X</w:t>
            </w:r>
            <w:r w:rsidR="000B42CF">
              <w:t>4</w:t>
            </w:r>
            <w:r w:rsidRPr="0015359D">
              <w:t>_42, X</w:t>
            </w:r>
            <w:r w:rsidR="000B42CF">
              <w:t>4</w:t>
            </w:r>
            <w:r w:rsidRPr="0015359D">
              <w:t>_43, X</w:t>
            </w:r>
            <w:r w:rsidR="000B42CF">
              <w:t>4</w:t>
            </w:r>
            <w:r w:rsidRPr="0015359D">
              <w:t>_44</w:t>
            </w:r>
          </w:p>
        </w:tc>
      </w:tr>
      <w:tr w:rsidR="00717E7F" w:rsidRPr="0015359D" w14:paraId="64577401" w14:textId="77777777" w:rsidTr="008754E5">
        <w:tc>
          <w:tcPr>
            <w:tcW w:w="900" w:type="dxa"/>
          </w:tcPr>
          <w:p w14:paraId="2685635C" w14:textId="2B215456" w:rsidR="00717E7F" w:rsidRPr="0015359D" w:rsidRDefault="00717E7F" w:rsidP="00C32F4E">
            <w:r>
              <w:t>PC5</w:t>
            </w:r>
          </w:p>
        </w:tc>
        <w:tc>
          <w:tcPr>
            <w:tcW w:w="1170" w:type="dxa"/>
          </w:tcPr>
          <w:p w14:paraId="66417817" w14:textId="4C922997" w:rsidR="00717E7F" w:rsidRDefault="00717E7F" w:rsidP="00C32F4E">
            <w:r>
              <w:t>{192, 2}</w:t>
            </w:r>
          </w:p>
        </w:tc>
        <w:tc>
          <w:tcPr>
            <w:tcW w:w="2430" w:type="dxa"/>
          </w:tcPr>
          <w:p w14:paraId="78A908FB" w14:textId="08B98183" w:rsidR="00717E7F" w:rsidRDefault="00717E7F" w:rsidP="00C32F4E">
            <w:r>
              <w:t>{192, 2}, {192, 2}</w:t>
            </w:r>
          </w:p>
        </w:tc>
        <w:tc>
          <w:tcPr>
            <w:tcW w:w="1890" w:type="dxa"/>
          </w:tcPr>
          <w:p w14:paraId="07CA8457" w14:textId="6C930968" w:rsidR="00717E7F" w:rsidRPr="0015359D" w:rsidRDefault="00717E7F" w:rsidP="00C32F4E">
            <w:r>
              <w:t>X</w:t>
            </w:r>
            <w:r w:rsidR="00747293">
              <w:t>5_32, X5_32, X5_33</w:t>
            </w:r>
          </w:p>
        </w:tc>
        <w:tc>
          <w:tcPr>
            <w:tcW w:w="2880" w:type="dxa"/>
          </w:tcPr>
          <w:p w14:paraId="7F43BA85" w14:textId="4425477E" w:rsidR="00717E7F" w:rsidRPr="0015359D" w:rsidRDefault="00747293" w:rsidP="00C32F4E">
            <w:r w:rsidRPr="0015359D">
              <w:t>X</w:t>
            </w:r>
            <w:r>
              <w:t>5</w:t>
            </w:r>
            <w:r w:rsidRPr="0015359D">
              <w:t>_41, X</w:t>
            </w:r>
            <w:r>
              <w:t>5</w:t>
            </w:r>
            <w:r w:rsidRPr="0015359D">
              <w:t>_42, X</w:t>
            </w:r>
            <w:r>
              <w:t>5</w:t>
            </w:r>
            <w:r w:rsidRPr="0015359D">
              <w:t>_43, X</w:t>
            </w:r>
            <w:r>
              <w:t>5</w:t>
            </w:r>
            <w:r w:rsidRPr="0015359D">
              <w:t>_44</w:t>
            </w:r>
          </w:p>
        </w:tc>
      </w:tr>
    </w:tbl>
    <w:p w14:paraId="44797E3C" w14:textId="013D917E" w:rsidR="00792B81" w:rsidRDefault="00792B81" w:rsidP="00E34537">
      <w:pPr>
        <w:rPr>
          <w:b/>
          <w:bCs/>
          <w:u w:val="single"/>
        </w:rPr>
      </w:pPr>
    </w:p>
    <w:p w14:paraId="3F52385D" w14:textId="36F1678C" w:rsidR="00CA1352" w:rsidRDefault="002E6C89" w:rsidP="00E34537">
      <w:r>
        <w:t>T</w:t>
      </w:r>
      <w:r w:rsidR="00401345">
        <w:t xml:space="preserve">he major discussion lies in whether even allocation across layers or layer-specific </w:t>
      </w:r>
      <w:r>
        <w:t>payload can be considered if it shows a superior performance. To this end, w</w:t>
      </w:r>
      <w:r w:rsidR="00CA1352" w:rsidRPr="00CA1352">
        <w:t xml:space="preserve">e </w:t>
      </w:r>
      <w:r w:rsidR="00D47FE4">
        <w:t xml:space="preserve">consider a number </w:t>
      </w:r>
      <w:r>
        <w:t>of payload split options considering that the payload size of rank 3 / 4 is equal to or slightly higher than rank 2.</w:t>
      </w:r>
    </w:p>
    <w:p w14:paraId="7A4AF8AF" w14:textId="36C748CC" w:rsidR="001126A4" w:rsidRDefault="008F490C" w:rsidP="001126A4">
      <w:pPr>
        <w:keepNext/>
        <w:jc w:val="center"/>
      </w:pPr>
      <w:r>
        <w:rPr>
          <w:noProof/>
        </w:rPr>
        <w:lastRenderedPageBreak/>
        <w:drawing>
          <wp:inline distT="0" distB="0" distL="0" distR="0" wp14:anchorId="1640789A" wp14:editId="61CD8291">
            <wp:extent cx="4749800" cy="2743200"/>
            <wp:effectExtent l="0" t="0" r="12700" b="0"/>
            <wp:docPr id="1404647810" name="Chart 1">
              <a:extLst xmlns:a="http://schemas.openxmlformats.org/drawingml/2006/main">
                <a:ext uri="{FF2B5EF4-FFF2-40B4-BE49-F238E27FC236}">
                  <a16:creationId xmlns:a16="http://schemas.microsoft.com/office/drawing/2014/main" id="{7A2E642A-CD3B-8E9B-60FB-DC33145872E2}"/>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4"/>
              </a:graphicData>
            </a:graphic>
          </wp:inline>
        </w:drawing>
      </w:r>
    </w:p>
    <w:p w14:paraId="7F210A44" w14:textId="1DB5FEA1" w:rsidR="005217BA" w:rsidRDefault="001126A4" w:rsidP="001126A4">
      <w:pPr>
        <w:pStyle w:val="Caption"/>
      </w:pPr>
      <w:bookmarkStart w:id="14" w:name="_Ref213422678"/>
      <w:r>
        <w:t xml:space="preserve">Figure </w:t>
      </w:r>
      <w:r w:rsidR="003B287B">
        <w:fldChar w:fldCharType="begin"/>
      </w:r>
      <w:r w:rsidR="003B287B">
        <w:instrText xml:space="preserve"> STYLEREF 1 \s </w:instrText>
      </w:r>
      <w:r w:rsidR="003B287B">
        <w:fldChar w:fldCharType="separate"/>
      </w:r>
      <w:r w:rsidR="003B287B">
        <w:rPr>
          <w:noProof/>
        </w:rPr>
        <w:t>2</w:t>
      </w:r>
      <w:r w:rsidR="003B287B">
        <w:fldChar w:fldCharType="end"/>
      </w:r>
      <w:r w:rsidR="003B287B">
        <w:noBreakHyphen/>
      </w:r>
      <w:r w:rsidR="003B287B">
        <w:fldChar w:fldCharType="begin"/>
      </w:r>
      <w:r w:rsidR="003B287B">
        <w:instrText xml:space="preserve"> SEQ Figure \* ARABIC \s 1 </w:instrText>
      </w:r>
      <w:r w:rsidR="003B287B">
        <w:fldChar w:fldCharType="separate"/>
      </w:r>
      <w:r w:rsidR="003B287B">
        <w:rPr>
          <w:noProof/>
        </w:rPr>
        <w:t>4</w:t>
      </w:r>
      <w:r w:rsidR="003B287B">
        <w:fldChar w:fldCharType="end"/>
      </w:r>
      <w:bookmarkEnd w:id="14"/>
      <w:r>
        <w:t xml:space="preserve">. The spectral efficiency </w:t>
      </w:r>
      <w:r w:rsidR="003B1199">
        <w:t>comparison between layer-common and layer-specific payload for rank.</w:t>
      </w:r>
    </w:p>
    <w:p w14:paraId="4A1D2162" w14:textId="21C4064E" w:rsidR="00754CF3" w:rsidRDefault="00754CF3" w:rsidP="00754CF3">
      <w:pPr>
        <w:pStyle w:val="Caption"/>
        <w:keepNext/>
      </w:pPr>
      <w:bookmarkStart w:id="15" w:name="_Ref213424109"/>
      <w:r>
        <w:t xml:space="preserve">Table </w:t>
      </w:r>
      <w:r w:rsidR="00407517">
        <w:fldChar w:fldCharType="begin"/>
      </w:r>
      <w:r w:rsidR="00407517">
        <w:instrText xml:space="preserve"> STYLEREF 1 \s </w:instrText>
      </w:r>
      <w:r w:rsidR="00407517">
        <w:fldChar w:fldCharType="separate"/>
      </w:r>
      <w:r w:rsidR="00407517">
        <w:rPr>
          <w:noProof/>
        </w:rPr>
        <w:t>2</w:t>
      </w:r>
      <w:r w:rsidR="00407517">
        <w:fldChar w:fldCharType="end"/>
      </w:r>
      <w:r w:rsidR="00407517">
        <w:noBreakHyphen/>
      </w:r>
      <w:r w:rsidR="00407517">
        <w:fldChar w:fldCharType="begin"/>
      </w:r>
      <w:r w:rsidR="00407517">
        <w:instrText xml:space="preserve"> SEQ Table \* ARABIC \s 1 </w:instrText>
      </w:r>
      <w:r w:rsidR="00407517">
        <w:fldChar w:fldCharType="separate"/>
      </w:r>
      <w:r w:rsidR="00407517">
        <w:rPr>
          <w:noProof/>
        </w:rPr>
        <w:t>2</w:t>
      </w:r>
      <w:r w:rsidR="00407517">
        <w:fldChar w:fldCharType="end"/>
      </w:r>
      <w:bookmarkEnd w:id="15"/>
      <w:r>
        <w:t xml:space="preserve">. The detailed parameter </w:t>
      </w:r>
      <w:r w:rsidR="000E1127">
        <w:t xml:space="preserve">configurations for rank-3 analysis in </w:t>
      </w:r>
      <w:r w:rsidR="000E1127">
        <w:fldChar w:fldCharType="begin"/>
      </w:r>
      <w:r w:rsidR="000E1127">
        <w:instrText xml:space="preserve"> REF _Ref213422678 \h </w:instrText>
      </w:r>
      <w:r w:rsidR="000E1127">
        <w:fldChar w:fldCharType="separate"/>
      </w:r>
      <w:r w:rsidR="000E1127">
        <w:t xml:space="preserve">Figure </w:t>
      </w:r>
      <w:r w:rsidR="000E1127">
        <w:rPr>
          <w:noProof/>
        </w:rPr>
        <w:t>2</w:t>
      </w:r>
      <w:r w:rsidR="000E1127">
        <w:noBreakHyphen/>
      </w:r>
      <w:r w:rsidR="000E1127">
        <w:rPr>
          <w:noProof/>
        </w:rPr>
        <w:t>4</w:t>
      </w:r>
      <w:r w:rsidR="000E1127">
        <w:fldChar w:fldCharType="end"/>
      </w:r>
      <w:r w:rsidR="000E1127">
        <w:t>.</w:t>
      </w:r>
    </w:p>
    <w:tbl>
      <w:tblPr>
        <w:tblW w:w="86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
        <w:gridCol w:w="960"/>
        <w:gridCol w:w="1240"/>
        <w:gridCol w:w="960"/>
        <w:gridCol w:w="960"/>
        <w:gridCol w:w="585"/>
        <w:gridCol w:w="1440"/>
        <w:gridCol w:w="1509"/>
      </w:tblGrid>
      <w:tr w:rsidR="002271E5" w:rsidRPr="00406580" w14:paraId="388D137A" w14:textId="77777777" w:rsidTr="001B10F9">
        <w:trPr>
          <w:trHeight w:val="290"/>
          <w:jc w:val="center"/>
        </w:trPr>
        <w:tc>
          <w:tcPr>
            <w:tcW w:w="960" w:type="dxa"/>
            <w:shd w:val="clear" w:color="000000" w:fill="C1F0C8"/>
            <w:noWrap/>
            <w:vAlign w:val="center"/>
            <w:hideMark/>
          </w:tcPr>
          <w:p w14:paraId="1029B0F6" w14:textId="77777777" w:rsidR="002271E5" w:rsidRPr="00406580" w:rsidRDefault="002271E5" w:rsidP="001B10F9">
            <w:pPr>
              <w:spacing w:after="0"/>
              <w:jc w:val="center"/>
              <w:rPr>
                <w:rFonts w:ascii="Aptos Narrow" w:eastAsia="Times New Roman" w:hAnsi="Aptos Narrow"/>
                <w:color w:val="000000"/>
                <w:lang w:val="en-US" w:eastAsia="zh-CN"/>
              </w:rPr>
            </w:pPr>
            <w:r w:rsidRPr="00406580">
              <w:rPr>
                <w:rFonts w:ascii="Aptos Narrow" w:eastAsia="Times New Roman" w:hAnsi="Aptos Narrow"/>
                <w:color w:val="000000"/>
                <w:lang w:val="en-US" w:eastAsia="zh-CN"/>
              </w:rPr>
              <w:t>config</w:t>
            </w:r>
          </w:p>
        </w:tc>
        <w:tc>
          <w:tcPr>
            <w:tcW w:w="960" w:type="dxa"/>
            <w:shd w:val="clear" w:color="000000" w:fill="C1F0C8"/>
            <w:noWrap/>
            <w:vAlign w:val="center"/>
            <w:hideMark/>
          </w:tcPr>
          <w:p w14:paraId="2A767A8D" w14:textId="77777777" w:rsidR="002271E5" w:rsidRPr="00406580" w:rsidRDefault="002271E5" w:rsidP="001B10F9">
            <w:pPr>
              <w:spacing w:after="0"/>
              <w:jc w:val="center"/>
              <w:rPr>
                <w:rFonts w:ascii="Aptos Narrow" w:eastAsia="Times New Roman" w:hAnsi="Aptos Narrow"/>
                <w:color w:val="000000"/>
                <w:lang w:val="en-US" w:eastAsia="zh-CN"/>
              </w:rPr>
            </w:pPr>
            <w:r w:rsidRPr="00406580">
              <w:rPr>
                <w:rFonts w:ascii="Aptos Narrow" w:eastAsia="Times New Roman" w:hAnsi="Aptos Narrow"/>
                <w:color w:val="000000"/>
                <w:lang w:val="en-US" w:eastAsia="zh-CN"/>
              </w:rPr>
              <w:t>dz0</w:t>
            </w:r>
          </w:p>
        </w:tc>
        <w:tc>
          <w:tcPr>
            <w:tcW w:w="1240" w:type="dxa"/>
            <w:shd w:val="clear" w:color="000000" w:fill="C1F0C8"/>
            <w:noWrap/>
            <w:vAlign w:val="center"/>
            <w:hideMark/>
          </w:tcPr>
          <w:p w14:paraId="1E483B02" w14:textId="77777777" w:rsidR="002271E5" w:rsidRPr="00406580" w:rsidRDefault="002271E5" w:rsidP="001B10F9">
            <w:pPr>
              <w:spacing w:after="0"/>
              <w:jc w:val="center"/>
              <w:rPr>
                <w:rFonts w:ascii="Aptos Narrow" w:eastAsia="Times New Roman" w:hAnsi="Aptos Narrow"/>
                <w:color w:val="000000"/>
                <w:lang w:val="en-US" w:eastAsia="zh-CN"/>
              </w:rPr>
            </w:pPr>
            <w:r w:rsidRPr="00406580">
              <w:rPr>
                <w:rFonts w:ascii="Aptos Narrow" w:eastAsia="Times New Roman" w:hAnsi="Aptos Narrow"/>
                <w:color w:val="000000"/>
                <w:lang w:val="en-US" w:eastAsia="zh-CN"/>
              </w:rPr>
              <w:t>dz1</w:t>
            </w:r>
          </w:p>
        </w:tc>
        <w:tc>
          <w:tcPr>
            <w:tcW w:w="960" w:type="dxa"/>
            <w:shd w:val="clear" w:color="000000" w:fill="C1F0C8"/>
            <w:noWrap/>
            <w:vAlign w:val="center"/>
            <w:hideMark/>
          </w:tcPr>
          <w:p w14:paraId="540C6FA7" w14:textId="77777777" w:rsidR="002271E5" w:rsidRPr="00406580" w:rsidRDefault="002271E5" w:rsidP="001B10F9">
            <w:pPr>
              <w:spacing w:after="0"/>
              <w:jc w:val="center"/>
              <w:rPr>
                <w:rFonts w:ascii="Aptos Narrow" w:eastAsia="Times New Roman" w:hAnsi="Aptos Narrow"/>
                <w:color w:val="000000"/>
                <w:lang w:val="en-US" w:eastAsia="zh-CN"/>
              </w:rPr>
            </w:pPr>
            <w:r w:rsidRPr="00406580">
              <w:rPr>
                <w:rFonts w:ascii="Aptos Narrow" w:eastAsia="Times New Roman" w:hAnsi="Aptos Narrow"/>
                <w:color w:val="000000"/>
                <w:lang w:val="en-US" w:eastAsia="zh-CN"/>
              </w:rPr>
              <w:t>dz2</w:t>
            </w:r>
          </w:p>
        </w:tc>
        <w:tc>
          <w:tcPr>
            <w:tcW w:w="960" w:type="dxa"/>
            <w:shd w:val="clear" w:color="000000" w:fill="C1F0C8"/>
            <w:noWrap/>
            <w:vAlign w:val="center"/>
            <w:hideMark/>
          </w:tcPr>
          <w:p w14:paraId="7C242EC8" w14:textId="77777777" w:rsidR="002271E5" w:rsidRPr="00406580" w:rsidRDefault="002271E5" w:rsidP="001B10F9">
            <w:pPr>
              <w:spacing w:after="0"/>
              <w:jc w:val="center"/>
              <w:rPr>
                <w:rFonts w:ascii="Aptos Narrow" w:eastAsia="Times New Roman" w:hAnsi="Aptos Narrow"/>
                <w:color w:val="000000"/>
                <w:lang w:val="en-US" w:eastAsia="zh-CN"/>
              </w:rPr>
            </w:pPr>
            <w:r>
              <w:rPr>
                <w:rFonts w:ascii="Aptos Narrow" w:eastAsia="Times New Roman" w:hAnsi="Aptos Narrow"/>
                <w:color w:val="000000"/>
                <w:lang w:val="en-US" w:eastAsia="zh-CN"/>
              </w:rPr>
              <w:t>SQ or VQ</w:t>
            </w:r>
          </w:p>
        </w:tc>
        <w:tc>
          <w:tcPr>
            <w:tcW w:w="585" w:type="dxa"/>
            <w:shd w:val="clear" w:color="000000" w:fill="C1F0C8"/>
            <w:noWrap/>
            <w:vAlign w:val="center"/>
            <w:hideMark/>
          </w:tcPr>
          <w:p w14:paraId="1323BC0D" w14:textId="77777777" w:rsidR="002271E5" w:rsidRPr="00406580" w:rsidRDefault="002271E5" w:rsidP="001B10F9">
            <w:pPr>
              <w:spacing w:after="0"/>
              <w:jc w:val="center"/>
              <w:rPr>
                <w:rFonts w:ascii="Aptos Narrow" w:eastAsia="Times New Roman" w:hAnsi="Aptos Narrow"/>
                <w:color w:val="000000"/>
                <w:lang w:val="en-US" w:eastAsia="zh-CN"/>
              </w:rPr>
            </w:pPr>
            <w:r w:rsidRPr="00406580">
              <w:rPr>
                <w:rFonts w:ascii="Aptos Narrow" w:eastAsia="Times New Roman" w:hAnsi="Aptos Narrow"/>
                <w:color w:val="000000"/>
                <w:lang w:val="en-US" w:eastAsia="zh-CN"/>
              </w:rPr>
              <w:t>Q</w:t>
            </w:r>
          </w:p>
        </w:tc>
        <w:tc>
          <w:tcPr>
            <w:tcW w:w="1440" w:type="dxa"/>
            <w:shd w:val="clear" w:color="000000" w:fill="C1F0C8"/>
            <w:noWrap/>
            <w:vAlign w:val="center"/>
            <w:hideMark/>
          </w:tcPr>
          <w:p w14:paraId="6BDAB668" w14:textId="77777777" w:rsidR="002271E5" w:rsidRDefault="002271E5" w:rsidP="001B10F9">
            <w:pPr>
              <w:spacing w:after="0"/>
              <w:jc w:val="center"/>
              <w:rPr>
                <w:rFonts w:ascii="Aptos Narrow" w:eastAsia="Times New Roman" w:hAnsi="Aptos Narrow"/>
                <w:color w:val="000000"/>
                <w:lang w:val="en-US" w:eastAsia="zh-CN"/>
              </w:rPr>
            </w:pPr>
            <w:r w:rsidRPr="00406580">
              <w:rPr>
                <w:rFonts w:ascii="Aptos Narrow" w:eastAsia="Times New Roman" w:hAnsi="Aptos Narrow"/>
                <w:color w:val="000000"/>
                <w:lang w:val="en-US" w:eastAsia="zh-CN"/>
              </w:rPr>
              <w:t>total payload</w:t>
            </w:r>
          </w:p>
          <w:p w14:paraId="5CF1E8E8" w14:textId="073577E3" w:rsidR="00754CF3" w:rsidRPr="00406580" w:rsidRDefault="00754CF3" w:rsidP="001B10F9">
            <w:pPr>
              <w:spacing w:after="0"/>
              <w:jc w:val="center"/>
              <w:rPr>
                <w:rFonts w:ascii="Aptos Narrow" w:eastAsia="Times New Roman" w:hAnsi="Aptos Narrow"/>
                <w:color w:val="000000"/>
                <w:lang w:val="en-US" w:eastAsia="zh-CN"/>
              </w:rPr>
            </w:pPr>
            <w:r>
              <w:rPr>
                <w:rFonts w:ascii="Aptos Narrow" w:eastAsia="Times New Roman" w:hAnsi="Aptos Narrow"/>
                <w:color w:val="000000"/>
                <w:lang w:val="en-US" w:eastAsia="zh-CN"/>
              </w:rPr>
              <w:t>(times over rank 1 payload size)</w:t>
            </w:r>
          </w:p>
        </w:tc>
        <w:tc>
          <w:tcPr>
            <w:tcW w:w="1509" w:type="dxa"/>
            <w:shd w:val="clear" w:color="000000" w:fill="C1F0C8"/>
            <w:noWrap/>
            <w:vAlign w:val="center"/>
            <w:hideMark/>
          </w:tcPr>
          <w:p w14:paraId="4780F03C" w14:textId="77777777" w:rsidR="002271E5" w:rsidRPr="00406580" w:rsidRDefault="002271E5" w:rsidP="001B10F9">
            <w:pPr>
              <w:spacing w:after="0"/>
              <w:jc w:val="center"/>
              <w:rPr>
                <w:rFonts w:ascii="Aptos Narrow" w:eastAsia="Times New Roman" w:hAnsi="Aptos Narrow"/>
                <w:color w:val="000000"/>
                <w:lang w:val="en-US" w:eastAsia="zh-CN"/>
              </w:rPr>
            </w:pPr>
            <w:r>
              <w:rPr>
                <w:rFonts w:ascii="Aptos Narrow" w:eastAsia="Times New Roman" w:hAnsi="Aptos Narrow"/>
                <w:color w:val="000000"/>
                <w:lang w:val="en-US" w:eastAsia="zh-CN"/>
              </w:rPr>
              <w:t xml:space="preserve">SE at </w:t>
            </w:r>
            <w:r w:rsidRPr="00406580">
              <w:rPr>
                <w:rFonts w:ascii="Aptos Narrow" w:eastAsia="Times New Roman" w:hAnsi="Aptos Narrow"/>
                <w:color w:val="000000"/>
                <w:lang w:val="en-US" w:eastAsia="zh-CN"/>
              </w:rPr>
              <w:t>SNR=16</w:t>
            </w:r>
          </w:p>
        </w:tc>
      </w:tr>
      <w:tr w:rsidR="00CC7B65" w:rsidRPr="002B1508" w14:paraId="794353E5" w14:textId="77777777" w:rsidTr="001B10F9">
        <w:trPr>
          <w:trHeight w:val="290"/>
          <w:jc w:val="center"/>
        </w:trPr>
        <w:tc>
          <w:tcPr>
            <w:tcW w:w="960" w:type="dxa"/>
            <w:noWrap/>
            <w:vAlign w:val="bottom"/>
          </w:tcPr>
          <w:p w14:paraId="370B6007" w14:textId="50EA06C6" w:rsidR="00CC7B65" w:rsidRDefault="00CC7B65" w:rsidP="001B10F9">
            <w:pPr>
              <w:spacing w:after="0"/>
              <w:jc w:val="center"/>
              <w:rPr>
                <w:rFonts w:ascii="Aptos Narrow" w:eastAsia="Times New Roman" w:hAnsi="Aptos Narrow"/>
                <w:color w:val="000000"/>
                <w:lang w:val="en-US" w:eastAsia="zh-CN"/>
              </w:rPr>
            </w:pPr>
            <w:r>
              <w:rPr>
                <w:rFonts w:ascii="Aptos Narrow" w:eastAsia="Times New Roman" w:hAnsi="Aptos Narrow"/>
                <w:color w:val="000000"/>
                <w:lang w:val="en-US" w:eastAsia="zh-CN"/>
              </w:rPr>
              <w:t>PC1</w:t>
            </w:r>
          </w:p>
        </w:tc>
        <w:tc>
          <w:tcPr>
            <w:tcW w:w="960" w:type="dxa"/>
            <w:noWrap/>
            <w:vAlign w:val="bottom"/>
          </w:tcPr>
          <w:p w14:paraId="4A6FAC9B" w14:textId="118D1DFC" w:rsidR="00CC7B65" w:rsidRPr="00406580" w:rsidRDefault="00CC7B65" w:rsidP="001B10F9">
            <w:pPr>
              <w:spacing w:after="0"/>
              <w:jc w:val="center"/>
              <w:rPr>
                <w:rFonts w:ascii="Aptos Narrow" w:eastAsia="Times New Roman" w:hAnsi="Aptos Narrow"/>
                <w:color w:val="000000"/>
                <w:lang w:val="en-US" w:eastAsia="zh-CN"/>
              </w:rPr>
            </w:pPr>
            <w:r>
              <w:rPr>
                <w:rFonts w:ascii="Aptos Narrow" w:eastAsia="Times New Roman" w:hAnsi="Aptos Narrow"/>
                <w:color w:val="000000"/>
                <w:lang w:val="en-US" w:eastAsia="zh-CN"/>
              </w:rPr>
              <w:t>32</w:t>
            </w:r>
          </w:p>
        </w:tc>
        <w:tc>
          <w:tcPr>
            <w:tcW w:w="1240" w:type="dxa"/>
            <w:noWrap/>
            <w:vAlign w:val="bottom"/>
          </w:tcPr>
          <w:p w14:paraId="393D9BC3" w14:textId="11F446DB" w:rsidR="00CC7B65" w:rsidRPr="00406580" w:rsidRDefault="00CC7B65" w:rsidP="001B10F9">
            <w:pPr>
              <w:spacing w:after="0"/>
              <w:jc w:val="center"/>
              <w:rPr>
                <w:rFonts w:ascii="Aptos Narrow" w:eastAsia="Times New Roman" w:hAnsi="Aptos Narrow"/>
                <w:color w:val="000000"/>
                <w:lang w:val="en-US" w:eastAsia="zh-CN"/>
              </w:rPr>
            </w:pPr>
            <w:r>
              <w:rPr>
                <w:rFonts w:ascii="Aptos Narrow" w:eastAsia="Times New Roman" w:hAnsi="Aptos Narrow"/>
                <w:color w:val="000000"/>
                <w:lang w:val="en-US" w:eastAsia="zh-CN"/>
              </w:rPr>
              <w:t>32</w:t>
            </w:r>
          </w:p>
        </w:tc>
        <w:tc>
          <w:tcPr>
            <w:tcW w:w="960" w:type="dxa"/>
            <w:noWrap/>
            <w:vAlign w:val="bottom"/>
          </w:tcPr>
          <w:p w14:paraId="0B8D5F6F" w14:textId="696953F0" w:rsidR="00CC7B65" w:rsidRPr="00406580" w:rsidRDefault="00CC7B65" w:rsidP="001B10F9">
            <w:pPr>
              <w:spacing w:after="0"/>
              <w:jc w:val="center"/>
              <w:rPr>
                <w:rFonts w:ascii="Aptos Narrow" w:eastAsia="Times New Roman" w:hAnsi="Aptos Narrow"/>
                <w:color w:val="000000"/>
                <w:lang w:val="en-US" w:eastAsia="zh-CN"/>
              </w:rPr>
            </w:pPr>
            <w:r>
              <w:rPr>
                <w:rFonts w:ascii="Aptos Narrow" w:eastAsia="Times New Roman" w:hAnsi="Aptos Narrow"/>
                <w:color w:val="000000"/>
                <w:lang w:val="en-US" w:eastAsia="zh-CN"/>
              </w:rPr>
              <w:t>32</w:t>
            </w:r>
          </w:p>
        </w:tc>
        <w:tc>
          <w:tcPr>
            <w:tcW w:w="960" w:type="dxa"/>
            <w:noWrap/>
            <w:vAlign w:val="bottom"/>
          </w:tcPr>
          <w:p w14:paraId="4992E5C3" w14:textId="581E9A4E" w:rsidR="00CC7B65" w:rsidRPr="002B1508" w:rsidRDefault="00CC7B65" w:rsidP="00CC7B65">
            <w:pPr>
              <w:spacing w:after="0"/>
              <w:jc w:val="center"/>
              <w:rPr>
                <w:rFonts w:ascii="Aptos Narrow" w:eastAsia="Times New Roman" w:hAnsi="Aptos Narrow"/>
                <w:color w:val="000000"/>
                <w:lang w:val="en-US" w:eastAsia="zh-CN"/>
              </w:rPr>
            </w:pPr>
            <w:r>
              <w:rPr>
                <w:rFonts w:ascii="Aptos Narrow" w:eastAsia="Times New Roman" w:hAnsi="Aptos Narrow"/>
                <w:color w:val="000000"/>
                <w:lang w:val="en-US" w:eastAsia="zh-CN"/>
              </w:rPr>
              <w:t>SQ</w:t>
            </w:r>
          </w:p>
        </w:tc>
        <w:tc>
          <w:tcPr>
            <w:tcW w:w="585" w:type="dxa"/>
            <w:noWrap/>
            <w:vAlign w:val="bottom"/>
          </w:tcPr>
          <w:p w14:paraId="23854BC6" w14:textId="2912762F" w:rsidR="00CC7B65" w:rsidRPr="00406580" w:rsidRDefault="00CC7B65" w:rsidP="001B10F9">
            <w:pPr>
              <w:spacing w:after="0"/>
              <w:jc w:val="center"/>
              <w:rPr>
                <w:rFonts w:ascii="Aptos Narrow" w:eastAsia="Times New Roman" w:hAnsi="Aptos Narrow"/>
                <w:color w:val="000000"/>
                <w:lang w:val="en-US" w:eastAsia="zh-CN"/>
              </w:rPr>
            </w:pPr>
            <w:r>
              <w:rPr>
                <w:rFonts w:ascii="Aptos Narrow" w:eastAsia="Times New Roman" w:hAnsi="Aptos Narrow"/>
                <w:color w:val="000000"/>
                <w:lang w:val="en-US" w:eastAsia="zh-CN"/>
              </w:rPr>
              <w:t>2</w:t>
            </w:r>
          </w:p>
        </w:tc>
        <w:tc>
          <w:tcPr>
            <w:tcW w:w="1440" w:type="dxa"/>
            <w:noWrap/>
            <w:vAlign w:val="bottom"/>
          </w:tcPr>
          <w:p w14:paraId="4BB8ADEA" w14:textId="28AA3256" w:rsidR="00CC7B65" w:rsidRPr="00406580" w:rsidRDefault="00CC7B65" w:rsidP="001B10F9">
            <w:pPr>
              <w:spacing w:after="0"/>
              <w:jc w:val="center"/>
              <w:rPr>
                <w:rFonts w:ascii="Aptos Narrow" w:eastAsia="Times New Roman" w:hAnsi="Aptos Narrow"/>
                <w:color w:val="000000"/>
                <w:lang w:val="en-US" w:eastAsia="zh-CN"/>
              </w:rPr>
            </w:pPr>
            <w:r>
              <w:rPr>
                <w:rFonts w:ascii="Aptos Narrow" w:eastAsia="Times New Roman" w:hAnsi="Aptos Narrow"/>
                <w:color w:val="000000"/>
                <w:lang w:val="en-US" w:eastAsia="zh-CN"/>
              </w:rPr>
              <w:t>192</w:t>
            </w:r>
            <w:r w:rsidR="00127143">
              <w:rPr>
                <w:rFonts w:ascii="Aptos Narrow" w:eastAsia="Times New Roman" w:hAnsi="Aptos Narrow"/>
                <w:color w:val="000000"/>
                <w:lang w:val="en-US" w:eastAsia="zh-CN"/>
              </w:rPr>
              <w:t xml:space="preserve"> (3x)</w:t>
            </w:r>
          </w:p>
        </w:tc>
        <w:tc>
          <w:tcPr>
            <w:tcW w:w="1509" w:type="dxa"/>
            <w:noWrap/>
            <w:vAlign w:val="bottom"/>
          </w:tcPr>
          <w:p w14:paraId="06F4D2B0" w14:textId="394A1FC0" w:rsidR="00CC7B65" w:rsidRPr="00406580" w:rsidRDefault="00CC7B65" w:rsidP="001B10F9">
            <w:pPr>
              <w:spacing w:after="0"/>
              <w:jc w:val="center"/>
              <w:rPr>
                <w:rFonts w:ascii="Aptos Narrow" w:eastAsia="Times New Roman" w:hAnsi="Aptos Narrow"/>
                <w:color w:val="000000"/>
                <w:lang w:val="en-US" w:eastAsia="zh-CN"/>
              </w:rPr>
            </w:pPr>
            <w:r>
              <w:rPr>
                <w:rFonts w:ascii="Aptos Narrow" w:eastAsia="Times New Roman" w:hAnsi="Aptos Narrow"/>
                <w:color w:val="000000"/>
                <w:lang w:val="en-US" w:eastAsia="zh-CN"/>
              </w:rPr>
              <w:t>18.45313</w:t>
            </w:r>
          </w:p>
        </w:tc>
      </w:tr>
      <w:tr w:rsidR="002271E5" w:rsidRPr="002B1508" w14:paraId="026D0A62" w14:textId="77777777" w:rsidTr="001B10F9">
        <w:trPr>
          <w:trHeight w:val="290"/>
          <w:jc w:val="center"/>
        </w:trPr>
        <w:tc>
          <w:tcPr>
            <w:tcW w:w="960" w:type="dxa"/>
            <w:noWrap/>
            <w:vAlign w:val="bottom"/>
            <w:hideMark/>
          </w:tcPr>
          <w:p w14:paraId="1730F575" w14:textId="349B0EEC" w:rsidR="002271E5" w:rsidRPr="00406580" w:rsidRDefault="002271E5" w:rsidP="001B10F9">
            <w:pPr>
              <w:spacing w:after="0"/>
              <w:jc w:val="center"/>
              <w:rPr>
                <w:rFonts w:ascii="Aptos Narrow" w:eastAsia="Times New Roman" w:hAnsi="Aptos Narrow"/>
                <w:color w:val="000000"/>
                <w:lang w:val="en-US" w:eastAsia="zh-CN"/>
              </w:rPr>
            </w:pPr>
            <w:r>
              <w:rPr>
                <w:rFonts w:ascii="Aptos Narrow" w:eastAsia="Times New Roman" w:hAnsi="Aptos Narrow"/>
                <w:color w:val="000000"/>
                <w:lang w:val="en-US" w:eastAsia="zh-CN"/>
              </w:rPr>
              <w:t>PC</w:t>
            </w:r>
            <w:r w:rsidR="00AC77A9">
              <w:rPr>
                <w:rFonts w:ascii="Aptos Narrow" w:eastAsia="Times New Roman" w:hAnsi="Aptos Narrow"/>
                <w:color w:val="000000"/>
                <w:lang w:val="en-US" w:eastAsia="zh-CN"/>
              </w:rPr>
              <w:t>2.1</w:t>
            </w:r>
          </w:p>
        </w:tc>
        <w:tc>
          <w:tcPr>
            <w:tcW w:w="960" w:type="dxa"/>
            <w:noWrap/>
            <w:vAlign w:val="bottom"/>
            <w:hideMark/>
          </w:tcPr>
          <w:p w14:paraId="4C453D94" w14:textId="77777777" w:rsidR="002271E5" w:rsidRPr="00406580" w:rsidRDefault="002271E5" w:rsidP="001B10F9">
            <w:pPr>
              <w:spacing w:after="0"/>
              <w:jc w:val="center"/>
              <w:rPr>
                <w:rFonts w:ascii="Aptos Narrow" w:eastAsia="Times New Roman" w:hAnsi="Aptos Narrow"/>
                <w:color w:val="000000"/>
                <w:lang w:val="en-US" w:eastAsia="zh-CN"/>
              </w:rPr>
            </w:pPr>
            <w:r w:rsidRPr="00406580">
              <w:rPr>
                <w:rFonts w:ascii="Aptos Narrow" w:eastAsia="Times New Roman" w:hAnsi="Aptos Narrow"/>
                <w:color w:val="000000"/>
                <w:lang w:val="en-US" w:eastAsia="zh-CN"/>
              </w:rPr>
              <w:t>64</w:t>
            </w:r>
          </w:p>
        </w:tc>
        <w:tc>
          <w:tcPr>
            <w:tcW w:w="1240" w:type="dxa"/>
            <w:noWrap/>
            <w:vAlign w:val="bottom"/>
            <w:hideMark/>
          </w:tcPr>
          <w:p w14:paraId="175839D3" w14:textId="77777777" w:rsidR="002271E5" w:rsidRPr="00406580" w:rsidRDefault="002271E5" w:rsidP="001B10F9">
            <w:pPr>
              <w:spacing w:after="0"/>
              <w:jc w:val="center"/>
              <w:rPr>
                <w:rFonts w:ascii="Aptos Narrow" w:eastAsia="Times New Roman" w:hAnsi="Aptos Narrow"/>
                <w:color w:val="000000"/>
                <w:lang w:val="en-US" w:eastAsia="zh-CN"/>
              </w:rPr>
            </w:pPr>
            <w:r w:rsidRPr="00406580">
              <w:rPr>
                <w:rFonts w:ascii="Aptos Narrow" w:eastAsia="Times New Roman" w:hAnsi="Aptos Narrow"/>
                <w:color w:val="000000"/>
                <w:lang w:val="en-US" w:eastAsia="zh-CN"/>
              </w:rPr>
              <w:t>32</w:t>
            </w:r>
          </w:p>
        </w:tc>
        <w:tc>
          <w:tcPr>
            <w:tcW w:w="960" w:type="dxa"/>
            <w:noWrap/>
            <w:vAlign w:val="bottom"/>
            <w:hideMark/>
          </w:tcPr>
          <w:p w14:paraId="2EAF0C13" w14:textId="77777777" w:rsidR="002271E5" w:rsidRPr="00406580" w:rsidRDefault="002271E5" w:rsidP="001B10F9">
            <w:pPr>
              <w:spacing w:after="0"/>
              <w:jc w:val="center"/>
              <w:rPr>
                <w:rFonts w:ascii="Aptos Narrow" w:eastAsia="Times New Roman" w:hAnsi="Aptos Narrow"/>
                <w:color w:val="000000"/>
                <w:lang w:val="en-US" w:eastAsia="zh-CN"/>
              </w:rPr>
            </w:pPr>
            <w:r w:rsidRPr="00406580">
              <w:rPr>
                <w:rFonts w:ascii="Aptos Narrow" w:eastAsia="Times New Roman" w:hAnsi="Aptos Narrow"/>
                <w:color w:val="000000"/>
                <w:lang w:val="en-US" w:eastAsia="zh-CN"/>
              </w:rPr>
              <w:t>32</w:t>
            </w:r>
          </w:p>
        </w:tc>
        <w:tc>
          <w:tcPr>
            <w:tcW w:w="960" w:type="dxa"/>
            <w:noWrap/>
            <w:vAlign w:val="bottom"/>
            <w:hideMark/>
          </w:tcPr>
          <w:p w14:paraId="0C6F0621" w14:textId="77777777" w:rsidR="002271E5" w:rsidRPr="00406580" w:rsidRDefault="002271E5" w:rsidP="001B10F9">
            <w:pPr>
              <w:spacing w:after="0"/>
              <w:jc w:val="center"/>
              <w:rPr>
                <w:rFonts w:ascii="Aptos Narrow" w:eastAsia="Times New Roman" w:hAnsi="Aptos Narrow"/>
                <w:color w:val="000000"/>
                <w:lang w:val="en-US" w:eastAsia="zh-CN"/>
              </w:rPr>
            </w:pPr>
            <w:r w:rsidRPr="002B1508">
              <w:rPr>
                <w:rFonts w:ascii="Aptos Narrow" w:eastAsia="Times New Roman" w:hAnsi="Aptos Narrow"/>
                <w:color w:val="000000"/>
                <w:lang w:val="en-US" w:eastAsia="zh-CN"/>
              </w:rPr>
              <w:t>SQ</w:t>
            </w:r>
          </w:p>
        </w:tc>
        <w:tc>
          <w:tcPr>
            <w:tcW w:w="585" w:type="dxa"/>
            <w:noWrap/>
            <w:vAlign w:val="bottom"/>
            <w:hideMark/>
          </w:tcPr>
          <w:p w14:paraId="1A4ACF92" w14:textId="77777777" w:rsidR="002271E5" w:rsidRPr="00406580" w:rsidRDefault="002271E5" w:rsidP="001B10F9">
            <w:pPr>
              <w:spacing w:after="0"/>
              <w:jc w:val="center"/>
              <w:rPr>
                <w:rFonts w:ascii="Aptos Narrow" w:eastAsia="Times New Roman" w:hAnsi="Aptos Narrow"/>
                <w:color w:val="000000"/>
                <w:lang w:val="en-US" w:eastAsia="zh-CN"/>
              </w:rPr>
            </w:pPr>
            <w:r w:rsidRPr="00406580">
              <w:rPr>
                <w:rFonts w:ascii="Aptos Narrow" w:eastAsia="Times New Roman" w:hAnsi="Aptos Narrow"/>
                <w:color w:val="000000"/>
                <w:lang w:val="en-US" w:eastAsia="zh-CN"/>
              </w:rPr>
              <w:t>2</w:t>
            </w:r>
          </w:p>
        </w:tc>
        <w:tc>
          <w:tcPr>
            <w:tcW w:w="1440" w:type="dxa"/>
            <w:noWrap/>
            <w:vAlign w:val="bottom"/>
            <w:hideMark/>
          </w:tcPr>
          <w:p w14:paraId="4309D4A1" w14:textId="312B280B" w:rsidR="002271E5" w:rsidRPr="00406580" w:rsidRDefault="002271E5" w:rsidP="001B10F9">
            <w:pPr>
              <w:spacing w:after="0"/>
              <w:jc w:val="center"/>
              <w:rPr>
                <w:rFonts w:ascii="Aptos Narrow" w:eastAsia="Times New Roman" w:hAnsi="Aptos Narrow"/>
                <w:color w:val="000000"/>
                <w:lang w:val="en-US" w:eastAsia="zh-CN"/>
              </w:rPr>
            </w:pPr>
            <w:r w:rsidRPr="00406580">
              <w:rPr>
                <w:rFonts w:ascii="Aptos Narrow" w:eastAsia="Times New Roman" w:hAnsi="Aptos Narrow"/>
                <w:color w:val="000000"/>
                <w:lang w:val="en-US" w:eastAsia="zh-CN"/>
              </w:rPr>
              <w:t>256</w:t>
            </w:r>
            <w:r w:rsidR="00127143">
              <w:rPr>
                <w:rFonts w:ascii="Aptos Narrow" w:eastAsia="Times New Roman" w:hAnsi="Aptos Narrow"/>
                <w:color w:val="000000"/>
                <w:lang w:val="en-US" w:eastAsia="zh-CN"/>
              </w:rPr>
              <w:t xml:space="preserve"> (2x)</w:t>
            </w:r>
          </w:p>
        </w:tc>
        <w:tc>
          <w:tcPr>
            <w:tcW w:w="1509" w:type="dxa"/>
            <w:noWrap/>
            <w:vAlign w:val="bottom"/>
            <w:hideMark/>
          </w:tcPr>
          <w:p w14:paraId="6B2EEDFE" w14:textId="77777777" w:rsidR="002271E5" w:rsidRPr="00406580" w:rsidRDefault="002271E5" w:rsidP="001B10F9">
            <w:pPr>
              <w:spacing w:after="0"/>
              <w:jc w:val="center"/>
              <w:rPr>
                <w:rFonts w:ascii="Aptos Narrow" w:eastAsia="Times New Roman" w:hAnsi="Aptos Narrow"/>
                <w:color w:val="000000"/>
                <w:lang w:val="en-US" w:eastAsia="zh-CN"/>
              </w:rPr>
            </w:pPr>
            <w:r w:rsidRPr="00406580">
              <w:rPr>
                <w:rFonts w:ascii="Aptos Narrow" w:eastAsia="Times New Roman" w:hAnsi="Aptos Narrow"/>
                <w:color w:val="000000"/>
                <w:lang w:val="en-US" w:eastAsia="zh-CN"/>
              </w:rPr>
              <w:t>18.45671</w:t>
            </w:r>
          </w:p>
        </w:tc>
      </w:tr>
      <w:tr w:rsidR="002271E5" w:rsidRPr="002B1508" w14:paraId="345BFB5F" w14:textId="77777777" w:rsidTr="001B10F9">
        <w:trPr>
          <w:trHeight w:val="290"/>
          <w:jc w:val="center"/>
        </w:trPr>
        <w:tc>
          <w:tcPr>
            <w:tcW w:w="960" w:type="dxa"/>
            <w:noWrap/>
            <w:vAlign w:val="bottom"/>
            <w:hideMark/>
          </w:tcPr>
          <w:p w14:paraId="2C3414AA" w14:textId="36A617D6" w:rsidR="002271E5" w:rsidRPr="00406580" w:rsidRDefault="00AC77A9" w:rsidP="001B10F9">
            <w:pPr>
              <w:spacing w:after="0"/>
              <w:jc w:val="center"/>
              <w:rPr>
                <w:rFonts w:ascii="Aptos Narrow" w:eastAsia="Times New Roman" w:hAnsi="Aptos Narrow"/>
                <w:color w:val="000000"/>
                <w:lang w:val="en-US" w:eastAsia="zh-CN"/>
              </w:rPr>
            </w:pPr>
            <w:r>
              <w:rPr>
                <w:rFonts w:ascii="Aptos Narrow" w:eastAsia="Times New Roman" w:hAnsi="Aptos Narrow"/>
                <w:color w:val="000000"/>
                <w:lang w:val="en-US" w:eastAsia="zh-CN"/>
              </w:rPr>
              <w:t>PC2.2</w:t>
            </w:r>
          </w:p>
        </w:tc>
        <w:tc>
          <w:tcPr>
            <w:tcW w:w="960" w:type="dxa"/>
            <w:noWrap/>
            <w:vAlign w:val="bottom"/>
            <w:hideMark/>
          </w:tcPr>
          <w:p w14:paraId="6509870A" w14:textId="77777777" w:rsidR="002271E5" w:rsidRPr="00406580" w:rsidRDefault="002271E5" w:rsidP="001B10F9">
            <w:pPr>
              <w:spacing w:after="0"/>
              <w:jc w:val="center"/>
              <w:rPr>
                <w:rFonts w:ascii="Aptos Narrow" w:eastAsia="Times New Roman" w:hAnsi="Aptos Narrow"/>
                <w:color w:val="000000"/>
                <w:lang w:val="en-US" w:eastAsia="zh-CN"/>
              </w:rPr>
            </w:pPr>
            <w:r w:rsidRPr="00406580">
              <w:rPr>
                <w:rFonts w:ascii="Aptos Narrow" w:eastAsia="Times New Roman" w:hAnsi="Aptos Narrow"/>
                <w:color w:val="000000"/>
                <w:lang w:val="en-US" w:eastAsia="zh-CN"/>
              </w:rPr>
              <w:t>32</w:t>
            </w:r>
          </w:p>
        </w:tc>
        <w:tc>
          <w:tcPr>
            <w:tcW w:w="1240" w:type="dxa"/>
            <w:noWrap/>
            <w:vAlign w:val="bottom"/>
            <w:hideMark/>
          </w:tcPr>
          <w:p w14:paraId="398E6DD7" w14:textId="77777777" w:rsidR="002271E5" w:rsidRPr="00406580" w:rsidRDefault="002271E5" w:rsidP="001B10F9">
            <w:pPr>
              <w:spacing w:after="0"/>
              <w:jc w:val="center"/>
              <w:rPr>
                <w:rFonts w:ascii="Aptos Narrow" w:eastAsia="Times New Roman" w:hAnsi="Aptos Narrow"/>
                <w:color w:val="000000"/>
                <w:lang w:val="en-US" w:eastAsia="zh-CN"/>
              </w:rPr>
            </w:pPr>
            <w:r w:rsidRPr="00406580">
              <w:rPr>
                <w:rFonts w:ascii="Aptos Narrow" w:eastAsia="Times New Roman" w:hAnsi="Aptos Narrow"/>
                <w:color w:val="000000"/>
                <w:lang w:val="en-US" w:eastAsia="zh-CN"/>
              </w:rPr>
              <w:t>32</w:t>
            </w:r>
          </w:p>
        </w:tc>
        <w:tc>
          <w:tcPr>
            <w:tcW w:w="960" w:type="dxa"/>
            <w:noWrap/>
            <w:vAlign w:val="bottom"/>
            <w:hideMark/>
          </w:tcPr>
          <w:p w14:paraId="28189777" w14:textId="77777777" w:rsidR="002271E5" w:rsidRPr="00406580" w:rsidRDefault="002271E5" w:rsidP="001B10F9">
            <w:pPr>
              <w:spacing w:after="0"/>
              <w:jc w:val="center"/>
              <w:rPr>
                <w:rFonts w:ascii="Aptos Narrow" w:eastAsia="Times New Roman" w:hAnsi="Aptos Narrow"/>
                <w:color w:val="000000"/>
                <w:lang w:val="en-US" w:eastAsia="zh-CN"/>
              </w:rPr>
            </w:pPr>
            <w:r w:rsidRPr="00406580">
              <w:rPr>
                <w:rFonts w:ascii="Aptos Narrow" w:eastAsia="Times New Roman" w:hAnsi="Aptos Narrow"/>
                <w:color w:val="000000"/>
                <w:lang w:val="en-US" w:eastAsia="zh-CN"/>
              </w:rPr>
              <w:t>64</w:t>
            </w:r>
          </w:p>
        </w:tc>
        <w:tc>
          <w:tcPr>
            <w:tcW w:w="960" w:type="dxa"/>
            <w:noWrap/>
            <w:hideMark/>
          </w:tcPr>
          <w:p w14:paraId="52777936" w14:textId="77777777" w:rsidR="002271E5" w:rsidRPr="00406580" w:rsidRDefault="002271E5" w:rsidP="001B10F9">
            <w:pPr>
              <w:spacing w:after="0"/>
              <w:jc w:val="center"/>
              <w:rPr>
                <w:rFonts w:ascii="Aptos Narrow" w:eastAsia="Times New Roman" w:hAnsi="Aptos Narrow"/>
                <w:color w:val="000000"/>
                <w:lang w:val="en-US" w:eastAsia="zh-CN"/>
              </w:rPr>
            </w:pPr>
            <w:r w:rsidRPr="002B1508">
              <w:rPr>
                <w:rFonts w:ascii="Aptos Narrow" w:eastAsia="Times New Roman" w:hAnsi="Aptos Narrow"/>
                <w:color w:val="000000"/>
                <w:lang w:val="en-US" w:eastAsia="zh-CN"/>
              </w:rPr>
              <w:t>SQ</w:t>
            </w:r>
          </w:p>
        </w:tc>
        <w:tc>
          <w:tcPr>
            <w:tcW w:w="585" w:type="dxa"/>
            <w:noWrap/>
            <w:vAlign w:val="bottom"/>
            <w:hideMark/>
          </w:tcPr>
          <w:p w14:paraId="4C71E34F" w14:textId="77777777" w:rsidR="002271E5" w:rsidRPr="00406580" w:rsidRDefault="002271E5" w:rsidP="001B10F9">
            <w:pPr>
              <w:spacing w:after="0"/>
              <w:jc w:val="center"/>
              <w:rPr>
                <w:rFonts w:ascii="Aptos Narrow" w:eastAsia="Times New Roman" w:hAnsi="Aptos Narrow"/>
                <w:color w:val="000000"/>
                <w:lang w:val="en-US" w:eastAsia="zh-CN"/>
              </w:rPr>
            </w:pPr>
            <w:r w:rsidRPr="00406580">
              <w:rPr>
                <w:rFonts w:ascii="Aptos Narrow" w:eastAsia="Times New Roman" w:hAnsi="Aptos Narrow"/>
                <w:color w:val="000000"/>
                <w:lang w:val="en-US" w:eastAsia="zh-CN"/>
              </w:rPr>
              <w:t>2</w:t>
            </w:r>
          </w:p>
        </w:tc>
        <w:tc>
          <w:tcPr>
            <w:tcW w:w="1440" w:type="dxa"/>
            <w:noWrap/>
            <w:vAlign w:val="bottom"/>
            <w:hideMark/>
          </w:tcPr>
          <w:p w14:paraId="482A2D9B" w14:textId="3D6F0201" w:rsidR="002271E5" w:rsidRPr="00406580" w:rsidRDefault="002271E5" w:rsidP="001B10F9">
            <w:pPr>
              <w:spacing w:after="0"/>
              <w:jc w:val="center"/>
              <w:rPr>
                <w:rFonts w:ascii="Aptos Narrow" w:eastAsia="Times New Roman" w:hAnsi="Aptos Narrow"/>
                <w:color w:val="000000"/>
                <w:lang w:val="en-US" w:eastAsia="zh-CN"/>
              </w:rPr>
            </w:pPr>
            <w:r w:rsidRPr="00406580">
              <w:rPr>
                <w:rFonts w:ascii="Aptos Narrow" w:eastAsia="Times New Roman" w:hAnsi="Aptos Narrow"/>
                <w:color w:val="000000"/>
                <w:lang w:val="en-US" w:eastAsia="zh-CN"/>
              </w:rPr>
              <w:t>256</w:t>
            </w:r>
            <w:r w:rsidR="00127143">
              <w:rPr>
                <w:rFonts w:ascii="Aptos Narrow" w:eastAsia="Times New Roman" w:hAnsi="Aptos Narrow"/>
                <w:color w:val="000000"/>
                <w:lang w:val="en-US" w:eastAsia="zh-CN"/>
              </w:rPr>
              <w:t xml:space="preserve"> (</w:t>
            </w:r>
            <w:r w:rsidR="00E35BB8">
              <w:rPr>
                <w:rFonts w:ascii="Aptos Narrow" w:eastAsia="Times New Roman" w:hAnsi="Aptos Narrow"/>
                <w:color w:val="000000"/>
                <w:lang w:val="en-US" w:eastAsia="zh-CN"/>
              </w:rPr>
              <w:t>2x</w:t>
            </w:r>
            <w:r w:rsidR="00127143">
              <w:rPr>
                <w:rFonts w:ascii="Aptos Narrow" w:eastAsia="Times New Roman" w:hAnsi="Aptos Narrow"/>
                <w:color w:val="000000"/>
                <w:lang w:val="en-US" w:eastAsia="zh-CN"/>
              </w:rPr>
              <w:t>)</w:t>
            </w:r>
          </w:p>
        </w:tc>
        <w:tc>
          <w:tcPr>
            <w:tcW w:w="1509" w:type="dxa"/>
            <w:noWrap/>
            <w:vAlign w:val="bottom"/>
            <w:hideMark/>
          </w:tcPr>
          <w:p w14:paraId="15248055" w14:textId="77777777" w:rsidR="002271E5" w:rsidRPr="00406580" w:rsidRDefault="002271E5" w:rsidP="001B10F9">
            <w:pPr>
              <w:spacing w:after="0"/>
              <w:jc w:val="center"/>
              <w:rPr>
                <w:rFonts w:ascii="Aptos Narrow" w:eastAsia="Times New Roman" w:hAnsi="Aptos Narrow"/>
                <w:color w:val="000000"/>
                <w:lang w:val="en-US" w:eastAsia="zh-CN"/>
              </w:rPr>
            </w:pPr>
            <w:r w:rsidRPr="00406580">
              <w:rPr>
                <w:rFonts w:ascii="Aptos Narrow" w:eastAsia="Times New Roman" w:hAnsi="Aptos Narrow"/>
                <w:color w:val="000000"/>
                <w:lang w:val="en-US" w:eastAsia="zh-CN"/>
              </w:rPr>
              <w:t>18.71243</w:t>
            </w:r>
          </w:p>
        </w:tc>
      </w:tr>
      <w:tr w:rsidR="002271E5" w:rsidRPr="002B1508" w14:paraId="58A621EF" w14:textId="77777777" w:rsidTr="001B10F9">
        <w:trPr>
          <w:trHeight w:val="290"/>
          <w:jc w:val="center"/>
        </w:trPr>
        <w:tc>
          <w:tcPr>
            <w:tcW w:w="960" w:type="dxa"/>
            <w:noWrap/>
            <w:vAlign w:val="bottom"/>
            <w:hideMark/>
          </w:tcPr>
          <w:p w14:paraId="47C731B8" w14:textId="12F48E2C" w:rsidR="002271E5" w:rsidRPr="00406580" w:rsidRDefault="00127143" w:rsidP="001B10F9">
            <w:pPr>
              <w:spacing w:after="0"/>
              <w:jc w:val="center"/>
              <w:rPr>
                <w:rFonts w:ascii="Aptos Narrow" w:eastAsia="Times New Roman" w:hAnsi="Aptos Narrow"/>
                <w:color w:val="000000"/>
                <w:lang w:val="en-US" w:eastAsia="zh-CN"/>
              </w:rPr>
            </w:pPr>
            <w:r>
              <w:rPr>
                <w:rFonts w:ascii="Aptos Narrow" w:eastAsia="Times New Roman" w:hAnsi="Aptos Narrow"/>
                <w:color w:val="000000"/>
                <w:lang w:val="en-US" w:eastAsia="zh-CN"/>
              </w:rPr>
              <w:t>PC3</w:t>
            </w:r>
            <w:r w:rsidR="0015638A">
              <w:rPr>
                <w:rFonts w:ascii="Aptos Narrow" w:eastAsia="Times New Roman" w:hAnsi="Aptos Narrow"/>
                <w:color w:val="000000"/>
                <w:lang w:val="en-US" w:eastAsia="zh-CN"/>
              </w:rPr>
              <w:t>.1</w:t>
            </w:r>
          </w:p>
        </w:tc>
        <w:tc>
          <w:tcPr>
            <w:tcW w:w="960" w:type="dxa"/>
            <w:noWrap/>
            <w:vAlign w:val="bottom"/>
            <w:hideMark/>
          </w:tcPr>
          <w:p w14:paraId="3FCB4140" w14:textId="77777777" w:rsidR="002271E5" w:rsidRPr="00406580" w:rsidRDefault="002271E5" w:rsidP="001B10F9">
            <w:pPr>
              <w:spacing w:after="0"/>
              <w:jc w:val="center"/>
              <w:rPr>
                <w:rFonts w:ascii="Aptos Narrow" w:eastAsia="Times New Roman" w:hAnsi="Aptos Narrow"/>
                <w:color w:val="000000"/>
                <w:lang w:val="en-US" w:eastAsia="zh-CN"/>
              </w:rPr>
            </w:pPr>
            <w:r w:rsidRPr="00406580">
              <w:rPr>
                <w:rFonts w:ascii="Aptos Narrow" w:eastAsia="Times New Roman" w:hAnsi="Aptos Narrow"/>
                <w:color w:val="000000"/>
                <w:lang w:val="en-US" w:eastAsia="zh-CN"/>
              </w:rPr>
              <w:t>64</w:t>
            </w:r>
          </w:p>
        </w:tc>
        <w:tc>
          <w:tcPr>
            <w:tcW w:w="1240" w:type="dxa"/>
            <w:noWrap/>
            <w:vAlign w:val="bottom"/>
            <w:hideMark/>
          </w:tcPr>
          <w:p w14:paraId="7393132E" w14:textId="77777777" w:rsidR="002271E5" w:rsidRPr="00406580" w:rsidRDefault="002271E5" w:rsidP="001B10F9">
            <w:pPr>
              <w:spacing w:after="0"/>
              <w:jc w:val="center"/>
              <w:rPr>
                <w:rFonts w:ascii="Aptos Narrow" w:eastAsia="Times New Roman" w:hAnsi="Aptos Narrow"/>
                <w:color w:val="000000"/>
                <w:lang w:val="en-US" w:eastAsia="zh-CN"/>
              </w:rPr>
            </w:pPr>
            <w:r w:rsidRPr="00406580">
              <w:rPr>
                <w:rFonts w:ascii="Aptos Narrow" w:eastAsia="Times New Roman" w:hAnsi="Aptos Narrow"/>
                <w:color w:val="000000"/>
                <w:lang w:val="en-US" w:eastAsia="zh-CN"/>
              </w:rPr>
              <w:t>64</w:t>
            </w:r>
          </w:p>
        </w:tc>
        <w:tc>
          <w:tcPr>
            <w:tcW w:w="960" w:type="dxa"/>
            <w:noWrap/>
            <w:vAlign w:val="bottom"/>
            <w:hideMark/>
          </w:tcPr>
          <w:p w14:paraId="6C53D13B" w14:textId="77777777" w:rsidR="002271E5" w:rsidRPr="00406580" w:rsidRDefault="002271E5" w:rsidP="001B10F9">
            <w:pPr>
              <w:spacing w:after="0"/>
              <w:jc w:val="center"/>
              <w:rPr>
                <w:rFonts w:ascii="Aptos Narrow" w:eastAsia="Times New Roman" w:hAnsi="Aptos Narrow"/>
                <w:color w:val="000000"/>
                <w:lang w:val="en-US" w:eastAsia="zh-CN"/>
              </w:rPr>
            </w:pPr>
            <w:r w:rsidRPr="00406580">
              <w:rPr>
                <w:rFonts w:ascii="Aptos Narrow" w:eastAsia="Times New Roman" w:hAnsi="Aptos Narrow"/>
                <w:color w:val="000000"/>
                <w:lang w:val="en-US" w:eastAsia="zh-CN"/>
              </w:rPr>
              <w:t>64</w:t>
            </w:r>
          </w:p>
        </w:tc>
        <w:tc>
          <w:tcPr>
            <w:tcW w:w="960" w:type="dxa"/>
            <w:noWrap/>
            <w:hideMark/>
          </w:tcPr>
          <w:p w14:paraId="668EB8A5" w14:textId="77777777" w:rsidR="002271E5" w:rsidRPr="00406580" w:rsidRDefault="002271E5" w:rsidP="001B10F9">
            <w:pPr>
              <w:spacing w:after="0"/>
              <w:jc w:val="center"/>
              <w:rPr>
                <w:rFonts w:ascii="Aptos Narrow" w:eastAsia="Times New Roman" w:hAnsi="Aptos Narrow"/>
                <w:color w:val="000000"/>
                <w:lang w:val="en-US" w:eastAsia="zh-CN"/>
              </w:rPr>
            </w:pPr>
            <w:r w:rsidRPr="002B1508">
              <w:rPr>
                <w:rFonts w:ascii="Aptos Narrow" w:eastAsia="Times New Roman" w:hAnsi="Aptos Narrow"/>
                <w:color w:val="000000"/>
                <w:lang w:val="en-US" w:eastAsia="zh-CN"/>
              </w:rPr>
              <w:t>SQ</w:t>
            </w:r>
          </w:p>
        </w:tc>
        <w:tc>
          <w:tcPr>
            <w:tcW w:w="585" w:type="dxa"/>
            <w:noWrap/>
            <w:vAlign w:val="bottom"/>
            <w:hideMark/>
          </w:tcPr>
          <w:p w14:paraId="0C4E87A8" w14:textId="77777777" w:rsidR="002271E5" w:rsidRPr="00406580" w:rsidRDefault="002271E5" w:rsidP="001B10F9">
            <w:pPr>
              <w:spacing w:after="0"/>
              <w:jc w:val="center"/>
              <w:rPr>
                <w:rFonts w:ascii="Aptos Narrow" w:eastAsia="Times New Roman" w:hAnsi="Aptos Narrow"/>
                <w:color w:val="000000"/>
                <w:lang w:val="en-US" w:eastAsia="zh-CN"/>
              </w:rPr>
            </w:pPr>
            <w:r w:rsidRPr="00406580">
              <w:rPr>
                <w:rFonts w:ascii="Aptos Narrow" w:eastAsia="Times New Roman" w:hAnsi="Aptos Narrow"/>
                <w:color w:val="000000"/>
                <w:lang w:val="en-US" w:eastAsia="zh-CN"/>
              </w:rPr>
              <w:t>2</w:t>
            </w:r>
          </w:p>
        </w:tc>
        <w:tc>
          <w:tcPr>
            <w:tcW w:w="1440" w:type="dxa"/>
            <w:noWrap/>
            <w:vAlign w:val="bottom"/>
            <w:hideMark/>
          </w:tcPr>
          <w:p w14:paraId="3BB6F938" w14:textId="50144266" w:rsidR="002271E5" w:rsidRPr="00406580" w:rsidRDefault="002271E5" w:rsidP="001B10F9">
            <w:pPr>
              <w:spacing w:after="0"/>
              <w:jc w:val="center"/>
              <w:rPr>
                <w:rFonts w:ascii="Aptos Narrow" w:eastAsia="Times New Roman" w:hAnsi="Aptos Narrow"/>
                <w:color w:val="000000"/>
                <w:lang w:val="en-US" w:eastAsia="zh-CN"/>
              </w:rPr>
            </w:pPr>
            <w:r w:rsidRPr="00406580">
              <w:rPr>
                <w:rFonts w:ascii="Aptos Narrow" w:eastAsia="Times New Roman" w:hAnsi="Aptos Narrow"/>
                <w:color w:val="000000"/>
                <w:lang w:val="en-US" w:eastAsia="zh-CN"/>
              </w:rPr>
              <w:t>384</w:t>
            </w:r>
            <w:r w:rsidR="00E35BB8">
              <w:rPr>
                <w:rFonts w:ascii="Aptos Narrow" w:eastAsia="Times New Roman" w:hAnsi="Aptos Narrow"/>
                <w:color w:val="000000"/>
                <w:lang w:val="en-US" w:eastAsia="zh-CN"/>
              </w:rPr>
              <w:t xml:space="preserve"> (2x)</w:t>
            </w:r>
          </w:p>
        </w:tc>
        <w:tc>
          <w:tcPr>
            <w:tcW w:w="1509" w:type="dxa"/>
            <w:noWrap/>
            <w:vAlign w:val="bottom"/>
            <w:hideMark/>
          </w:tcPr>
          <w:p w14:paraId="7583B43B" w14:textId="77777777" w:rsidR="002271E5" w:rsidRPr="00406580" w:rsidRDefault="002271E5" w:rsidP="001B10F9">
            <w:pPr>
              <w:spacing w:after="0"/>
              <w:jc w:val="center"/>
              <w:rPr>
                <w:rFonts w:ascii="Aptos Narrow" w:eastAsia="Times New Roman" w:hAnsi="Aptos Narrow"/>
                <w:color w:val="000000"/>
                <w:lang w:val="en-US" w:eastAsia="zh-CN"/>
              </w:rPr>
            </w:pPr>
            <w:r w:rsidRPr="00406580">
              <w:rPr>
                <w:rFonts w:ascii="Aptos Narrow" w:eastAsia="Times New Roman" w:hAnsi="Aptos Narrow"/>
                <w:color w:val="000000"/>
                <w:lang w:val="en-US" w:eastAsia="zh-CN"/>
              </w:rPr>
              <w:t>18.95629</w:t>
            </w:r>
          </w:p>
        </w:tc>
      </w:tr>
      <w:tr w:rsidR="002271E5" w:rsidRPr="002B1508" w14:paraId="2A9DC483" w14:textId="77777777" w:rsidTr="001B10F9">
        <w:trPr>
          <w:trHeight w:val="290"/>
          <w:jc w:val="center"/>
        </w:trPr>
        <w:tc>
          <w:tcPr>
            <w:tcW w:w="960" w:type="dxa"/>
            <w:noWrap/>
            <w:vAlign w:val="bottom"/>
            <w:hideMark/>
          </w:tcPr>
          <w:p w14:paraId="7870BA3E" w14:textId="323599D9" w:rsidR="002271E5" w:rsidRPr="00406580" w:rsidRDefault="00C341F6" w:rsidP="001B10F9">
            <w:pPr>
              <w:spacing w:after="0"/>
              <w:jc w:val="center"/>
              <w:rPr>
                <w:rFonts w:ascii="Aptos Narrow" w:eastAsia="Times New Roman" w:hAnsi="Aptos Narrow"/>
                <w:color w:val="000000"/>
                <w:lang w:val="en-US" w:eastAsia="zh-CN"/>
              </w:rPr>
            </w:pPr>
            <w:r>
              <w:rPr>
                <w:rFonts w:ascii="Aptos Narrow" w:eastAsia="Times New Roman" w:hAnsi="Aptos Narrow"/>
                <w:color w:val="000000"/>
                <w:lang w:val="en-US" w:eastAsia="zh-CN"/>
              </w:rPr>
              <w:t>PC3.</w:t>
            </w:r>
            <w:r w:rsidR="0015638A">
              <w:rPr>
                <w:rFonts w:ascii="Aptos Narrow" w:eastAsia="Times New Roman" w:hAnsi="Aptos Narrow"/>
                <w:color w:val="000000"/>
                <w:lang w:val="en-US" w:eastAsia="zh-CN"/>
              </w:rPr>
              <w:t>2</w:t>
            </w:r>
          </w:p>
        </w:tc>
        <w:tc>
          <w:tcPr>
            <w:tcW w:w="960" w:type="dxa"/>
            <w:noWrap/>
            <w:vAlign w:val="bottom"/>
            <w:hideMark/>
          </w:tcPr>
          <w:p w14:paraId="17A5D65C" w14:textId="77777777" w:rsidR="002271E5" w:rsidRPr="00406580" w:rsidRDefault="002271E5" w:rsidP="001B10F9">
            <w:pPr>
              <w:spacing w:after="0"/>
              <w:jc w:val="center"/>
              <w:rPr>
                <w:rFonts w:ascii="Aptos Narrow" w:eastAsia="Times New Roman" w:hAnsi="Aptos Narrow"/>
                <w:color w:val="000000"/>
                <w:lang w:val="en-US" w:eastAsia="zh-CN"/>
              </w:rPr>
            </w:pPr>
            <w:r w:rsidRPr="00406580">
              <w:rPr>
                <w:rFonts w:ascii="Aptos Narrow" w:eastAsia="Times New Roman" w:hAnsi="Aptos Narrow"/>
                <w:color w:val="000000"/>
                <w:lang w:val="en-US" w:eastAsia="zh-CN"/>
              </w:rPr>
              <w:t>96</w:t>
            </w:r>
          </w:p>
        </w:tc>
        <w:tc>
          <w:tcPr>
            <w:tcW w:w="1240" w:type="dxa"/>
            <w:noWrap/>
            <w:vAlign w:val="bottom"/>
            <w:hideMark/>
          </w:tcPr>
          <w:p w14:paraId="501D4862" w14:textId="77777777" w:rsidR="002271E5" w:rsidRPr="00406580" w:rsidRDefault="002271E5" w:rsidP="001B10F9">
            <w:pPr>
              <w:spacing w:after="0"/>
              <w:jc w:val="center"/>
              <w:rPr>
                <w:rFonts w:ascii="Aptos Narrow" w:eastAsia="Times New Roman" w:hAnsi="Aptos Narrow"/>
                <w:color w:val="000000"/>
                <w:lang w:val="en-US" w:eastAsia="zh-CN"/>
              </w:rPr>
            </w:pPr>
            <w:r w:rsidRPr="00406580">
              <w:rPr>
                <w:rFonts w:ascii="Aptos Narrow" w:eastAsia="Times New Roman" w:hAnsi="Aptos Narrow"/>
                <w:color w:val="000000"/>
                <w:lang w:val="en-US" w:eastAsia="zh-CN"/>
              </w:rPr>
              <w:t>64</w:t>
            </w:r>
          </w:p>
        </w:tc>
        <w:tc>
          <w:tcPr>
            <w:tcW w:w="960" w:type="dxa"/>
            <w:noWrap/>
            <w:vAlign w:val="bottom"/>
            <w:hideMark/>
          </w:tcPr>
          <w:p w14:paraId="0E6EC3F4" w14:textId="77777777" w:rsidR="002271E5" w:rsidRPr="00406580" w:rsidRDefault="002271E5" w:rsidP="001B10F9">
            <w:pPr>
              <w:spacing w:after="0"/>
              <w:jc w:val="center"/>
              <w:rPr>
                <w:rFonts w:ascii="Aptos Narrow" w:eastAsia="Times New Roman" w:hAnsi="Aptos Narrow"/>
                <w:color w:val="000000"/>
                <w:lang w:val="en-US" w:eastAsia="zh-CN"/>
              </w:rPr>
            </w:pPr>
            <w:r w:rsidRPr="00406580">
              <w:rPr>
                <w:rFonts w:ascii="Aptos Narrow" w:eastAsia="Times New Roman" w:hAnsi="Aptos Narrow"/>
                <w:color w:val="000000"/>
                <w:lang w:val="en-US" w:eastAsia="zh-CN"/>
              </w:rPr>
              <w:t>64</w:t>
            </w:r>
          </w:p>
        </w:tc>
        <w:tc>
          <w:tcPr>
            <w:tcW w:w="960" w:type="dxa"/>
            <w:noWrap/>
            <w:hideMark/>
          </w:tcPr>
          <w:p w14:paraId="4A600DC7" w14:textId="77777777" w:rsidR="002271E5" w:rsidRPr="00406580" w:rsidRDefault="002271E5" w:rsidP="001B10F9">
            <w:pPr>
              <w:spacing w:after="0"/>
              <w:jc w:val="center"/>
              <w:rPr>
                <w:rFonts w:ascii="Aptos Narrow" w:eastAsia="Times New Roman" w:hAnsi="Aptos Narrow"/>
                <w:color w:val="000000"/>
                <w:lang w:val="en-US" w:eastAsia="zh-CN"/>
              </w:rPr>
            </w:pPr>
            <w:r w:rsidRPr="002B1508">
              <w:rPr>
                <w:rFonts w:ascii="Aptos Narrow" w:eastAsia="Times New Roman" w:hAnsi="Aptos Narrow"/>
                <w:color w:val="000000"/>
                <w:lang w:val="en-US" w:eastAsia="zh-CN"/>
              </w:rPr>
              <w:t>SQ</w:t>
            </w:r>
          </w:p>
        </w:tc>
        <w:tc>
          <w:tcPr>
            <w:tcW w:w="585" w:type="dxa"/>
            <w:noWrap/>
            <w:vAlign w:val="bottom"/>
            <w:hideMark/>
          </w:tcPr>
          <w:p w14:paraId="61FD7697" w14:textId="77777777" w:rsidR="002271E5" w:rsidRPr="00406580" w:rsidRDefault="002271E5" w:rsidP="001B10F9">
            <w:pPr>
              <w:spacing w:after="0"/>
              <w:jc w:val="center"/>
              <w:rPr>
                <w:rFonts w:ascii="Aptos Narrow" w:eastAsia="Times New Roman" w:hAnsi="Aptos Narrow"/>
                <w:color w:val="000000"/>
                <w:lang w:val="en-US" w:eastAsia="zh-CN"/>
              </w:rPr>
            </w:pPr>
            <w:r w:rsidRPr="00406580">
              <w:rPr>
                <w:rFonts w:ascii="Aptos Narrow" w:eastAsia="Times New Roman" w:hAnsi="Aptos Narrow"/>
                <w:color w:val="000000"/>
                <w:lang w:val="en-US" w:eastAsia="zh-CN"/>
              </w:rPr>
              <w:t>2</w:t>
            </w:r>
          </w:p>
        </w:tc>
        <w:tc>
          <w:tcPr>
            <w:tcW w:w="1440" w:type="dxa"/>
            <w:noWrap/>
            <w:vAlign w:val="bottom"/>
            <w:hideMark/>
          </w:tcPr>
          <w:p w14:paraId="53BB5CE4" w14:textId="6B4E37CB" w:rsidR="002271E5" w:rsidRPr="00406580" w:rsidRDefault="002271E5" w:rsidP="001B10F9">
            <w:pPr>
              <w:spacing w:after="0"/>
              <w:jc w:val="center"/>
              <w:rPr>
                <w:rFonts w:ascii="Aptos Narrow" w:eastAsia="Times New Roman" w:hAnsi="Aptos Narrow"/>
                <w:color w:val="000000"/>
                <w:lang w:val="en-US" w:eastAsia="zh-CN"/>
              </w:rPr>
            </w:pPr>
            <w:r w:rsidRPr="00406580">
              <w:rPr>
                <w:rFonts w:ascii="Aptos Narrow" w:eastAsia="Times New Roman" w:hAnsi="Aptos Narrow"/>
                <w:color w:val="000000"/>
                <w:lang w:val="en-US" w:eastAsia="zh-CN"/>
              </w:rPr>
              <w:t>448</w:t>
            </w:r>
            <w:r w:rsidR="00E35BB8">
              <w:rPr>
                <w:rFonts w:ascii="Aptos Narrow" w:eastAsia="Times New Roman" w:hAnsi="Aptos Narrow"/>
                <w:color w:val="000000"/>
                <w:lang w:val="en-US" w:eastAsia="zh-CN"/>
              </w:rPr>
              <w:t xml:space="preserve"> (</w:t>
            </w:r>
            <w:r w:rsidR="00C341F6">
              <w:rPr>
                <w:rFonts w:ascii="Aptos Narrow" w:eastAsia="Times New Roman" w:hAnsi="Aptos Narrow"/>
                <w:color w:val="000000"/>
                <w:lang w:val="en-US" w:eastAsia="zh-CN"/>
              </w:rPr>
              <w:t>2.33x</w:t>
            </w:r>
            <w:r w:rsidR="00E35BB8">
              <w:rPr>
                <w:rFonts w:ascii="Aptos Narrow" w:eastAsia="Times New Roman" w:hAnsi="Aptos Narrow"/>
                <w:color w:val="000000"/>
                <w:lang w:val="en-US" w:eastAsia="zh-CN"/>
              </w:rPr>
              <w:t>)</w:t>
            </w:r>
          </w:p>
        </w:tc>
        <w:tc>
          <w:tcPr>
            <w:tcW w:w="1509" w:type="dxa"/>
            <w:noWrap/>
            <w:vAlign w:val="bottom"/>
            <w:hideMark/>
          </w:tcPr>
          <w:p w14:paraId="55E76F18" w14:textId="77777777" w:rsidR="002271E5" w:rsidRPr="00406580" w:rsidRDefault="002271E5" w:rsidP="001B10F9">
            <w:pPr>
              <w:spacing w:after="0"/>
              <w:jc w:val="center"/>
              <w:rPr>
                <w:rFonts w:ascii="Aptos Narrow" w:eastAsia="Times New Roman" w:hAnsi="Aptos Narrow"/>
                <w:color w:val="000000"/>
                <w:lang w:val="en-US" w:eastAsia="zh-CN"/>
              </w:rPr>
            </w:pPr>
            <w:r w:rsidRPr="00406580">
              <w:rPr>
                <w:rFonts w:ascii="Aptos Narrow" w:eastAsia="Times New Roman" w:hAnsi="Aptos Narrow"/>
                <w:color w:val="000000"/>
                <w:lang w:val="en-US" w:eastAsia="zh-CN"/>
              </w:rPr>
              <w:t>18.9634</w:t>
            </w:r>
          </w:p>
        </w:tc>
      </w:tr>
      <w:tr w:rsidR="002271E5" w:rsidRPr="002B1508" w14:paraId="4158C470" w14:textId="77777777" w:rsidTr="001B10F9">
        <w:trPr>
          <w:trHeight w:val="290"/>
          <w:jc w:val="center"/>
        </w:trPr>
        <w:tc>
          <w:tcPr>
            <w:tcW w:w="960" w:type="dxa"/>
            <w:noWrap/>
            <w:vAlign w:val="bottom"/>
            <w:hideMark/>
          </w:tcPr>
          <w:p w14:paraId="01889270" w14:textId="57D44ADE" w:rsidR="002271E5" w:rsidRPr="00406580" w:rsidRDefault="00C341F6" w:rsidP="001B10F9">
            <w:pPr>
              <w:spacing w:after="0"/>
              <w:jc w:val="center"/>
              <w:rPr>
                <w:rFonts w:ascii="Aptos Narrow" w:eastAsia="Times New Roman" w:hAnsi="Aptos Narrow"/>
                <w:color w:val="000000"/>
                <w:lang w:val="en-US" w:eastAsia="zh-CN"/>
              </w:rPr>
            </w:pPr>
            <w:r>
              <w:rPr>
                <w:rFonts w:ascii="Aptos Narrow" w:eastAsia="Times New Roman" w:hAnsi="Aptos Narrow"/>
                <w:color w:val="000000"/>
                <w:lang w:val="en-US" w:eastAsia="zh-CN"/>
              </w:rPr>
              <w:t>PC3.</w:t>
            </w:r>
            <w:r w:rsidR="0015638A">
              <w:rPr>
                <w:rFonts w:ascii="Aptos Narrow" w:eastAsia="Times New Roman" w:hAnsi="Aptos Narrow"/>
                <w:color w:val="000000"/>
                <w:lang w:val="en-US" w:eastAsia="zh-CN"/>
              </w:rPr>
              <w:t>3</w:t>
            </w:r>
          </w:p>
        </w:tc>
        <w:tc>
          <w:tcPr>
            <w:tcW w:w="960" w:type="dxa"/>
            <w:noWrap/>
            <w:vAlign w:val="bottom"/>
            <w:hideMark/>
          </w:tcPr>
          <w:p w14:paraId="6F6672AE" w14:textId="77777777" w:rsidR="002271E5" w:rsidRPr="00406580" w:rsidRDefault="002271E5" w:rsidP="001B10F9">
            <w:pPr>
              <w:spacing w:after="0"/>
              <w:jc w:val="center"/>
              <w:rPr>
                <w:rFonts w:ascii="Aptos Narrow" w:eastAsia="Times New Roman" w:hAnsi="Aptos Narrow"/>
                <w:color w:val="000000"/>
                <w:lang w:val="en-US" w:eastAsia="zh-CN"/>
              </w:rPr>
            </w:pPr>
            <w:r w:rsidRPr="00406580">
              <w:rPr>
                <w:rFonts w:ascii="Aptos Narrow" w:eastAsia="Times New Roman" w:hAnsi="Aptos Narrow"/>
                <w:color w:val="000000"/>
                <w:lang w:val="en-US" w:eastAsia="zh-CN"/>
              </w:rPr>
              <w:t>64</w:t>
            </w:r>
          </w:p>
        </w:tc>
        <w:tc>
          <w:tcPr>
            <w:tcW w:w="1240" w:type="dxa"/>
            <w:noWrap/>
            <w:vAlign w:val="bottom"/>
            <w:hideMark/>
          </w:tcPr>
          <w:p w14:paraId="484A6C8E" w14:textId="77777777" w:rsidR="002271E5" w:rsidRPr="00406580" w:rsidRDefault="002271E5" w:rsidP="001B10F9">
            <w:pPr>
              <w:spacing w:after="0"/>
              <w:jc w:val="center"/>
              <w:rPr>
                <w:rFonts w:ascii="Aptos Narrow" w:eastAsia="Times New Roman" w:hAnsi="Aptos Narrow"/>
                <w:color w:val="000000"/>
                <w:lang w:val="en-US" w:eastAsia="zh-CN"/>
              </w:rPr>
            </w:pPr>
            <w:r w:rsidRPr="00406580">
              <w:rPr>
                <w:rFonts w:ascii="Aptos Narrow" w:eastAsia="Times New Roman" w:hAnsi="Aptos Narrow"/>
                <w:color w:val="000000"/>
                <w:lang w:val="en-US" w:eastAsia="zh-CN"/>
              </w:rPr>
              <w:t>64</w:t>
            </w:r>
          </w:p>
        </w:tc>
        <w:tc>
          <w:tcPr>
            <w:tcW w:w="960" w:type="dxa"/>
            <w:noWrap/>
            <w:vAlign w:val="bottom"/>
            <w:hideMark/>
          </w:tcPr>
          <w:p w14:paraId="6A3365D1" w14:textId="77777777" w:rsidR="002271E5" w:rsidRPr="00406580" w:rsidRDefault="002271E5" w:rsidP="001B10F9">
            <w:pPr>
              <w:spacing w:after="0"/>
              <w:jc w:val="center"/>
              <w:rPr>
                <w:rFonts w:ascii="Aptos Narrow" w:eastAsia="Times New Roman" w:hAnsi="Aptos Narrow"/>
                <w:color w:val="000000"/>
                <w:lang w:val="en-US" w:eastAsia="zh-CN"/>
              </w:rPr>
            </w:pPr>
            <w:r w:rsidRPr="00406580">
              <w:rPr>
                <w:rFonts w:ascii="Aptos Narrow" w:eastAsia="Times New Roman" w:hAnsi="Aptos Narrow"/>
                <w:color w:val="000000"/>
                <w:lang w:val="en-US" w:eastAsia="zh-CN"/>
              </w:rPr>
              <w:t>96</w:t>
            </w:r>
          </w:p>
        </w:tc>
        <w:tc>
          <w:tcPr>
            <w:tcW w:w="960" w:type="dxa"/>
            <w:noWrap/>
            <w:hideMark/>
          </w:tcPr>
          <w:p w14:paraId="50D5E1C9" w14:textId="77777777" w:rsidR="002271E5" w:rsidRPr="00406580" w:rsidRDefault="002271E5" w:rsidP="001B10F9">
            <w:pPr>
              <w:spacing w:after="0"/>
              <w:jc w:val="center"/>
              <w:rPr>
                <w:rFonts w:ascii="Aptos Narrow" w:eastAsia="Times New Roman" w:hAnsi="Aptos Narrow"/>
                <w:color w:val="000000"/>
                <w:lang w:val="en-US" w:eastAsia="zh-CN"/>
              </w:rPr>
            </w:pPr>
            <w:r w:rsidRPr="002B1508">
              <w:rPr>
                <w:rFonts w:ascii="Aptos Narrow" w:eastAsia="Times New Roman" w:hAnsi="Aptos Narrow"/>
                <w:color w:val="000000"/>
                <w:lang w:val="en-US" w:eastAsia="zh-CN"/>
              </w:rPr>
              <w:t>SQ</w:t>
            </w:r>
          </w:p>
        </w:tc>
        <w:tc>
          <w:tcPr>
            <w:tcW w:w="585" w:type="dxa"/>
            <w:noWrap/>
            <w:vAlign w:val="bottom"/>
            <w:hideMark/>
          </w:tcPr>
          <w:p w14:paraId="3843B436" w14:textId="77777777" w:rsidR="002271E5" w:rsidRPr="00406580" w:rsidRDefault="002271E5" w:rsidP="001B10F9">
            <w:pPr>
              <w:spacing w:after="0"/>
              <w:jc w:val="center"/>
              <w:rPr>
                <w:rFonts w:ascii="Aptos Narrow" w:eastAsia="Times New Roman" w:hAnsi="Aptos Narrow"/>
                <w:color w:val="000000"/>
                <w:lang w:val="en-US" w:eastAsia="zh-CN"/>
              </w:rPr>
            </w:pPr>
            <w:r w:rsidRPr="00406580">
              <w:rPr>
                <w:rFonts w:ascii="Aptos Narrow" w:eastAsia="Times New Roman" w:hAnsi="Aptos Narrow"/>
                <w:color w:val="000000"/>
                <w:lang w:val="en-US" w:eastAsia="zh-CN"/>
              </w:rPr>
              <w:t>2</w:t>
            </w:r>
          </w:p>
        </w:tc>
        <w:tc>
          <w:tcPr>
            <w:tcW w:w="1440" w:type="dxa"/>
            <w:noWrap/>
            <w:vAlign w:val="bottom"/>
            <w:hideMark/>
          </w:tcPr>
          <w:p w14:paraId="18654D71" w14:textId="2E4EDF13" w:rsidR="002271E5" w:rsidRPr="00406580" w:rsidRDefault="002271E5" w:rsidP="001B10F9">
            <w:pPr>
              <w:spacing w:after="0"/>
              <w:jc w:val="center"/>
              <w:rPr>
                <w:rFonts w:ascii="Aptos Narrow" w:eastAsia="Times New Roman" w:hAnsi="Aptos Narrow"/>
                <w:color w:val="000000"/>
                <w:lang w:val="en-US" w:eastAsia="zh-CN"/>
              </w:rPr>
            </w:pPr>
            <w:r w:rsidRPr="00406580">
              <w:rPr>
                <w:rFonts w:ascii="Aptos Narrow" w:eastAsia="Times New Roman" w:hAnsi="Aptos Narrow"/>
                <w:color w:val="000000"/>
                <w:lang w:val="en-US" w:eastAsia="zh-CN"/>
              </w:rPr>
              <w:t>448</w:t>
            </w:r>
            <w:r w:rsidR="00C341F6">
              <w:rPr>
                <w:rFonts w:ascii="Aptos Narrow" w:eastAsia="Times New Roman" w:hAnsi="Aptos Narrow"/>
                <w:color w:val="000000"/>
                <w:lang w:val="en-US" w:eastAsia="zh-CN"/>
              </w:rPr>
              <w:t xml:space="preserve"> (2.33x)</w:t>
            </w:r>
          </w:p>
        </w:tc>
        <w:tc>
          <w:tcPr>
            <w:tcW w:w="1509" w:type="dxa"/>
            <w:noWrap/>
            <w:vAlign w:val="bottom"/>
            <w:hideMark/>
          </w:tcPr>
          <w:p w14:paraId="0158A905" w14:textId="77777777" w:rsidR="002271E5" w:rsidRPr="00406580" w:rsidRDefault="002271E5" w:rsidP="001B10F9">
            <w:pPr>
              <w:spacing w:after="0"/>
              <w:jc w:val="center"/>
              <w:rPr>
                <w:rFonts w:ascii="Aptos Narrow" w:eastAsia="Times New Roman" w:hAnsi="Aptos Narrow"/>
                <w:color w:val="000000"/>
                <w:lang w:val="en-US" w:eastAsia="zh-CN"/>
              </w:rPr>
            </w:pPr>
            <w:r w:rsidRPr="00406580">
              <w:rPr>
                <w:rFonts w:ascii="Aptos Narrow" w:eastAsia="Times New Roman" w:hAnsi="Aptos Narrow"/>
                <w:color w:val="000000"/>
                <w:lang w:val="en-US" w:eastAsia="zh-CN"/>
              </w:rPr>
              <w:t>19.11691</w:t>
            </w:r>
          </w:p>
        </w:tc>
      </w:tr>
      <w:tr w:rsidR="002271E5" w:rsidRPr="002B1508" w14:paraId="51DB88B2" w14:textId="77777777" w:rsidTr="001B10F9">
        <w:trPr>
          <w:trHeight w:val="290"/>
          <w:jc w:val="center"/>
        </w:trPr>
        <w:tc>
          <w:tcPr>
            <w:tcW w:w="960" w:type="dxa"/>
            <w:noWrap/>
            <w:vAlign w:val="bottom"/>
            <w:hideMark/>
          </w:tcPr>
          <w:p w14:paraId="0574C932" w14:textId="3B59796D" w:rsidR="002271E5" w:rsidRPr="00406580" w:rsidRDefault="00C341F6" w:rsidP="001B10F9">
            <w:pPr>
              <w:spacing w:after="0"/>
              <w:jc w:val="center"/>
              <w:rPr>
                <w:rFonts w:ascii="Aptos Narrow" w:eastAsia="Times New Roman" w:hAnsi="Aptos Narrow"/>
                <w:color w:val="000000"/>
                <w:lang w:val="en-US" w:eastAsia="zh-CN"/>
              </w:rPr>
            </w:pPr>
            <w:r>
              <w:rPr>
                <w:rFonts w:ascii="Aptos Narrow" w:eastAsia="Times New Roman" w:hAnsi="Aptos Narrow"/>
                <w:color w:val="000000"/>
                <w:lang w:val="en-US" w:eastAsia="zh-CN"/>
              </w:rPr>
              <w:t>PC4</w:t>
            </w:r>
            <w:r w:rsidR="0015638A">
              <w:rPr>
                <w:rFonts w:ascii="Aptos Narrow" w:eastAsia="Times New Roman" w:hAnsi="Aptos Narrow"/>
                <w:color w:val="000000"/>
                <w:lang w:val="en-US" w:eastAsia="zh-CN"/>
              </w:rPr>
              <w:t>.1</w:t>
            </w:r>
          </w:p>
        </w:tc>
        <w:tc>
          <w:tcPr>
            <w:tcW w:w="960" w:type="dxa"/>
            <w:noWrap/>
            <w:vAlign w:val="bottom"/>
            <w:hideMark/>
          </w:tcPr>
          <w:p w14:paraId="6C572D32" w14:textId="77777777" w:rsidR="002271E5" w:rsidRPr="00406580" w:rsidRDefault="002271E5" w:rsidP="001B10F9">
            <w:pPr>
              <w:spacing w:after="0"/>
              <w:jc w:val="center"/>
              <w:rPr>
                <w:rFonts w:ascii="Aptos Narrow" w:eastAsia="Times New Roman" w:hAnsi="Aptos Narrow"/>
                <w:color w:val="000000"/>
                <w:lang w:val="en-US" w:eastAsia="zh-CN"/>
              </w:rPr>
            </w:pPr>
            <w:r w:rsidRPr="00406580">
              <w:rPr>
                <w:rFonts w:ascii="Aptos Narrow" w:eastAsia="Times New Roman" w:hAnsi="Aptos Narrow"/>
                <w:color w:val="000000"/>
                <w:lang w:val="en-US" w:eastAsia="zh-CN"/>
              </w:rPr>
              <w:t>128</w:t>
            </w:r>
          </w:p>
        </w:tc>
        <w:tc>
          <w:tcPr>
            <w:tcW w:w="1240" w:type="dxa"/>
            <w:noWrap/>
            <w:vAlign w:val="bottom"/>
            <w:hideMark/>
          </w:tcPr>
          <w:p w14:paraId="676DD38B" w14:textId="77777777" w:rsidR="002271E5" w:rsidRPr="00406580" w:rsidRDefault="002271E5" w:rsidP="001B10F9">
            <w:pPr>
              <w:spacing w:after="0"/>
              <w:jc w:val="center"/>
              <w:rPr>
                <w:rFonts w:ascii="Aptos Narrow" w:eastAsia="Times New Roman" w:hAnsi="Aptos Narrow"/>
                <w:color w:val="000000"/>
                <w:lang w:val="en-US" w:eastAsia="zh-CN"/>
              </w:rPr>
            </w:pPr>
            <w:r w:rsidRPr="00406580">
              <w:rPr>
                <w:rFonts w:ascii="Aptos Narrow" w:eastAsia="Times New Roman" w:hAnsi="Aptos Narrow"/>
                <w:color w:val="000000"/>
                <w:lang w:val="en-US" w:eastAsia="zh-CN"/>
              </w:rPr>
              <w:t>64</w:t>
            </w:r>
          </w:p>
        </w:tc>
        <w:tc>
          <w:tcPr>
            <w:tcW w:w="960" w:type="dxa"/>
            <w:noWrap/>
            <w:vAlign w:val="bottom"/>
            <w:hideMark/>
          </w:tcPr>
          <w:p w14:paraId="7B59696A" w14:textId="77777777" w:rsidR="002271E5" w:rsidRPr="00406580" w:rsidRDefault="002271E5" w:rsidP="001B10F9">
            <w:pPr>
              <w:spacing w:after="0"/>
              <w:jc w:val="center"/>
              <w:rPr>
                <w:rFonts w:ascii="Aptos Narrow" w:eastAsia="Times New Roman" w:hAnsi="Aptos Narrow"/>
                <w:color w:val="000000"/>
                <w:lang w:val="en-US" w:eastAsia="zh-CN"/>
              </w:rPr>
            </w:pPr>
            <w:r w:rsidRPr="00406580">
              <w:rPr>
                <w:rFonts w:ascii="Aptos Narrow" w:eastAsia="Times New Roman" w:hAnsi="Aptos Narrow"/>
                <w:color w:val="000000"/>
                <w:lang w:val="en-US" w:eastAsia="zh-CN"/>
              </w:rPr>
              <w:t>64</w:t>
            </w:r>
          </w:p>
        </w:tc>
        <w:tc>
          <w:tcPr>
            <w:tcW w:w="960" w:type="dxa"/>
            <w:noWrap/>
            <w:hideMark/>
          </w:tcPr>
          <w:p w14:paraId="302DF342" w14:textId="77777777" w:rsidR="002271E5" w:rsidRPr="00406580" w:rsidRDefault="002271E5" w:rsidP="001B10F9">
            <w:pPr>
              <w:spacing w:after="0"/>
              <w:jc w:val="center"/>
              <w:rPr>
                <w:rFonts w:ascii="Aptos Narrow" w:eastAsia="Times New Roman" w:hAnsi="Aptos Narrow"/>
                <w:color w:val="000000"/>
                <w:lang w:val="en-US" w:eastAsia="zh-CN"/>
              </w:rPr>
            </w:pPr>
            <w:r w:rsidRPr="002B1508">
              <w:rPr>
                <w:rFonts w:ascii="Aptos Narrow" w:eastAsia="Times New Roman" w:hAnsi="Aptos Narrow"/>
                <w:color w:val="000000"/>
                <w:lang w:val="en-US" w:eastAsia="zh-CN"/>
              </w:rPr>
              <w:t>SQ</w:t>
            </w:r>
          </w:p>
        </w:tc>
        <w:tc>
          <w:tcPr>
            <w:tcW w:w="585" w:type="dxa"/>
            <w:noWrap/>
            <w:vAlign w:val="bottom"/>
            <w:hideMark/>
          </w:tcPr>
          <w:p w14:paraId="6DD9E63E" w14:textId="77777777" w:rsidR="002271E5" w:rsidRPr="00406580" w:rsidRDefault="002271E5" w:rsidP="001B10F9">
            <w:pPr>
              <w:spacing w:after="0"/>
              <w:jc w:val="center"/>
              <w:rPr>
                <w:rFonts w:ascii="Aptos Narrow" w:eastAsia="Times New Roman" w:hAnsi="Aptos Narrow"/>
                <w:color w:val="000000"/>
                <w:lang w:val="en-US" w:eastAsia="zh-CN"/>
              </w:rPr>
            </w:pPr>
            <w:r w:rsidRPr="00406580">
              <w:rPr>
                <w:rFonts w:ascii="Aptos Narrow" w:eastAsia="Times New Roman" w:hAnsi="Aptos Narrow"/>
                <w:color w:val="000000"/>
                <w:lang w:val="en-US" w:eastAsia="zh-CN"/>
              </w:rPr>
              <w:t>2</w:t>
            </w:r>
          </w:p>
        </w:tc>
        <w:tc>
          <w:tcPr>
            <w:tcW w:w="1440" w:type="dxa"/>
            <w:noWrap/>
            <w:vAlign w:val="bottom"/>
            <w:hideMark/>
          </w:tcPr>
          <w:p w14:paraId="5B62CC5C" w14:textId="714588B0" w:rsidR="002271E5" w:rsidRPr="00406580" w:rsidRDefault="002271E5" w:rsidP="001B10F9">
            <w:pPr>
              <w:spacing w:after="0"/>
              <w:jc w:val="center"/>
              <w:rPr>
                <w:rFonts w:ascii="Aptos Narrow" w:eastAsia="Times New Roman" w:hAnsi="Aptos Narrow"/>
                <w:color w:val="000000"/>
                <w:lang w:val="en-US" w:eastAsia="zh-CN"/>
              </w:rPr>
            </w:pPr>
            <w:r w:rsidRPr="00406580">
              <w:rPr>
                <w:rFonts w:ascii="Aptos Narrow" w:eastAsia="Times New Roman" w:hAnsi="Aptos Narrow"/>
                <w:color w:val="000000"/>
                <w:lang w:val="en-US" w:eastAsia="zh-CN"/>
              </w:rPr>
              <w:t>512</w:t>
            </w:r>
            <w:r w:rsidR="00C341F6">
              <w:rPr>
                <w:rFonts w:ascii="Aptos Narrow" w:eastAsia="Times New Roman" w:hAnsi="Aptos Narrow"/>
                <w:color w:val="000000"/>
                <w:lang w:val="en-US" w:eastAsia="zh-CN"/>
              </w:rPr>
              <w:t xml:space="preserve"> (2x)</w:t>
            </w:r>
          </w:p>
        </w:tc>
        <w:tc>
          <w:tcPr>
            <w:tcW w:w="1509" w:type="dxa"/>
            <w:noWrap/>
            <w:vAlign w:val="bottom"/>
            <w:hideMark/>
          </w:tcPr>
          <w:p w14:paraId="7846DEBA" w14:textId="77777777" w:rsidR="002271E5" w:rsidRPr="00406580" w:rsidRDefault="002271E5" w:rsidP="001B10F9">
            <w:pPr>
              <w:spacing w:after="0"/>
              <w:jc w:val="center"/>
              <w:rPr>
                <w:rFonts w:ascii="Aptos Narrow" w:eastAsia="Times New Roman" w:hAnsi="Aptos Narrow"/>
                <w:color w:val="000000"/>
                <w:lang w:val="en-US" w:eastAsia="zh-CN"/>
              </w:rPr>
            </w:pPr>
            <w:r w:rsidRPr="00406580">
              <w:rPr>
                <w:rFonts w:ascii="Aptos Narrow" w:eastAsia="Times New Roman" w:hAnsi="Aptos Narrow"/>
                <w:color w:val="000000"/>
                <w:lang w:val="en-US" w:eastAsia="zh-CN"/>
              </w:rPr>
              <w:t>18.95802</w:t>
            </w:r>
          </w:p>
        </w:tc>
      </w:tr>
      <w:tr w:rsidR="0015638A" w:rsidRPr="002B1508" w14:paraId="36B062E5" w14:textId="77777777" w:rsidTr="00BA7A82">
        <w:trPr>
          <w:trHeight w:val="290"/>
          <w:jc w:val="center"/>
        </w:trPr>
        <w:tc>
          <w:tcPr>
            <w:tcW w:w="960" w:type="dxa"/>
            <w:noWrap/>
            <w:vAlign w:val="bottom"/>
            <w:hideMark/>
          </w:tcPr>
          <w:p w14:paraId="6E17E9B5" w14:textId="39E276F9" w:rsidR="0015638A" w:rsidRPr="00406580" w:rsidRDefault="0015638A" w:rsidP="0015638A">
            <w:pPr>
              <w:spacing w:after="0"/>
              <w:jc w:val="center"/>
              <w:rPr>
                <w:rFonts w:ascii="Aptos Narrow" w:eastAsia="Times New Roman" w:hAnsi="Aptos Narrow"/>
                <w:color w:val="000000"/>
                <w:lang w:val="en-US" w:eastAsia="zh-CN"/>
              </w:rPr>
            </w:pPr>
            <w:r>
              <w:rPr>
                <w:rFonts w:ascii="Aptos Narrow" w:eastAsia="Times New Roman" w:hAnsi="Aptos Narrow"/>
                <w:color w:val="000000"/>
                <w:lang w:val="en-US" w:eastAsia="zh-CN"/>
              </w:rPr>
              <w:t>PC4.2</w:t>
            </w:r>
          </w:p>
        </w:tc>
        <w:tc>
          <w:tcPr>
            <w:tcW w:w="960" w:type="dxa"/>
            <w:noWrap/>
            <w:vAlign w:val="bottom"/>
            <w:hideMark/>
          </w:tcPr>
          <w:p w14:paraId="266DA4D0" w14:textId="77777777" w:rsidR="0015638A" w:rsidRPr="00406580" w:rsidRDefault="0015638A" w:rsidP="0015638A">
            <w:pPr>
              <w:spacing w:after="0"/>
              <w:jc w:val="center"/>
              <w:rPr>
                <w:rFonts w:ascii="Aptos Narrow" w:eastAsia="Times New Roman" w:hAnsi="Aptos Narrow"/>
                <w:color w:val="000000"/>
                <w:lang w:val="en-US" w:eastAsia="zh-CN"/>
              </w:rPr>
            </w:pPr>
            <w:r w:rsidRPr="00406580">
              <w:rPr>
                <w:rFonts w:ascii="Aptos Narrow" w:eastAsia="Times New Roman" w:hAnsi="Aptos Narrow"/>
                <w:color w:val="000000"/>
                <w:lang w:val="en-US" w:eastAsia="zh-CN"/>
              </w:rPr>
              <w:t>64</w:t>
            </w:r>
          </w:p>
        </w:tc>
        <w:tc>
          <w:tcPr>
            <w:tcW w:w="1240" w:type="dxa"/>
            <w:noWrap/>
            <w:vAlign w:val="bottom"/>
            <w:hideMark/>
          </w:tcPr>
          <w:p w14:paraId="5758944E" w14:textId="77777777" w:rsidR="0015638A" w:rsidRPr="00406580" w:rsidRDefault="0015638A" w:rsidP="0015638A">
            <w:pPr>
              <w:spacing w:after="0"/>
              <w:jc w:val="center"/>
              <w:rPr>
                <w:rFonts w:ascii="Aptos Narrow" w:eastAsia="Times New Roman" w:hAnsi="Aptos Narrow"/>
                <w:color w:val="000000"/>
                <w:lang w:val="en-US" w:eastAsia="zh-CN"/>
              </w:rPr>
            </w:pPr>
            <w:r w:rsidRPr="00406580">
              <w:rPr>
                <w:rFonts w:ascii="Aptos Narrow" w:eastAsia="Times New Roman" w:hAnsi="Aptos Narrow"/>
                <w:color w:val="000000"/>
                <w:lang w:val="en-US" w:eastAsia="zh-CN"/>
              </w:rPr>
              <w:t>64</w:t>
            </w:r>
          </w:p>
        </w:tc>
        <w:tc>
          <w:tcPr>
            <w:tcW w:w="960" w:type="dxa"/>
            <w:noWrap/>
            <w:vAlign w:val="bottom"/>
            <w:hideMark/>
          </w:tcPr>
          <w:p w14:paraId="7C3E5EE1" w14:textId="77777777" w:rsidR="0015638A" w:rsidRPr="00406580" w:rsidRDefault="0015638A" w:rsidP="0015638A">
            <w:pPr>
              <w:spacing w:after="0"/>
              <w:jc w:val="center"/>
              <w:rPr>
                <w:rFonts w:ascii="Aptos Narrow" w:eastAsia="Times New Roman" w:hAnsi="Aptos Narrow"/>
                <w:color w:val="000000"/>
                <w:lang w:val="en-US" w:eastAsia="zh-CN"/>
              </w:rPr>
            </w:pPr>
            <w:r w:rsidRPr="00406580">
              <w:rPr>
                <w:rFonts w:ascii="Aptos Narrow" w:eastAsia="Times New Roman" w:hAnsi="Aptos Narrow"/>
                <w:color w:val="000000"/>
                <w:lang w:val="en-US" w:eastAsia="zh-CN"/>
              </w:rPr>
              <w:t>128</w:t>
            </w:r>
          </w:p>
        </w:tc>
        <w:tc>
          <w:tcPr>
            <w:tcW w:w="960" w:type="dxa"/>
            <w:noWrap/>
            <w:hideMark/>
          </w:tcPr>
          <w:p w14:paraId="7FCAE92D" w14:textId="77777777" w:rsidR="0015638A" w:rsidRPr="00406580" w:rsidRDefault="0015638A" w:rsidP="0015638A">
            <w:pPr>
              <w:spacing w:after="0"/>
              <w:jc w:val="center"/>
              <w:rPr>
                <w:rFonts w:ascii="Aptos Narrow" w:eastAsia="Times New Roman" w:hAnsi="Aptos Narrow"/>
                <w:color w:val="000000"/>
                <w:lang w:val="en-US" w:eastAsia="zh-CN"/>
              </w:rPr>
            </w:pPr>
            <w:r w:rsidRPr="002B1508">
              <w:rPr>
                <w:rFonts w:ascii="Aptos Narrow" w:eastAsia="Times New Roman" w:hAnsi="Aptos Narrow"/>
                <w:color w:val="000000"/>
                <w:lang w:val="en-US" w:eastAsia="zh-CN"/>
              </w:rPr>
              <w:t>SQ</w:t>
            </w:r>
          </w:p>
        </w:tc>
        <w:tc>
          <w:tcPr>
            <w:tcW w:w="585" w:type="dxa"/>
            <w:noWrap/>
            <w:vAlign w:val="bottom"/>
            <w:hideMark/>
          </w:tcPr>
          <w:p w14:paraId="266064E7" w14:textId="77777777" w:rsidR="0015638A" w:rsidRPr="00406580" w:rsidRDefault="0015638A" w:rsidP="0015638A">
            <w:pPr>
              <w:spacing w:after="0"/>
              <w:jc w:val="center"/>
              <w:rPr>
                <w:rFonts w:ascii="Aptos Narrow" w:eastAsia="Times New Roman" w:hAnsi="Aptos Narrow"/>
                <w:color w:val="000000"/>
                <w:lang w:val="en-US" w:eastAsia="zh-CN"/>
              </w:rPr>
            </w:pPr>
            <w:r w:rsidRPr="00406580">
              <w:rPr>
                <w:rFonts w:ascii="Aptos Narrow" w:eastAsia="Times New Roman" w:hAnsi="Aptos Narrow"/>
                <w:color w:val="000000"/>
                <w:lang w:val="en-US" w:eastAsia="zh-CN"/>
              </w:rPr>
              <w:t>2</w:t>
            </w:r>
          </w:p>
        </w:tc>
        <w:tc>
          <w:tcPr>
            <w:tcW w:w="1440" w:type="dxa"/>
            <w:noWrap/>
            <w:hideMark/>
          </w:tcPr>
          <w:p w14:paraId="5B0BA7A4" w14:textId="42B63B2B" w:rsidR="0015638A" w:rsidRPr="00406580" w:rsidRDefault="0015638A" w:rsidP="0015638A">
            <w:pPr>
              <w:spacing w:after="0"/>
              <w:jc w:val="center"/>
              <w:rPr>
                <w:rFonts w:ascii="Aptos Narrow" w:eastAsia="Times New Roman" w:hAnsi="Aptos Narrow"/>
                <w:color w:val="000000"/>
                <w:lang w:val="en-US" w:eastAsia="zh-CN"/>
              </w:rPr>
            </w:pPr>
            <w:r w:rsidRPr="00406580">
              <w:rPr>
                <w:rFonts w:ascii="Aptos Narrow" w:eastAsia="Times New Roman" w:hAnsi="Aptos Narrow"/>
                <w:color w:val="000000"/>
                <w:lang w:val="en-US" w:eastAsia="zh-CN"/>
              </w:rPr>
              <w:t>512</w:t>
            </w:r>
            <w:r w:rsidRPr="007B6A82">
              <w:rPr>
                <w:rFonts w:ascii="Aptos Narrow" w:eastAsia="Times New Roman" w:hAnsi="Aptos Narrow"/>
                <w:color w:val="000000"/>
                <w:lang w:val="en-US" w:eastAsia="zh-CN"/>
              </w:rPr>
              <w:t xml:space="preserve"> (2x)</w:t>
            </w:r>
          </w:p>
        </w:tc>
        <w:tc>
          <w:tcPr>
            <w:tcW w:w="1509" w:type="dxa"/>
            <w:noWrap/>
            <w:vAlign w:val="bottom"/>
            <w:hideMark/>
          </w:tcPr>
          <w:p w14:paraId="692B217B" w14:textId="77777777" w:rsidR="0015638A" w:rsidRPr="00406580" w:rsidRDefault="0015638A" w:rsidP="0015638A">
            <w:pPr>
              <w:spacing w:after="0"/>
              <w:jc w:val="center"/>
              <w:rPr>
                <w:rFonts w:ascii="Aptos Narrow" w:eastAsia="Times New Roman" w:hAnsi="Aptos Narrow"/>
                <w:color w:val="000000"/>
                <w:lang w:val="en-US" w:eastAsia="zh-CN"/>
              </w:rPr>
            </w:pPr>
            <w:r w:rsidRPr="00406580">
              <w:rPr>
                <w:rFonts w:ascii="Aptos Narrow" w:eastAsia="Times New Roman" w:hAnsi="Aptos Narrow"/>
                <w:color w:val="000000"/>
                <w:lang w:val="en-US" w:eastAsia="zh-CN"/>
              </w:rPr>
              <w:t>19.22095</w:t>
            </w:r>
          </w:p>
        </w:tc>
      </w:tr>
      <w:tr w:rsidR="0015638A" w:rsidRPr="002B1508" w14:paraId="6B4AF177" w14:textId="77777777" w:rsidTr="00BA7A82">
        <w:trPr>
          <w:trHeight w:val="290"/>
          <w:jc w:val="center"/>
        </w:trPr>
        <w:tc>
          <w:tcPr>
            <w:tcW w:w="960" w:type="dxa"/>
            <w:noWrap/>
            <w:vAlign w:val="bottom"/>
            <w:hideMark/>
          </w:tcPr>
          <w:p w14:paraId="27CEC4A8" w14:textId="2298A256" w:rsidR="0015638A" w:rsidRPr="00406580" w:rsidRDefault="0015638A" w:rsidP="0015638A">
            <w:pPr>
              <w:spacing w:after="0"/>
              <w:jc w:val="center"/>
              <w:rPr>
                <w:rFonts w:ascii="Aptos Narrow" w:eastAsia="Times New Roman" w:hAnsi="Aptos Narrow"/>
                <w:color w:val="000000"/>
                <w:lang w:val="en-US" w:eastAsia="zh-CN"/>
              </w:rPr>
            </w:pPr>
            <w:r>
              <w:rPr>
                <w:rFonts w:ascii="Aptos Narrow" w:eastAsia="Times New Roman" w:hAnsi="Aptos Narrow"/>
                <w:color w:val="000000"/>
                <w:lang w:val="en-US" w:eastAsia="zh-CN"/>
              </w:rPr>
              <w:t>PC4.3</w:t>
            </w:r>
          </w:p>
        </w:tc>
        <w:tc>
          <w:tcPr>
            <w:tcW w:w="960" w:type="dxa"/>
            <w:noWrap/>
            <w:vAlign w:val="bottom"/>
            <w:hideMark/>
          </w:tcPr>
          <w:p w14:paraId="425B363A" w14:textId="77777777" w:rsidR="0015638A" w:rsidRPr="00406580" w:rsidRDefault="0015638A" w:rsidP="0015638A">
            <w:pPr>
              <w:spacing w:after="0"/>
              <w:jc w:val="center"/>
              <w:rPr>
                <w:rFonts w:ascii="Aptos Narrow" w:eastAsia="Times New Roman" w:hAnsi="Aptos Narrow"/>
                <w:color w:val="000000"/>
                <w:lang w:val="en-US" w:eastAsia="zh-CN"/>
              </w:rPr>
            </w:pPr>
            <w:r w:rsidRPr="00406580">
              <w:rPr>
                <w:rFonts w:ascii="Aptos Narrow" w:eastAsia="Times New Roman" w:hAnsi="Aptos Narrow"/>
                <w:color w:val="000000"/>
                <w:lang w:val="en-US" w:eastAsia="zh-CN"/>
              </w:rPr>
              <w:t>96</w:t>
            </w:r>
          </w:p>
        </w:tc>
        <w:tc>
          <w:tcPr>
            <w:tcW w:w="1240" w:type="dxa"/>
            <w:noWrap/>
            <w:vAlign w:val="bottom"/>
            <w:hideMark/>
          </w:tcPr>
          <w:p w14:paraId="403C16B4" w14:textId="77777777" w:rsidR="0015638A" w:rsidRPr="00406580" w:rsidRDefault="0015638A" w:rsidP="0015638A">
            <w:pPr>
              <w:spacing w:after="0"/>
              <w:jc w:val="center"/>
              <w:rPr>
                <w:rFonts w:ascii="Aptos Narrow" w:eastAsia="Times New Roman" w:hAnsi="Aptos Narrow"/>
                <w:color w:val="000000"/>
                <w:lang w:val="en-US" w:eastAsia="zh-CN"/>
              </w:rPr>
            </w:pPr>
            <w:r w:rsidRPr="00406580">
              <w:rPr>
                <w:rFonts w:ascii="Aptos Narrow" w:eastAsia="Times New Roman" w:hAnsi="Aptos Narrow"/>
                <w:color w:val="000000"/>
                <w:lang w:val="en-US" w:eastAsia="zh-CN"/>
              </w:rPr>
              <w:t>96</w:t>
            </w:r>
          </w:p>
        </w:tc>
        <w:tc>
          <w:tcPr>
            <w:tcW w:w="960" w:type="dxa"/>
            <w:noWrap/>
            <w:vAlign w:val="bottom"/>
            <w:hideMark/>
          </w:tcPr>
          <w:p w14:paraId="5C3FC3BE" w14:textId="77777777" w:rsidR="0015638A" w:rsidRPr="00406580" w:rsidRDefault="0015638A" w:rsidP="0015638A">
            <w:pPr>
              <w:spacing w:after="0"/>
              <w:jc w:val="center"/>
              <w:rPr>
                <w:rFonts w:ascii="Aptos Narrow" w:eastAsia="Times New Roman" w:hAnsi="Aptos Narrow"/>
                <w:color w:val="000000"/>
                <w:lang w:val="en-US" w:eastAsia="zh-CN"/>
              </w:rPr>
            </w:pPr>
            <w:r w:rsidRPr="00406580">
              <w:rPr>
                <w:rFonts w:ascii="Aptos Narrow" w:eastAsia="Times New Roman" w:hAnsi="Aptos Narrow"/>
                <w:color w:val="000000"/>
                <w:lang w:val="en-US" w:eastAsia="zh-CN"/>
              </w:rPr>
              <w:t>64</w:t>
            </w:r>
          </w:p>
        </w:tc>
        <w:tc>
          <w:tcPr>
            <w:tcW w:w="960" w:type="dxa"/>
            <w:noWrap/>
            <w:hideMark/>
          </w:tcPr>
          <w:p w14:paraId="15452D63" w14:textId="77777777" w:rsidR="0015638A" w:rsidRPr="00406580" w:rsidRDefault="0015638A" w:rsidP="0015638A">
            <w:pPr>
              <w:spacing w:after="0"/>
              <w:jc w:val="center"/>
              <w:rPr>
                <w:rFonts w:ascii="Aptos Narrow" w:eastAsia="Times New Roman" w:hAnsi="Aptos Narrow"/>
                <w:color w:val="000000"/>
                <w:lang w:val="en-US" w:eastAsia="zh-CN"/>
              </w:rPr>
            </w:pPr>
            <w:r w:rsidRPr="002B1508">
              <w:rPr>
                <w:rFonts w:ascii="Aptos Narrow" w:eastAsia="Times New Roman" w:hAnsi="Aptos Narrow"/>
                <w:color w:val="000000"/>
                <w:lang w:val="en-US" w:eastAsia="zh-CN"/>
              </w:rPr>
              <w:t>SQ</w:t>
            </w:r>
          </w:p>
        </w:tc>
        <w:tc>
          <w:tcPr>
            <w:tcW w:w="585" w:type="dxa"/>
            <w:noWrap/>
            <w:vAlign w:val="bottom"/>
            <w:hideMark/>
          </w:tcPr>
          <w:p w14:paraId="19EAEEE2" w14:textId="77777777" w:rsidR="0015638A" w:rsidRPr="00406580" w:rsidRDefault="0015638A" w:rsidP="0015638A">
            <w:pPr>
              <w:spacing w:after="0"/>
              <w:jc w:val="center"/>
              <w:rPr>
                <w:rFonts w:ascii="Aptos Narrow" w:eastAsia="Times New Roman" w:hAnsi="Aptos Narrow"/>
                <w:color w:val="000000"/>
                <w:lang w:val="en-US" w:eastAsia="zh-CN"/>
              </w:rPr>
            </w:pPr>
            <w:r w:rsidRPr="00406580">
              <w:rPr>
                <w:rFonts w:ascii="Aptos Narrow" w:eastAsia="Times New Roman" w:hAnsi="Aptos Narrow"/>
                <w:color w:val="000000"/>
                <w:lang w:val="en-US" w:eastAsia="zh-CN"/>
              </w:rPr>
              <w:t>2</w:t>
            </w:r>
          </w:p>
        </w:tc>
        <w:tc>
          <w:tcPr>
            <w:tcW w:w="1440" w:type="dxa"/>
            <w:noWrap/>
            <w:hideMark/>
          </w:tcPr>
          <w:p w14:paraId="64DB0541" w14:textId="400B19D7" w:rsidR="0015638A" w:rsidRPr="00406580" w:rsidRDefault="0015638A" w:rsidP="0015638A">
            <w:pPr>
              <w:spacing w:after="0"/>
              <w:jc w:val="center"/>
              <w:rPr>
                <w:rFonts w:ascii="Aptos Narrow" w:eastAsia="Times New Roman" w:hAnsi="Aptos Narrow"/>
                <w:color w:val="000000"/>
                <w:lang w:val="en-US" w:eastAsia="zh-CN"/>
              </w:rPr>
            </w:pPr>
            <w:r w:rsidRPr="00406580">
              <w:rPr>
                <w:rFonts w:ascii="Aptos Narrow" w:eastAsia="Times New Roman" w:hAnsi="Aptos Narrow"/>
                <w:color w:val="000000"/>
                <w:lang w:val="en-US" w:eastAsia="zh-CN"/>
              </w:rPr>
              <w:t>512</w:t>
            </w:r>
            <w:r w:rsidRPr="007B6A82">
              <w:rPr>
                <w:rFonts w:ascii="Aptos Narrow" w:eastAsia="Times New Roman" w:hAnsi="Aptos Narrow"/>
                <w:color w:val="000000"/>
                <w:lang w:val="en-US" w:eastAsia="zh-CN"/>
              </w:rPr>
              <w:t xml:space="preserve"> (2x)</w:t>
            </w:r>
          </w:p>
        </w:tc>
        <w:tc>
          <w:tcPr>
            <w:tcW w:w="1509" w:type="dxa"/>
            <w:noWrap/>
            <w:vAlign w:val="bottom"/>
            <w:hideMark/>
          </w:tcPr>
          <w:p w14:paraId="41656E72" w14:textId="77777777" w:rsidR="0015638A" w:rsidRPr="00406580" w:rsidRDefault="0015638A" w:rsidP="0015638A">
            <w:pPr>
              <w:spacing w:after="0"/>
              <w:jc w:val="center"/>
              <w:rPr>
                <w:rFonts w:ascii="Aptos Narrow" w:eastAsia="Times New Roman" w:hAnsi="Aptos Narrow"/>
                <w:color w:val="000000"/>
                <w:lang w:val="en-US" w:eastAsia="zh-CN"/>
              </w:rPr>
            </w:pPr>
            <w:r w:rsidRPr="00406580">
              <w:rPr>
                <w:rFonts w:ascii="Aptos Narrow" w:eastAsia="Times New Roman" w:hAnsi="Aptos Narrow"/>
                <w:color w:val="000000"/>
                <w:lang w:val="en-US" w:eastAsia="zh-CN"/>
              </w:rPr>
              <w:t>19.05117</w:t>
            </w:r>
          </w:p>
        </w:tc>
      </w:tr>
      <w:tr w:rsidR="0015638A" w:rsidRPr="002B1508" w14:paraId="6D5CBBD4" w14:textId="77777777" w:rsidTr="00BA7A82">
        <w:trPr>
          <w:trHeight w:val="290"/>
          <w:jc w:val="center"/>
        </w:trPr>
        <w:tc>
          <w:tcPr>
            <w:tcW w:w="960" w:type="dxa"/>
            <w:noWrap/>
            <w:vAlign w:val="bottom"/>
            <w:hideMark/>
          </w:tcPr>
          <w:p w14:paraId="351E4B35" w14:textId="569677C3" w:rsidR="0015638A" w:rsidRPr="00406580" w:rsidRDefault="0015638A" w:rsidP="0015638A">
            <w:pPr>
              <w:spacing w:after="0"/>
              <w:jc w:val="center"/>
              <w:rPr>
                <w:rFonts w:ascii="Aptos Narrow" w:eastAsia="Times New Roman" w:hAnsi="Aptos Narrow"/>
                <w:color w:val="000000"/>
                <w:lang w:val="en-US" w:eastAsia="zh-CN"/>
              </w:rPr>
            </w:pPr>
            <w:r>
              <w:rPr>
                <w:rFonts w:ascii="Aptos Narrow" w:eastAsia="Times New Roman" w:hAnsi="Aptos Narrow"/>
                <w:color w:val="000000"/>
                <w:lang w:val="en-US" w:eastAsia="zh-CN"/>
              </w:rPr>
              <w:t>PC4.4</w:t>
            </w:r>
          </w:p>
        </w:tc>
        <w:tc>
          <w:tcPr>
            <w:tcW w:w="960" w:type="dxa"/>
            <w:noWrap/>
            <w:vAlign w:val="bottom"/>
            <w:hideMark/>
          </w:tcPr>
          <w:p w14:paraId="6637F629" w14:textId="77777777" w:rsidR="0015638A" w:rsidRPr="00406580" w:rsidRDefault="0015638A" w:rsidP="0015638A">
            <w:pPr>
              <w:spacing w:after="0"/>
              <w:jc w:val="center"/>
              <w:rPr>
                <w:rFonts w:ascii="Aptos Narrow" w:eastAsia="Times New Roman" w:hAnsi="Aptos Narrow"/>
                <w:color w:val="000000"/>
                <w:lang w:val="en-US" w:eastAsia="zh-CN"/>
              </w:rPr>
            </w:pPr>
            <w:r w:rsidRPr="00406580">
              <w:rPr>
                <w:rFonts w:ascii="Aptos Narrow" w:eastAsia="Times New Roman" w:hAnsi="Aptos Narrow"/>
                <w:color w:val="000000"/>
                <w:lang w:val="en-US" w:eastAsia="zh-CN"/>
              </w:rPr>
              <w:t>64</w:t>
            </w:r>
          </w:p>
        </w:tc>
        <w:tc>
          <w:tcPr>
            <w:tcW w:w="1240" w:type="dxa"/>
            <w:noWrap/>
            <w:vAlign w:val="bottom"/>
            <w:hideMark/>
          </w:tcPr>
          <w:p w14:paraId="0BEB6ECB" w14:textId="77777777" w:rsidR="0015638A" w:rsidRPr="00406580" w:rsidRDefault="0015638A" w:rsidP="0015638A">
            <w:pPr>
              <w:spacing w:after="0"/>
              <w:jc w:val="center"/>
              <w:rPr>
                <w:rFonts w:ascii="Aptos Narrow" w:eastAsia="Times New Roman" w:hAnsi="Aptos Narrow"/>
                <w:color w:val="000000"/>
                <w:lang w:val="en-US" w:eastAsia="zh-CN"/>
              </w:rPr>
            </w:pPr>
            <w:r w:rsidRPr="00406580">
              <w:rPr>
                <w:rFonts w:ascii="Aptos Narrow" w:eastAsia="Times New Roman" w:hAnsi="Aptos Narrow"/>
                <w:color w:val="000000"/>
                <w:lang w:val="en-US" w:eastAsia="zh-CN"/>
              </w:rPr>
              <w:t>96</w:t>
            </w:r>
          </w:p>
        </w:tc>
        <w:tc>
          <w:tcPr>
            <w:tcW w:w="960" w:type="dxa"/>
            <w:noWrap/>
            <w:vAlign w:val="bottom"/>
            <w:hideMark/>
          </w:tcPr>
          <w:p w14:paraId="62062ACD" w14:textId="77777777" w:rsidR="0015638A" w:rsidRPr="00406580" w:rsidRDefault="0015638A" w:rsidP="0015638A">
            <w:pPr>
              <w:spacing w:after="0"/>
              <w:jc w:val="center"/>
              <w:rPr>
                <w:rFonts w:ascii="Aptos Narrow" w:eastAsia="Times New Roman" w:hAnsi="Aptos Narrow"/>
                <w:color w:val="000000"/>
                <w:lang w:val="en-US" w:eastAsia="zh-CN"/>
              </w:rPr>
            </w:pPr>
            <w:r w:rsidRPr="00406580">
              <w:rPr>
                <w:rFonts w:ascii="Aptos Narrow" w:eastAsia="Times New Roman" w:hAnsi="Aptos Narrow"/>
                <w:color w:val="000000"/>
                <w:lang w:val="en-US" w:eastAsia="zh-CN"/>
              </w:rPr>
              <w:t>96</w:t>
            </w:r>
          </w:p>
        </w:tc>
        <w:tc>
          <w:tcPr>
            <w:tcW w:w="960" w:type="dxa"/>
            <w:noWrap/>
            <w:hideMark/>
          </w:tcPr>
          <w:p w14:paraId="21A4D823" w14:textId="77777777" w:rsidR="0015638A" w:rsidRPr="00406580" w:rsidRDefault="0015638A" w:rsidP="0015638A">
            <w:pPr>
              <w:spacing w:after="0"/>
              <w:jc w:val="center"/>
              <w:rPr>
                <w:rFonts w:ascii="Aptos Narrow" w:eastAsia="Times New Roman" w:hAnsi="Aptos Narrow"/>
                <w:color w:val="000000"/>
                <w:lang w:val="en-US" w:eastAsia="zh-CN"/>
              </w:rPr>
            </w:pPr>
            <w:r w:rsidRPr="002B1508">
              <w:rPr>
                <w:rFonts w:ascii="Aptos Narrow" w:eastAsia="Times New Roman" w:hAnsi="Aptos Narrow"/>
                <w:color w:val="000000"/>
                <w:lang w:val="en-US" w:eastAsia="zh-CN"/>
              </w:rPr>
              <w:t>SQ</w:t>
            </w:r>
          </w:p>
        </w:tc>
        <w:tc>
          <w:tcPr>
            <w:tcW w:w="585" w:type="dxa"/>
            <w:noWrap/>
            <w:vAlign w:val="bottom"/>
            <w:hideMark/>
          </w:tcPr>
          <w:p w14:paraId="4C046C23" w14:textId="77777777" w:rsidR="0015638A" w:rsidRPr="00406580" w:rsidRDefault="0015638A" w:rsidP="0015638A">
            <w:pPr>
              <w:spacing w:after="0"/>
              <w:jc w:val="center"/>
              <w:rPr>
                <w:rFonts w:ascii="Aptos Narrow" w:eastAsia="Times New Roman" w:hAnsi="Aptos Narrow"/>
                <w:color w:val="000000"/>
                <w:lang w:val="en-US" w:eastAsia="zh-CN"/>
              </w:rPr>
            </w:pPr>
            <w:r w:rsidRPr="00406580">
              <w:rPr>
                <w:rFonts w:ascii="Aptos Narrow" w:eastAsia="Times New Roman" w:hAnsi="Aptos Narrow"/>
                <w:color w:val="000000"/>
                <w:lang w:val="en-US" w:eastAsia="zh-CN"/>
              </w:rPr>
              <w:t>2</w:t>
            </w:r>
          </w:p>
        </w:tc>
        <w:tc>
          <w:tcPr>
            <w:tcW w:w="1440" w:type="dxa"/>
            <w:noWrap/>
            <w:hideMark/>
          </w:tcPr>
          <w:p w14:paraId="60B5681C" w14:textId="4936E6A2" w:rsidR="0015638A" w:rsidRPr="00406580" w:rsidRDefault="0015638A" w:rsidP="0015638A">
            <w:pPr>
              <w:spacing w:after="0"/>
              <w:jc w:val="center"/>
              <w:rPr>
                <w:rFonts w:ascii="Aptos Narrow" w:eastAsia="Times New Roman" w:hAnsi="Aptos Narrow"/>
                <w:color w:val="000000"/>
                <w:lang w:val="en-US" w:eastAsia="zh-CN"/>
              </w:rPr>
            </w:pPr>
            <w:r w:rsidRPr="00406580">
              <w:rPr>
                <w:rFonts w:ascii="Aptos Narrow" w:eastAsia="Times New Roman" w:hAnsi="Aptos Narrow"/>
                <w:color w:val="000000"/>
                <w:lang w:val="en-US" w:eastAsia="zh-CN"/>
              </w:rPr>
              <w:t>512</w:t>
            </w:r>
            <w:r w:rsidRPr="007B6A82">
              <w:rPr>
                <w:rFonts w:ascii="Aptos Narrow" w:eastAsia="Times New Roman" w:hAnsi="Aptos Narrow"/>
                <w:color w:val="000000"/>
                <w:lang w:val="en-US" w:eastAsia="zh-CN"/>
              </w:rPr>
              <w:t xml:space="preserve"> (2x)</w:t>
            </w:r>
          </w:p>
        </w:tc>
        <w:tc>
          <w:tcPr>
            <w:tcW w:w="1509" w:type="dxa"/>
            <w:noWrap/>
            <w:vAlign w:val="bottom"/>
            <w:hideMark/>
          </w:tcPr>
          <w:p w14:paraId="2A67DB81" w14:textId="77777777" w:rsidR="0015638A" w:rsidRPr="00406580" w:rsidRDefault="0015638A" w:rsidP="0015638A">
            <w:pPr>
              <w:spacing w:after="0"/>
              <w:jc w:val="center"/>
              <w:rPr>
                <w:rFonts w:ascii="Aptos Narrow" w:eastAsia="Times New Roman" w:hAnsi="Aptos Narrow"/>
                <w:color w:val="000000"/>
                <w:lang w:val="en-US" w:eastAsia="zh-CN"/>
              </w:rPr>
            </w:pPr>
            <w:r w:rsidRPr="00406580">
              <w:rPr>
                <w:rFonts w:ascii="Aptos Narrow" w:eastAsia="Times New Roman" w:hAnsi="Aptos Narrow"/>
                <w:color w:val="000000"/>
                <w:lang w:val="en-US" w:eastAsia="zh-CN"/>
              </w:rPr>
              <w:t>19.2017</w:t>
            </w:r>
          </w:p>
        </w:tc>
      </w:tr>
      <w:tr w:rsidR="002271E5" w:rsidRPr="002B1508" w14:paraId="77F72B02" w14:textId="77777777" w:rsidTr="001B10F9">
        <w:trPr>
          <w:trHeight w:val="290"/>
          <w:jc w:val="center"/>
        </w:trPr>
        <w:tc>
          <w:tcPr>
            <w:tcW w:w="960" w:type="dxa"/>
            <w:noWrap/>
            <w:vAlign w:val="bottom"/>
            <w:hideMark/>
          </w:tcPr>
          <w:p w14:paraId="199E974C" w14:textId="08DB52EC" w:rsidR="002271E5" w:rsidRPr="00406580" w:rsidRDefault="0015638A" w:rsidP="001B10F9">
            <w:pPr>
              <w:spacing w:after="0"/>
              <w:jc w:val="center"/>
              <w:rPr>
                <w:rFonts w:ascii="Aptos Narrow" w:eastAsia="Times New Roman" w:hAnsi="Aptos Narrow"/>
                <w:color w:val="000000"/>
                <w:lang w:val="en-US" w:eastAsia="zh-CN"/>
              </w:rPr>
            </w:pPr>
            <w:r>
              <w:rPr>
                <w:rFonts w:ascii="Aptos Narrow" w:eastAsia="Times New Roman" w:hAnsi="Aptos Narrow"/>
                <w:color w:val="000000"/>
                <w:lang w:val="en-US" w:eastAsia="zh-CN"/>
              </w:rPr>
              <w:t>PC4.5</w:t>
            </w:r>
          </w:p>
        </w:tc>
        <w:tc>
          <w:tcPr>
            <w:tcW w:w="960" w:type="dxa"/>
            <w:noWrap/>
            <w:vAlign w:val="bottom"/>
            <w:hideMark/>
          </w:tcPr>
          <w:p w14:paraId="741F0C02" w14:textId="77777777" w:rsidR="002271E5" w:rsidRPr="00406580" w:rsidRDefault="002271E5" w:rsidP="001B10F9">
            <w:pPr>
              <w:spacing w:after="0"/>
              <w:jc w:val="center"/>
              <w:rPr>
                <w:rFonts w:ascii="Aptos Narrow" w:eastAsia="Times New Roman" w:hAnsi="Aptos Narrow"/>
                <w:color w:val="000000"/>
                <w:lang w:val="en-US" w:eastAsia="zh-CN"/>
              </w:rPr>
            </w:pPr>
            <w:r w:rsidRPr="00406580">
              <w:rPr>
                <w:rFonts w:ascii="Aptos Narrow" w:eastAsia="Times New Roman" w:hAnsi="Aptos Narrow"/>
                <w:color w:val="000000"/>
                <w:lang w:val="en-US" w:eastAsia="zh-CN"/>
              </w:rPr>
              <w:t>96</w:t>
            </w:r>
          </w:p>
        </w:tc>
        <w:tc>
          <w:tcPr>
            <w:tcW w:w="1240" w:type="dxa"/>
            <w:noWrap/>
            <w:vAlign w:val="bottom"/>
            <w:hideMark/>
          </w:tcPr>
          <w:p w14:paraId="661C9AEA" w14:textId="77777777" w:rsidR="002271E5" w:rsidRPr="00406580" w:rsidRDefault="002271E5" w:rsidP="001B10F9">
            <w:pPr>
              <w:spacing w:after="0"/>
              <w:jc w:val="center"/>
              <w:rPr>
                <w:rFonts w:ascii="Aptos Narrow" w:eastAsia="Times New Roman" w:hAnsi="Aptos Narrow"/>
                <w:color w:val="000000"/>
                <w:lang w:val="en-US" w:eastAsia="zh-CN"/>
              </w:rPr>
            </w:pPr>
            <w:r w:rsidRPr="00406580">
              <w:rPr>
                <w:rFonts w:ascii="Aptos Narrow" w:eastAsia="Times New Roman" w:hAnsi="Aptos Narrow"/>
                <w:color w:val="000000"/>
                <w:lang w:val="en-US" w:eastAsia="zh-CN"/>
              </w:rPr>
              <w:t>96</w:t>
            </w:r>
          </w:p>
        </w:tc>
        <w:tc>
          <w:tcPr>
            <w:tcW w:w="960" w:type="dxa"/>
            <w:noWrap/>
            <w:vAlign w:val="bottom"/>
            <w:hideMark/>
          </w:tcPr>
          <w:p w14:paraId="726FFC50" w14:textId="77777777" w:rsidR="002271E5" w:rsidRPr="00406580" w:rsidRDefault="002271E5" w:rsidP="001B10F9">
            <w:pPr>
              <w:spacing w:after="0"/>
              <w:jc w:val="center"/>
              <w:rPr>
                <w:rFonts w:ascii="Aptos Narrow" w:eastAsia="Times New Roman" w:hAnsi="Aptos Narrow"/>
                <w:color w:val="000000"/>
                <w:lang w:val="en-US" w:eastAsia="zh-CN"/>
              </w:rPr>
            </w:pPr>
            <w:r w:rsidRPr="00406580">
              <w:rPr>
                <w:rFonts w:ascii="Aptos Narrow" w:eastAsia="Times New Roman" w:hAnsi="Aptos Narrow"/>
                <w:color w:val="000000"/>
                <w:lang w:val="en-US" w:eastAsia="zh-CN"/>
              </w:rPr>
              <w:t>96</w:t>
            </w:r>
          </w:p>
        </w:tc>
        <w:tc>
          <w:tcPr>
            <w:tcW w:w="960" w:type="dxa"/>
            <w:noWrap/>
            <w:hideMark/>
          </w:tcPr>
          <w:p w14:paraId="4D2F8C30" w14:textId="77777777" w:rsidR="002271E5" w:rsidRPr="00406580" w:rsidRDefault="002271E5" w:rsidP="001B10F9">
            <w:pPr>
              <w:spacing w:after="0"/>
              <w:jc w:val="center"/>
              <w:rPr>
                <w:rFonts w:ascii="Aptos Narrow" w:eastAsia="Times New Roman" w:hAnsi="Aptos Narrow"/>
                <w:color w:val="000000"/>
                <w:lang w:val="en-US" w:eastAsia="zh-CN"/>
              </w:rPr>
            </w:pPr>
            <w:r w:rsidRPr="002B1508">
              <w:rPr>
                <w:rFonts w:ascii="Aptos Narrow" w:eastAsia="Times New Roman" w:hAnsi="Aptos Narrow"/>
                <w:color w:val="000000"/>
                <w:lang w:val="en-US" w:eastAsia="zh-CN"/>
              </w:rPr>
              <w:t>SQ</w:t>
            </w:r>
          </w:p>
        </w:tc>
        <w:tc>
          <w:tcPr>
            <w:tcW w:w="585" w:type="dxa"/>
            <w:noWrap/>
            <w:vAlign w:val="bottom"/>
            <w:hideMark/>
          </w:tcPr>
          <w:p w14:paraId="3421E27B" w14:textId="77777777" w:rsidR="002271E5" w:rsidRPr="00406580" w:rsidRDefault="002271E5" w:rsidP="001B10F9">
            <w:pPr>
              <w:spacing w:after="0"/>
              <w:jc w:val="center"/>
              <w:rPr>
                <w:rFonts w:ascii="Aptos Narrow" w:eastAsia="Times New Roman" w:hAnsi="Aptos Narrow"/>
                <w:color w:val="000000"/>
                <w:lang w:val="en-US" w:eastAsia="zh-CN"/>
              </w:rPr>
            </w:pPr>
            <w:r w:rsidRPr="00406580">
              <w:rPr>
                <w:rFonts w:ascii="Aptos Narrow" w:eastAsia="Times New Roman" w:hAnsi="Aptos Narrow"/>
                <w:color w:val="000000"/>
                <w:lang w:val="en-US" w:eastAsia="zh-CN"/>
              </w:rPr>
              <w:t>2</w:t>
            </w:r>
          </w:p>
        </w:tc>
        <w:tc>
          <w:tcPr>
            <w:tcW w:w="1440" w:type="dxa"/>
            <w:noWrap/>
            <w:vAlign w:val="bottom"/>
            <w:hideMark/>
          </w:tcPr>
          <w:p w14:paraId="12FA68BF" w14:textId="4441F843" w:rsidR="002271E5" w:rsidRPr="00406580" w:rsidRDefault="002271E5" w:rsidP="001B10F9">
            <w:pPr>
              <w:spacing w:after="0"/>
              <w:jc w:val="center"/>
              <w:rPr>
                <w:rFonts w:ascii="Aptos Narrow" w:eastAsia="Times New Roman" w:hAnsi="Aptos Narrow"/>
                <w:color w:val="000000"/>
                <w:lang w:val="en-US" w:eastAsia="zh-CN"/>
              </w:rPr>
            </w:pPr>
            <w:r w:rsidRPr="00406580">
              <w:rPr>
                <w:rFonts w:ascii="Aptos Narrow" w:eastAsia="Times New Roman" w:hAnsi="Aptos Narrow"/>
                <w:color w:val="000000"/>
                <w:lang w:val="en-US" w:eastAsia="zh-CN"/>
              </w:rPr>
              <w:t>576</w:t>
            </w:r>
            <w:r w:rsidR="0015638A">
              <w:rPr>
                <w:rFonts w:ascii="Aptos Narrow" w:eastAsia="Times New Roman" w:hAnsi="Aptos Narrow"/>
                <w:color w:val="000000"/>
                <w:lang w:val="en-US" w:eastAsia="zh-CN"/>
              </w:rPr>
              <w:t xml:space="preserve"> (2.25x)</w:t>
            </w:r>
          </w:p>
        </w:tc>
        <w:tc>
          <w:tcPr>
            <w:tcW w:w="1509" w:type="dxa"/>
            <w:noWrap/>
            <w:vAlign w:val="bottom"/>
            <w:hideMark/>
          </w:tcPr>
          <w:p w14:paraId="2B91159E" w14:textId="77777777" w:rsidR="002271E5" w:rsidRPr="00406580" w:rsidRDefault="002271E5" w:rsidP="001B10F9">
            <w:pPr>
              <w:spacing w:after="0"/>
              <w:jc w:val="center"/>
              <w:rPr>
                <w:rFonts w:ascii="Aptos Narrow" w:eastAsia="Times New Roman" w:hAnsi="Aptos Narrow"/>
                <w:color w:val="000000"/>
                <w:lang w:val="en-US" w:eastAsia="zh-CN"/>
              </w:rPr>
            </w:pPr>
            <w:r w:rsidRPr="00406580">
              <w:rPr>
                <w:rFonts w:ascii="Aptos Narrow" w:eastAsia="Times New Roman" w:hAnsi="Aptos Narrow"/>
                <w:color w:val="000000"/>
                <w:lang w:val="en-US" w:eastAsia="zh-CN"/>
              </w:rPr>
              <w:t>19.24539</w:t>
            </w:r>
          </w:p>
        </w:tc>
      </w:tr>
      <w:tr w:rsidR="002271E5" w:rsidRPr="002B1508" w14:paraId="78E46D0C" w14:textId="77777777" w:rsidTr="001B10F9">
        <w:trPr>
          <w:trHeight w:val="290"/>
          <w:jc w:val="center"/>
        </w:trPr>
        <w:tc>
          <w:tcPr>
            <w:tcW w:w="960" w:type="dxa"/>
            <w:noWrap/>
            <w:vAlign w:val="bottom"/>
            <w:hideMark/>
          </w:tcPr>
          <w:p w14:paraId="6039D90C" w14:textId="51D2AAA9" w:rsidR="002271E5" w:rsidRPr="00406580" w:rsidRDefault="00BA4C46" w:rsidP="001B10F9">
            <w:pPr>
              <w:spacing w:after="0"/>
              <w:jc w:val="center"/>
              <w:rPr>
                <w:rFonts w:ascii="Aptos Narrow" w:eastAsia="Times New Roman" w:hAnsi="Aptos Narrow"/>
                <w:color w:val="000000"/>
                <w:lang w:val="en-US" w:eastAsia="zh-CN"/>
              </w:rPr>
            </w:pPr>
            <w:r>
              <w:rPr>
                <w:rFonts w:ascii="Aptos Narrow" w:eastAsia="Times New Roman" w:hAnsi="Aptos Narrow"/>
                <w:color w:val="000000"/>
                <w:lang w:val="en-US" w:eastAsia="zh-CN"/>
              </w:rPr>
              <w:t>PC5.1</w:t>
            </w:r>
          </w:p>
        </w:tc>
        <w:tc>
          <w:tcPr>
            <w:tcW w:w="960" w:type="dxa"/>
            <w:noWrap/>
            <w:vAlign w:val="bottom"/>
            <w:hideMark/>
          </w:tcPr>
          <w:p w14:paraId="26487BCD" w14:textId="77777777" w:rsidR="002271E5" w:rsidRPr="00406580" w:rsidRDefault="002271E5" w:rsidP="001B10F9">
            <w:pPr>
              <w:spacing w:after="0"/>
              <w:jc w:val="center"/>
              <w:rPr>
                <w:rFonts w:ascii="Aptos Narrow" w:eastAsia="Times New Roman" w:hAnsi="Aptos Narrow"/>
                <w:color w:val="000000"/>
                <w:lang w:val="en-US" w:eastAsia="zh-CN"/>
              </w:rPr>
            </w:pPr>
            <w:r w:rsidRPr="00406580">
              <w:rPr>
                <w:rFonts w:ascii="Aptos Narrow" w:eastAsia="Times New Roman" w:hAnsi="Aptos Narrow"/>
                <w:color w:val="000000"/>
                <w:lang w:val="en-US" w:eastAsia="zh-CN"/>
              </w:rPr>
              <w:t>128</w:t>
            </w:r>
          </w:p>
        </w:tc>
        <w:tc>
          <w:tcPr>
            <w:tcW w:w="1240" w:type="dxa"/>
            <w:noWrap/>
            <w:vAlign w:val="bottom"/>
            <w:hideMark/>
          </w:tcPr>
          <w:p w14:paraId="45C2242A" w14:textId="77777777" w:rsidR="002271E5" w:rsidRPr="00406580" w:rsidRDefault="002271E5" w:rsidP="001B10F9">
            <w:pPr>
              <w:spacing w:after="0"/>
              <w:jc w:val="center"/>
              <w:rPr>
                <w:rFonts w:ascii="Aptos Narrow" w:eastAsia="Times New Roman" w:hAnsi="Aptos Narrow"/>
                <w:color w:val="000000"/>
                <w:lang w:val="en-US" w:eastAsia="zh-CN"/>
              </w:rPr>
            </w:pPr>
            <w:r w:rsidRPr="00406580">
              <w:rPr>
                <w:rFonts w:ascii="Aptos Narrow" w:eastAsia="Times New Roman" w:hAnsi="Aptos Narrow"/>
                <w:color w:val="000000"/>
                <w:lang w:val="en-US" w:eastAsia="zh-CN"/>
              </w:rPr>
              <w:t>128</w:t>
            </w:r>
          </w:p>
        </w:tc>
        <w:tc>
          <w:tcPr>
            <w:tcW w:w="960" w:type="dxa"/>
            <w:noWrap/>
            <w:vAlign w:val="bottom"/>
            <w:hideMark/>
          </w:tcPr>
          <w:p w14:paraId="43F23E0B" w14:textId="77777777" w:rsidR="002271E5" w:rsidRPr="00406580" w:rsidRDefault="002271E5" w:rsidP="001B10F9">
            <w:pPr>
              <w:spacing w:after="0"/>
              <w:jc w:val="center"/>
              <w:rPr>
                <w:rFonts w:ascii="Aptos Narrow" w:eastAsia="Times New Roman" w:hAnsi="Aptos Narrow"/>
                <w:color w:val="000000"/>
                <w:lang w:val="en-US" w:eastAsia="zh-CN"/>
              </w:rPr>
            </w:pPr>
            <w:r w:rsidRPr="00406580">
              <w:rPr>
                <w:rFonts w:ascii="Aptos Narrow" w:eastAsia="Times New Roman" w:hAnsi="Aptos Narrow"/>
                <w:color w:val="000000"/>
                <w:lang w:val="en-US" w:eastAsia="zh-CN"/>
              </w:rPr>
              <w:t>128</w:t>
            </w:r>
          </w:p>
        </w:tc>
        <w:tc>
          <w:tcPr>
            <w:tcW w:w="960" w:type="dxa"/>
            <w:noWrap/>
            <w:hideMark/>
          </w:tcPr>
          <w:p w14:paraId="3F42FD38" w14:textId="77777777" w:rsidR="002271E5" w:rsidRPr="00406580" w:rsidRDefault="002271E5" w:rsidP="001B10F9">
            <w:pPr>
              <w:spacing w:after="0"/>
              <w:jc w:val="center"/>
              <w:rPr>
                <w:rFonts w:ascii="Aptos Narrow" w:eastAsia="Times New Roman" w:hAnsi="Aptos Narrow"/>
                <w:color w:val="000000"/>
                <w:lang w:val="en-US" w:eastAsia="zh-CN"/>
              </w:rPr>
            </w:pPr>
            <w:r w:rsidRPr="002B1508">
              <w:rPr>
                <w:rFonts w:ascii="Aptos Narrow" w:eastAsia="Times New Roman" w:hAnsi="Aptos Narrow"/>
                <w:color w:val="000000"/>
                <w:lang w:val="en-US" w:eastAsia="zh-CN"/>
              </w:rPr>
              <w:t>SQ</w:t>
            </w:r>
          </w:p>
        </w:tc>
        <w:tc>
          <w:tcPr>
            <w:tcW w:w="585" w:type="dxa"/>
            <w:noWrap/>
            <w:vAlign w:val="bottom"/>
            <w:hideMark/>
          </w:tcPr>
          <w:p w14:paraId="07F9234A" w14:textId="77777777" w:rsidR="002271E5" w:rsidRPr="00406580" w:rsidRDefault="002271E5" w:rsidP="001B10F9">
            <w:pPr>
              <w:spacing w:after="0"/>
              <w:jc w:val="center"/>
              <w:rPr>
                <w:rFonts w:ascii="Aptos Narrow" w:eastAsia="Times New Roman" w:hAnsi="Aptos Narrow"/>
                <w:color w:val="000000"/>
                <w:lang w:val="en-US" w:eastAsia="zh-CN"/>
              </w:rPr>
            </w:pPr>
            <w:r w:rsidRPr="00406580">
              <w:rPr>
                <w:rFonts w:ascii="Aptos Narrow" w:eastAsia="Times New Roman" w:hAnsi="Aptos Narrow"/>
                <w:color w:val="000000"/>
                <w:lang w:val="en-US" w:eastAsia="zh-CN"/>
              </w:rPr>
              <w:t>2</w:t>
            </w:r>
          </w:p>
        </w:tc>
        <w:tc>
          <w:tcPr>
            <w:tcW w:w="1440" w:type="dxa"/>
            <w:noWrap/>
            <w:vAlign w:val="bottom"/>
            <w:hideMark/>
          </w:tcPr>
          <w:p w14:paraId="7BCB8E78" w14:textId="11ED6CA7" w:rsidR="002271E5" w:rsidRPr="00406580" w:rsidRDefault="002271E5" w:rsidP="001B10F9">
            <w:pPr>
              <w:spacing w:after="0"/>
              <w:jc w:val="center"/>
              <w:rPr>
                <w:rFonts w:ascii="Aptos Narrow" w:eastAsia="Times New Roman" w:hAnsi="Aptos Narrow"/>
                <w:color w:val="000000"/>
                <w:lang w:val="en-US" w:eastAsia="zh-CN"/>
              </w:rPr>
            </w:pPr>
            <w:r w:rsidRPr="00406580">
              <w:rPr>
                <w:rFonts w:ascii="Aptos Narrow" w:eastAsia="Times New Roman" w:hAnsi="Aptos Narrow"/>
                <w:color w:val="000000"/>
                <w:lang w:val="en-US" w:eastAsia="zh-CN"/>
              </w:rPr>
              <w:t>768</w:t>
            </w:r>
            <w:r w:rsidR="00BA4C46">
              <w:rPr>
                <w:rFonts w:ascii="Aptos Narrow" w:eastAsia="Times New Roman" w:hAnsi="Aptos Narrow"/>
                <w:color w:val="000000"/>
                <w:lang w:val="en-US" w:eastAsia="zh-CN"/>
              </w:rPr>
              <w:t xml:space="preserve"> (2x)</w:t>
            </w:r>
          </w:p>
        </w:tc>
        <w:tc>
          <w:tcPr>
            <w:tcW w:w="1509" w:type="dxa"/>
            <w:noWrap/>
            <w:vAlign w:val="bottom"/>
            <w:hideMark/>
          </w:tcPr>
          <w:p w14:paraId="4B258176" w14:textId="77777777" w:rsidR="002271E5" w:rsidRPr="00406580" w:rsidRDefault="002271E5" w:rsidP="001B10F9">
            <w:pPr>
              <w:spacing w:after="0"/>
              <w:jc w:val="center"/>
              <w:rPr>
                <w:rFonts w:ascii="Aptos Narrow" w:eastAsia="Times New Roman" w:hAnsi="Aptos Narrow"/>
                <w:color w:val="000000"/>
                <w:lang w:val="en-US" w:eastAsia="zh-CN"/>
              </w:rPr>
            </w:pPr>
            <w:r w:rsidRPr="00406580">
              <w:rPr>
                <w:rFonts w:ascii="Aptos Narrow" w:eastAsia="Times New Roman" w:hAnsi="Aptos Narrow"/>
                <w:color w:val="000000"/>
                <w:lang w:val="en-US" w:eastAsia="zh-CN"/>
              </w:rPr>
              <w:t>19.46594</w:t>
            </w:r>
          </w:p>
        </w:tc>
      </w:tr>
      <w:tr w:rsidR="002271E5" w:rsidRPr="002B1508" w14:paraId="6DA9C314" w14:textId="77777777" w:rsidTr="001B10F9">
        <w:trPr>
          <w:trHeight w:val="290"/>
          <w:jc w:val="center"/>
        </w:trPr>
        <w:tc>
          <w:tcPr>
            <w:tcW w:w="960" w:type="dxa"/>
            <w:noWrap/>
            <w:vAlign w:val="bottom"/>
            <w:hideMark/>
          </w:tcPr>
          <w:p w14:paraId="6E3855C0" w14:textId="6A2A28CF" w:rsidR="002271E5" w:rsidRPr="00406580" w:rsidRDefault="00BA4C46" w:rsidP="001B10F9">
            <w:pPr>
              <w:spacing w:after="0"/>
              <w:jc w:val="center"/>
              <w:rPr>
                <w:rFonts w:ascii="Aptos Narrow" w:eastAsia="Times New Roman" w:hAnsi="Aptos Narrow"/>
                <w:color w:val="000000"/>
                <w:lang w:val="en-US" w:eastAsia="zh-CN"/>
              </w:rPr>
            </w:pPr>
            <w:r>
              <w:rPr>
                <w:rFonts w:ascii="Aptos Narrow" w:eastAsia="Times New Roman" w:hAnsi="Aptos Narrow"/>
                <w:color w:val="000000"/>
                <w:lang w:val="en-US" w:eastAsia="zh-CN"/>
              </w:rPr>
              <w:t>PC5.2</w:t>
            </w:r>
          </w:p>
        </w:tc>
        <w:tc>
          <w:tcPr>
            <w:tcW w:w="960" w:type="dxa"/>
            <w:noWrap/>
            <w:vAlign w:val="bottom"/>
            <w:hideMark/>
          </w:tcPr>
          <w:p w14:paraId="023E9247" w14:textId="77777777" w:rsidR="002271E5" w:rsidRPr="00406580" w:rsidRDefault="002271E5" w:rsidP="001B10F9">
            <w:pPr>
              <w:spacing w:after="0"/>
              <w:jc w:val="center"/>
              <w:rPr>
                <w:rFonts w:ascii="Aptos Narrow" w:eastAsia="Times New Roman" w:hAnsi="Aptos Narrow"/>
                <w:color w:val="000000"/>
                <w:lang w:val="en-US" w:eastAsia="zh-CN"/>
              </w:rPr>
            </w:pPr>
            <w:r w:rsidRPr="00406580">
              <w:rPr>
                <w:rFonts w:ascii="Aptos Narrow" w:eastAsia="Times New Roman" w:hAnsi="Aptos Narrow"/>
                <w:color w:val="000000"/>
                <w:lang w:val="en-US" w:eastAsia="zh-CN"/>
              </w:rPr>
              <w:t>192</w:t>
            </w:r>
          </w:p>
        </w:tc>
        <w:tc>
          <w:tcPr>
            <w:tcW w:w="1240" w:type="dxa"/>
            <w:noWrap/>
            <w:vAlign w:val="bottom"/>
            <w:hideMark/>
          </w:tcPr>
          <w:p w14:paraId="357E5415" w14:textId="77777777" w:rsidR="002271E5" w:rsidRPr="00406580" w:rsidRDefault="002271E5" w:rsidP="001B10F9">
            <w:pPr>
              <w:spacing w:after="0"/>
              <w:jc w:val="center"/>
              <w:rPr>
                <w:rFonts w:ascii="Aptos Narrow" w:eastAsia="Times New Roman" w:hAnsi="Aptos Narrow"/>
                <w:color w:val="000000"/>
                <w:lang w:val="en-US" w:eastAsia="zh-CN"/>
              </w:rPr>
            </w:pPr>
            <w:r w:rsidRPr="00406580">
              <w:rPr>
                <w:rFonts w:ascii="Aptos Narrow" w:eastAsia="Times New Roman" w:hAnsi="Aptos Narrow"/>
                <w:color w:val="000000"/>
                <w:lang w:val="en-US" w:eastAsia="zh-CN"/>
              </w:rPr>
              <w:t>96</w:t>
            </w:r>
          </w:p>
        </w:tc>
        <w:tc>
          <w:tcPr>
            <w:tcW w:w="960" w:type="dxa"/>
            <w:noWrap/>
            <w:vAlign w:val="bottom"/>
            <w:hideMark/>
          </w:tcPr>
          <w:p w14:paraId="4A6C7C80" w14:textId="77777777" w:rsidR="002271E5" w:rsidRPr="00406580" w:rsidRDefault="002271E5" w:rsidP="001B10F9">
            <w:pPr>
              <w:spacing w:after="0"/>
              <w:jc w:val="center"/>
              <w:rPr>
                <w:rFonts w:ascii="Aptos Narrow" w:eastAsia="Times New Roman" w:hAnsi="Aptos Narrow"/>
                <w:color w:val="000000"/>
                <w:lang w:val="en-US" w:eastAsia="zh-CN"/>
              </w:rPr>
            </w:pPr>
            <w:r w:rsidRPr="00406580">
              <w:rPr>
                <w:rFonts w:ascii="Aptos Narrow" w:eastAsia="Times New Roman" w:hAnsi="Aptos Narrow"/>
                <w:color w:val="000000"/>
                <w:lang w:val="en-US" w:eastAsia="zh-CN"/>
              </w:rPr>
              <w:t>96</w:t>
            </w:r>
          </w:p>
        </w:tc>
        <w:tc>
          <w:tcPr>
            <w:tcW w:w="960" w:type="dxa"/>
            <w:noWrap/>
            <w:hideMark/>
          </w:tcPr>
          <w:p w14:paraId="3EF1274C" w14:textId="77777777" w:rsidR="002271E5" w:rsidRPr="00406580" w:rsidRDefault="002271E5" w:rsidP="001B10F9">
            <w:pPr>
              <w:spacing w:after="0"/>
              <w:jc w:val="center"/>
              <w:rPr>
                <w:rFonts w:ascii="Aptos Narrow" w:eastAsia="Times New Roman" w:hAnsi="Aptos Narrow"/>
                <w:color w:val="000000"/>
                <w:lang w:val="en-US" w:eastAsia="zh-CN"/>
              </w:rPr>
            </w:pPr>
            <w:r w:rsidRPr="002B1508">
              <w:rPr>
                <w:rFonts w:ascii="Aptos Narrow" w:eastAsia="Times New Roman" w:hAnsi="Aptos Narrow"/>
                <w:color w:val="000000"/>
                <w:lang w:val="en-US" w:eastAsia="zh-CN"/>
              </w:rPr>
              <w:t>SQ</w:t>
            </w:r>
          </w:p>
        </w:tc>
        <w:tc>
          <w:tcPr>
            <w:tcW w:w="585" w:type="dxa"/>
            <w:noWrap/>
            <w:vAlign w:val="bottom"/>
            <w:hideMark/>
          </w:tcPr>
          <w:p w14:paraId="447D5E8F" w14:textId="77777777" w:rsidR="002271E5" w:rsidRPr="00406580" w:rsidRDefault="002271E5" w:rsidP="001B10F9">
            <w:pPr>
              <w:spacing w:after="0"/>
              <w:jc w:val="center"/>
              <w:rPr>
                <w:rFonts w:ascii="Aptos Narrow" w:eastAsia="Times New Roman" w:hAnsi="Aptos Narrow"/>
                <w:color w:val="000000"/>
                <w:lang w:val="en-US" w:eastAsia="zh-CN"/>
              </w:rPr>
            </w:pPr>
            <w:r w:rsidRPr="00406580">
              <w:rPr>
                <w:rFonts w:ascii="Aptos Narrow" w:eastAsia="Times New Roman" w:hAnsi="Aptos Narrow"/>
                <w:color w:val="000000"/>
                <w:lang w:val="en-US" w:eastAsia="zh-CN"/>
              </w:rPr>
              <w:t>2</w:t>
            </w:r>
          </w:p>
        </w:tc>
        <w:tc>
          <w:tcPr>
            <w:tcW w:w="1440" w:type="dxa"/>
            <w:noWrap/>
            <w:vAlign w:val="bottom"/>
            <w:hideMark/>
          </w:tcPr>
          <w:p w14:paraId="18A16686" w14:textId="3515BF1A" w:rsidR="002271E5" w:rsidRPr="00406580" w:rsidRDefault="002271E5" w:rsidP="001B10F9">
            <w:pPr>
              <w:spacing w:after="0"/>
              <w:jc w:val="center"/>
              <w:rPr>
                <w:rFonts w:ascii="Aptos Narrow" w:eastAsia="Times New Roman" w:hAnsi="Aptos Narrow"/>
                <w:color w:val="000000"/>
                <w:lang w:val="en-US" w:eastAsia="zh-CN"/>
              </w:rPr>
            </w:pPr>
            <w:r w:rsidRPr="00406580">
              <w:rPr>
                <w:rFonts w:ascii="Aptos Narrow" w:eastAsia="Times New Roman" w:hAnsi="Aptos Narrow"/>
                <w:color w:val="000000"/>
                <w:lang w:val="en-US" w:eastAsia="zh-CN"/>
              </w:rPr>
              <w:t>768</w:t>
            </w:r>
            <w:r w:rsidR="00BA4C46">
              <w:rPr>
                <w:rFonts w:ascii="Aptos Narrow" w:eastAsia="Times New Roman" w:hAnsi="Aptos Narrow"/>
                <w:color w:val="000000"/>
                <w:lang w:val="en-US" w:eastAsia="zh-CN"/>
              </w:rPr>
              <w:t xml:space="preserve"> (2x)</w:t>
            </w:r>
          </w:p>
        </w:tc>
        <w:tc>
          <w:tcPr>
            <w:tcW w:w="1509" w:type="dxa"/>
            <w:noWrap/>
            <w:vAlign w:val="bottom"/>
            <w:hideMark/>
          </w:tcPr>
          <w:p w14:paraId="02E6DC9A" w14:textId="77777777" w:rsidR="002271E5" w:rsidRPr="00406580" w:rsidRDefault="002271E5" w:rsidP="001B10F9">
            <w:pPr>
              <w:spacing w:after="0"/>
              <w:jc w:val="center"/>
              <w:rPr>
                <w:rFonts w:ascii="Aptos Narrow" w:eastAsia="Times New Roman" w:hAnsi="Aptos Narrow"/>
                <w:color w:val="000000"/>
                <w:lang w:val="en-US" w:eastAsia="zh-CN"/>
              </w:rPr>
            </w:pPr>
            <w:r w:rsidRPr="00406580">
              <w:rPr>
                <w:rFonts w:ascii="Aptos Narrow" w:eastAsia="Times New Roman" w:hAnsi="Aptos Narrow"/>
                <w:color w:val="000000"/>
                <w:lang w:val="en-US" w:eastAsia="zh-CN"/>
              </w:rPr>
              <w:t>19.25569</w:t>
            </w:r>
          </w:p>
        </w:tc>
      </w:tr>
      <w:tr w:rsidR="002271E5" w:rsidRPr="00406580" w14:paraId="07AEA8EE" w14:textId="77777777" w:rsidTr="001B10F9">
        <w:trPr>
          <w:trHeight w:val="290"/>
          <w:jc w:val="center"/>
        </w:trPr>
        <w:tc>
          <w:tcPr>
            <w:tcW w:w="960" w:type="dxa"/>
            <w:noWrap/>
            <w:vAlign w:val="bottom"/>
            <w:hideMark/>
          </w:tcPr>
          <w:p w14:paraId="24ADCCE2" w14:textId="3D0D1279" w:rsidR="002271E5" w:rsidRPr="00406580" w:rsidRDefault="00BA4C46" w:rsidP="001B10F9">
            <w:pPr>
              <w:spacing w:after="0"/>
              <w:jc w:val="center"/>
              <w:rPr>
                <w:rFonts w:ascii="Aptos Narrow" w:eastAsia="Times New Roman" w:hAnsi="Aptos Narrow"/>
                <w:color w:val="000000"/>
                <w:lang w:val="en-US" w:eastAsia="zh-CN"/>
              </w:rPr>
            </w:pPr>
            <w:r>
              <w:rPr>
                <w:rFonts w:ascii="Aptos Narrow" w:eastAsia="Times New Roman" w:hAnsi="Aptos Narrow"/>
                <w:color w:val="000000"/>
                <w:lang w:val="en-US" w:eastAsia="zh-CN"/>
              </w:rPr>
              <w:t>PC5.3</w:t>
            </w:r>
          </w:p>
        </w:tc>
        <w:tc>
          <w:tcPr>
            <w:tcW w:w="960" w:type="dxa"/>
            <w:noWrap/>
            <w:vAlign w:val="bottom"/>
            <w:hideMark/>
          </w:tcPr>
          <w:p w14:paraId="3A99B2D3" w14:textId="77777777" w:rsidR="002271E5" w:rsidRPr="00406580" w:rsidRDefault="002271E5" w:rsidP="001B10F9">
            <w:pPr>
              <w:spacing w:after="0"/>
              <w:jc w:val="center"/>
              <w:rPr>
                <w:rFonts w:ascii="Aptos Narrow" w:eastAsia="Times New Roman" w:hAnsi="Aptos Narrow"/>
                <w:color w:val="000000"/>
                <w:lang w:val="en-US" w:eastAsia="zh-CN"/>
              </w:rPr>
            </w:pPr>
            <w:r w:rsidRPr="00406580">
              <w:rPr>
                <w:rFonts w:ascii="Aptos Narrow" w:eastAsia="Times New Roman" w:hAnsi="Aptos Narrow"/>
                <w:color w:val="000000"/>
                <w:lang w:val="en-US" w:eastAsia="zh-CN"/>
              </w:rPr>
              <w:t>96</w:t>
            </w:r>
          </w:p>
        </w:tc>
        <w:tc>
          <w:tcPr>
            <w:tcW w:w="1240" w:type="dxa"/>
            <w:noWrap/>
            <w:vAlign w:val="bottom"/>
            <w:hideMark/>
          </w:tcPr>
          <w:p w14:paraId="356E0F63" w14:textId="77777777" w:rsidR="002271E5" w:rsidRPr="00406580" w:rsidRDefault="002271E5" w:rsidP="001B10F9">
            <w:pPr>
              <w:spacing w:after="0"/>
              <w:jc w:val="center"/>
              <w:rPr>
                <w:rFonts w:ascii="Aptos Narrow" w:eastAsia="Times New Roman" w:hAnsi="Aptos Narrow"/>
                <w:color w:val="000000"/>
                <w:lang w:val="en-US" w:eastAsia="zh-CN"/>
              </w:rPr>
            </w:pPr>
            <w:r w:rsidRPr="00406580">
              <w:rPr>
                <w:rFonts w:ascii="Aptos Narrow" w:eastAsia="Times New Roman" w:hAnsi="Aptos Narrow"/>
                <w:color w:val="000000"/>
                <w:lang w:val="en-US" w:eastAsia="zh-CN"/>
              </w:rPr>
              <w:t>96</w:t>
            </w:r>
          </w:p>
        </w:tc>
        <w:tc>
          <w:tcPr>
            <w:tcW w:w="960" w:type="dxa"/>
            <w:noWrap/>
            <w:vAlign w:val="bottom"/>
            <w:hideMark/>
          </w:tcPr>
          <w:p w14:paraId="5A510E6C" w14:textId="77777777" w:rsidR="002271E5" w:rsidRPr="00406580" w:rsidRDefault="002271E5" w:rsidP="001B10F9">
            <w:pPr>
              <w:spacing w:after="0"/>
              <w:jc w:val="center"/>
              <w:rPr>
                <w:rFonts w:ascii="Aptos Narrow" w:eastAsia="Times New Roman" w:hAnsi="Aptos Narrow"/>
                <w:color w:val="000000"/>
                <w:lang w:val="en-US" w:eastAsia="zh-CN"/>
              </w:rPr>
            </w:pPr>
            <w:r w:rsidRPr="00406580">
              <w:rPr>
                <w:rFonts w:ascii="Aptos Narrow" w:eastAsia="Times New Roman" w:hAnsi="Aptos Narrow"/>
                <w:color w:val="000000"/>
                <w:lang w:val="en-US" w:eastAsia="zh-CN"/>
              </w:rPr>
              <w:t>192</w:t>
            </w:r>
          </w:p>
        </w:tc>
        <w:tc>
          <w:tcPr>
            <w:tcW w:w="960" w:type="dxa"/>
            <w:noWrap/>
            <w:hideMark/>
          </w:tcPr>
          <w:p w14:paraId="72A32DAF" w14:textId="77777777" w:rsidR="002271E5" w:rsidRPr="00406580" w:rsidRDefault="002271E5" w:rsidP="001B10F9">
            <w:pPr>
              <w:spacing w:after="0"/>
              <w:jc w:val="center"/>
              <w:rPr>
                <w:rFonts w:ascii="Aptos Narrow" w:eastAsia="Times New Roman" w:hAnsi="Aptos Narrow"/>
                <w:color w:val="000000"/>
                <w:lang w:val="en-US" w:eastAsia="zh-CN"/>
              </w:rPr>
            </w:pPr>
            <w:r w:rsidRPr="002B1508">
              <w:rPr>
                <w:rFonts w:ascii="Aptos Narrow" w:eastAsia="Times New Roman" w:hAnsi="Aptos Narrow"/>
                <w:color w:val="000000"/>
                <w:lang w:val="en-US" w:eastAsia="zh-CN"/>
              </w:rPr>
              <w:t>SQ</w:t>
            </w:r>
          </w:p>
        </w:tc>
        <w:tc>
          <w:tcPr>
            <w:tcW w:w="585" w:type="dxa"/>
            <w:noWrap/>
            <w:vAlign w:val="bottom"/>
            <w:hideMark/>
          </w:tcPr>
          <w:p w14:paraId="791C745A" w14:textId="77777777" w:rsidR="002271E5" w:rsidRPr="00406580" w:rsidRDefault="002271E5" w:rsidP="001B10F9">
            <w:pPr>
              <w:spacing w:after="0"/>
              <w:jc w:val="center"/>
              <w:rPr>
                <w:rFonts w:ascii="Aptos Narrow" w:eastAsia="Times New Roman" w:hAnsi="Aptos Narrow"/>
                <w:color w:val="000000"/>
                <w:lang w:val="en-US" w:eastAsia="zh-CN"/>
              </w:rPr>
            </w:pPr>
            <w:r w:rsidRPr="00406580">
              <w:rPr>
                <w:rFonts w:ascii="Aptos Narrow" w:eastAsia="Times New Roman" w:hAnsi="Aptos Narrow"/>
                <w:color w:val="000000"/>
                <w:lang w:val="en-US" w:eastAsia="zh-CN"/>
              </w:rPr>
              <w:t>2</w:t>
            </w:r>
          </w:p>
        </w:tc>
        <w:tc>
          <w:tcPr>
            <w:tcW w:w="1440" w:type="dxa"/>
            <w:noWrap/>
            <w:vAlign w:val="bottom"/>
            <w:hideMark/>
          </w:tcPr>
          <w:p w14:paraId="53A8A28C" w14:textId="3CD965C1" w:rsidR="002271E5" w:rsidRPr="00406580" w:rsidRDefault="002271E5" w:rsidP="001B10F9">
            <w:pPr>
              <w:spacing w:after="0"/>
              <w:jc w:val="center"/>
              <w:rPr>
                <w:rFonts w:ascii="Aptos Narrow" w:eastAsia="Times New Roman" w:hAnsi="Aptos Narrow"/>
                <w:color w:val="000000"/>
                <w:lang w:val="en-US" w:eastAsia="zh-CN"/>
              </w:rPr>
            </w:pPr>
            <w:r w:rsidRPr="00406580">
              <w:rPr>
                <w:rFonts w:ascii="Aptos Narrow" w:eastAsia="Times New Roman" w:hAnsi="Aptos Narrow"/>
                <w:color w:val="000000"/>
                <w:lang w:val="en-US" w:eastAsia="zh-CN"/>
              </w:rPr>
              <w:t>768</w:t>
            </w:r>
            <w:r w:rsidR="00BA4C46">
              <w:rPr>
                <w:rFonts w:ascii="Aptos Narrow" w:eastAsia="Times New Roman" w:hAnsi="Aptos Narrow"/>
                <w:color w:val="000000"/>
                <w:lang w:val="en-US" w:eastAsia="zh-CN"/>
              </w:rPr>
              <w:t xml:space="preserve"> (2x)</w:t>
            </w:r>
          </w:p>
        </w:tc>
        <w:tc>
          <w:tcPr>
            <w:tcW w:w="1509" w:type="dxa"/>
            <w:noWrap/>
            <w:vAlign w:val="bottom"/>
            <w:hideMark/>
          </w:tcPr>
          <w:p w14:paraId="0770A676" w14:textId="77777777" w:rsidR="002271E5" w:rsidRPr="00406580" w:rsidRDefault="002271E5" w:rsidP="001B10F9">
            <w:pPr>
              <w:spacing w:after="0"/>
              <w:jc w:val="center"/>
              <w:rPr>
                <w:rFonts w:ascii="Aptos Narrow" w:eastAsia="Times New Roman" w:hAnsi="Aptos Narrow"/>
                <w:color w:val="000000"/>
                <w:lang w:val="en-US" w:eastAsia="zh-CN"/>
              </w:rPr>
            </w:pPr>
            <w:r w:rsidRPr="00406580">
              <w:rPr>
                <w:rFonts w:ascii="Aptos Narrow" w:eastAsia="Times New Roman" w:hAnsi="Aptos Narrow"/>
                <w:color w:val="000000"/>
                <w:lang w:val="en-US" w:eastAsia="zh-CN"/>
              </w:rPr>
              <w:t>19.54037</w:t>
            </w:r>
          </w:p>
        </w:tc>
      </w:tr>
    </w:tbl>
    <w:p w14:paraId="6E716B2E" w14:textId="77777777" w:rsidR="002271E5" w:rsidRPr="002271E5" w:rsidRDefault="002271E5" w:rsidP="002271E5"/>
    <w:p w14:paraId="60335A89" w14:textId="46FBF394" w:rsidR="003B1199" w:rsidRDefault="00FE6916" w:rsidP="003B1199">
      <w:pPr>
        <w:keepNext/>
        <w:jc w:val="center"/>
      </w:pPr>
      <w:r>
        <w:rPr>
          <w:noProof/>
        </w:rPr>
        <w:lastRenderedPageBreak/>
        <w:drawing>
          <wp:inline distT="0" distB="0" distL="0" distR="0" wp14:anchorId="4ABC3ECB" wp14:editId="2416DBB4">
            <wp:extent cx="4781550" cy="2743200"/>
            <wp:effectExtent l="0" t="0" r="0" b="0"/>
            <wp:docPr id="1776460461" name="Chart 1">
              <a:extLst xmlns:a="http://schemas.openxmlformats.org/drawingml/2006/main">
                <a:ext uri="{FF2B5EF4-FFF2-40B4-BE49-F238E27FC236}">
                  <a16:creationId xmlns:a16="http://schemas.microsoft.com/office/drawing/2014/main" id="{015504BA-9B72-2004-6581-8FD961A9DBA4}"/>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5"/>
              </a:graphicData>
            </a:graphic>
          </wp:inline>
        </w:drawing>
      </w:r>
    </w:p>
    <w:p w14:paraId="0E066BEE" w14:textId="7A14CB9B" w:rsidR="005217BA" w:rsidRDefault="003B1199" w:rsidP="003B1199">
      <w:pPr>
        <w:pStyle w:val="Caption"/>
      </w:pPr>
      <w:bookmarkStart w:id="16" w:name="_Ref213422688"/>
      <w:r>
        <w:t xml:space="preserve">Figure </w:t>
      </w:r>
      <w:r w:rsidR="003B287B">
        <w:fldChar w:fldCharType="begin"/>
      </w:r>
      <w:r w:rsidR="003B287B">
        <w:instrText xml:space="preserve"> STYLEREF 1 \s </w:instrText>
      </w:r>
      <w:r w:rsidR="003B287B">
        <w:fldChar w:fldCharType="separate"/>
      </w:r>
      <w:r w:rsidR="003B287B">
        <w:rPr>
          <w:noProof/>
        </w:rPr>
        <w:t>2</w:t>
      </w:r>
      <w:r w:rsidR="003B287B">
        <w:fldChar w:fldCharType="end"/>
      </w:r>
      <w:r w:rsidR="003B287B">
        <w:noBreakHyphen/>
      </w:r>
      <w:r w:rsidR="003B287B">
        <w:fldChar w:fldCharType="begin"/>
      </w:r>
      <w:r w:rsidR="003B287B">
        <w:instrText xml:space="preserve"> SEQ Figure \* ARABIC \s 1 </w:instrText>
      </w:r>
      <w:r w:rsidR="003B287B">
        <w:fldChar w:fldCharType="separate"/>
      </w:r>
      <w:r w:rsidR="003B287B">
        <w:rPr>
          <w:noProof/>
        </w:rPr>
        <w:t>5</w:t>
      </w:r>
      <w:r w:rsidR="003B287B">
        <w:fldChar w:fldCharType="end"/>
      </w:r>
      <w:bookmarkEnd w:id="16"/>
      <w:r>
        <w:t>. The spectral efficiency comparison between layer-common and layer-specific payload for rank 4.</w:t>
      </w:r>
    </w:p>
    <w:p w14:paraId="277AFE32" w14:textId="1BBCC498" w:rsidR="00FE6916" w:rsidRDefault="00FE6916" w:rsidP="00FE6916">
      <w:pPr>
        <w:pStyle w:val="Caption"/>
        <w:keepNext/>
      </w:pPr>
      <w:bookmarkStart w:id="17" w:name="_Ref213424118"/>
      <w:r>
        <w:t xml:space="preserve">Table </w:t>
      </w:r>
      <w:r w:rsidR="00407517">
        <w:fldChar w:fldCharType="begin"/>
      </w:r>
      <w:r w:rsidR="00407517">
        <w:instrText xml:space="preserve"> STYLEREF 1 \s </w:instrText>
      </w:r>
      <w:r w:rsidR="00407517">
        <w:fldChar w:fldCharType="separate"/>
      </w:r>
      <w:r w:rsidR="00407517">
        <w:rPr>
          <w:noProof/>
        </w:rPr>
        <w:t>2</w:t>
      </w:r>
      <w:r w:rsidR="00407517">
        <w:fldChar w:fldCharType="end"/>
      </w:r>
      <w:r w:rsidR="00407517">
        <w:noBreakHyphen/>
      </w:r>
      <w:r w:rsidR="00407517">
        <w:fldChar w:fldCharType="begin"/>
      </w:r>
      <w:r w:rsidR="00407517">
        <w:instrText xml:space="preserve"> SEQ Table \* ARABIC \s 1 </w:instrText>
      </w:r>
      <w:r w:rsidR="00407517">
        <w:fldChar w:fldCharType="separate"/>
      </w:r>
      <w:r w:rsidR="00407517">
        <w:rPr>
          <w:noProof/>
        </w:rPr>
        <w:t>3</w:t>
      </w:r>
      <w:r w:rsidR="00407517">
        <w:fldChar w:fldCharType="end"/>
      </w:r>
      <w:bookmarkEnd w:id="17"/>
      <w:r>
        <w:t xml:space="preserve">. The detailed parameter configurations for rank-4 analysis in </w:t>
      </w:r>
      <w:r>
        <w:fldChar w:fldCharType="begin"/>
      </w:r>
      <w:r>
        <w:instrText xml:space="preserve"> REF _Ref213422688 \h </w:instrText>
      </w:r>
      <w:r>
        <w:fldChar w:fldCharType="separate"/>
      </w:r>
      <w:r>
        <w:t xml:space="preserve">Figure </w:t>
      </w:r>
      <w:r>
        <w:rPr>
          <w:noProof/>
        </w:rPr>
        <w:t>2</w:t>
      </w:r>
      <w:r>
        <w:noBreakHyphen/>
      </w:r>
      <w:r>
        <w:rPr>
          <w:noProof/>
        </w:rPr>
        <w:t>5</w:t>
      </w:r>
      <w:r>
        <w:fldChar w:fldCharType="end"/>
      </w:r>
      <w:r>
        <w:t>.</w:t>
      </w:r>
    </w:p>
    <w:tbl>
      <w:tblPr>
        <w:tblW w:w="9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
        <w:gridCol w:w="960"/>
        <w:gridCol w:w="960"/>
        <w:gridCol w:w="960"/>
        <w:gridCol w:w="960"/>
        <w:gridCol w:w="960"/>
        <w:gridCol w:w="805"/>
        <w:gridCol w:w="1530"/>
        <w:gridCol w:w="1260"/>
      </w:tblGrid>
      <w:tr w:rsidR="00D73656" w:rsidRPr="000754DA" w14:paraId="7EEB09EA" w14:textId="77777777" w:rsidTr="00D73656">
        <w:trPr>
          <w:trHeight w:val="290"/>
        </w:trPr>
        <w:tc>
          <w:tcPr>
            <w:tcW w:w="960" w:type="dxa"/>
            <w:shd w:val="clear" w:color="000000" w:fill="C1F0C8"/>
            <w:noWrap/>
            <w:vAlign w:val="center"/>
            <w:hideMark/>
          </w:tcPr>
          <w:p w14:paraId="4142EC60" w14:textId="77777777" w:rsidR="00D73656" w:rsidRPr="000754DA" w:rsidRDefault="00D73656" w:rsidP="00D73656">
            <w:pPr>
              <w:spacing w:after="0"/>
              <w:jc w:val="center"/>
              <w:rPr>
                <w:rFonts w:ascii="Aptos Narrow" w:eastAsia="Times New Roman" w:hAnsi="Aptos Narrow"/>
                <w:color w:val="000000"/>
                <w:lang w:val="en-US" w:eastAsia="zh-CN"/>
              </w:rPr>
            </w:pPr>
            <w:r w:rsidRPr="000754DA">
              <w:rPr>
                <w:rFonts w:ascii="Aptos Narrow" w:eastAsia="Times New Roman" w:hAnsi="Aptos Narrow"/>
                <w:color w:val="000000"/>
                <w:lang w:val="en-US" w:eastAsia="zh-CN"/>
              </w:rPr>
              <w:t>config</w:t>
            </w:r>
          </w:p>
        </w:tc>
        <w:tc>
          <w:tcPr>
            <w:tcW w:w="960" w:type="dxa"/>
            <w:shd w:val="clear" w:color="000000" w:fill="C1F0C8"/>
            <w:noWrap/>
            <w:vAlign w:val="center"/>
            <w:hideMark/>
          </w:tcPr>
          <w:p w14:paraId="3F72F0C6" w14:textId="77777777" w:rsidR="00D73656" w:rsidRPr="000754DA" w:rsidRDefault="00D73656" w:rsidP="00D73656">
            <w:pPr>
              <w:spacing w:after="0"/>
              <w:jc w:val="center"/>
              <w:rPr>
                <w:rFonts w:ascii="Aptos Narrow" w:eastAsia="Times New Roman" w:hAnsi="Aptos Narrow"/>
                <w:color w:val="000000"/>
                <w:lang w:val="en-US" w:eastAsia="zh-CN"/>
              </w:rPr>
            </w:pPr>
            <w:r w:rsidRPr="000754DA">
              <w:rPr>
                <w:rFonts w:ascii="Aptos Narrow" w:eastAsia="Times New Roman" w:hAnsi="Aptos Narrow"/>
                <w:color w:val="000000"/>
                <w:lang w:val="en-US" w:eastAsia="zh-CN"/>
              </w:rPr>
              <w:t>dz0</w:t>
            </w:r>
          </w:p>
        </w:tc>
        <w:tc>
          <w:tcPr>
            <w:tcW w:w="960" w:type="dxa"/>
            <w:shd w:val="clear" w:color="000000" w:fill="C1F0C8"/>
            <w:noWrap/>
            <w:vAlign w:val="center"/>
            <w:hideMark/>
          </w:tcPr>
          <w:p w14:paraId="378BA3DD" w14:textId="77777777" w:rsidR="00D73656" w:rsidRPr="000754DA" w:rsidRDefault="00D73656" w:rsidP="00D73656">
            <w:pPr>
              <w:spacing w:after="0"/>
              <w:jc w:val="center"/>
              <w:rPr>
                <w:rFonts w:ascii="Aptos Narrow" w:eastAsia="Times New Roman" w:hAnsi="Aptos Narrow"/>
                <w:color w:val="000000"/>
                <w:lang w:val="en-US" w:eastAsia="zh-CN"/>
              </w:rPr>
            </w:pPr>
            <w:r w:rsidRPr="000754DA">
              <w:rPr>
                <w:rFonts w:ascii="Aptos Narrow" w:eastAsia="Times New Roman" w:hAnsi="Aptos Narrow"/>
                <w:color w:val="000000"/>
                <w:lang w:val="en-US" w:eastAsia="zh-CN"/>
              </w:rPr>
              <w:t>dz1</w:t>
            </w:r>
          </w:p>
        </w:tc>
        <w:tc>
          <w:tcPr>
            <w:tcW w:w="960" w:type="dxa"/>
            <w:shd w:val="clear" w:color="000000" w:fill="C1F0C8"/>
            <w:noWrap/>
            <w:vAlign w:val="center"/>
            <w:hideMark/>
          </w:tcPr>
          <w:p w14:paraId="031A1727" w14:textId="77777777" w:rsidR="00D73656" w:rsidRPr="000754DA" w:rsidRDefault="00D73656" w:rsidP="00D73656">
            <w:pPr>
              <w:spacing w:after="0"/>
              <w:jc w:val="center"/>
              <w:rPr>
                <w:rFonts w:ascii="Aptos Narrow" w:eastAsia="Times New Roman" w:hAnsi="Aptos Narrow"/>
                <w:color w:val="000000"/>
                <w:lang w:val="en-US" w:eastAsia="zh-CN"/>
              </w:rPr>
            </w:pPr>
            <w:r w:rsidRPr="000754DA">
              <w:rPr>
                <w:rFonts w:ascii="Aptos Narrow" w:eastAsia="Times New Roman" w:hAnsi="Aptos Narrow"/>
                <w:color w:val="000000"/>
                <w:lang w:val="en-US" w:eastAsia="zh-CN"/>
              </w:rPr>
              <w:t>dz2</w:t>
            </w:r>
          </w:p>
        </w:tc>
        <w:tc>
          <w:tcPr>
            <w:tcW w:w="960" w:type="dxa"/>
            <w:shd w:val="clear" w:color="000000" w:fill="C1F0C8"/>
            <w:noWrap/>
            <w:vAlign w:val="center"/>
            <w:hideMark/>
          </w:tcPr>
          <w:p w14:paraId="1AF6D9AF" w14:textId="77777777" w:rsidR="00D73656" w:rsidRPr="000754DA" w:rsidRDefault="00D73656" w:rsidP="00D73656">
            <w:pPr>
              <w:spacing w:after="0"/>
              <w:jc w:val="center"/>
              <w:rPr>
                <w:rFonts w:ascii="Aptos Narrow" w:eastAsia="Times New Roman" w:hAnsi="Aptos Narrow"/>
                <w:color w:val="000000"/>
                <w:lang w:val="en-US" w:eastAsia="zh-CN"/>
              </w:rPr>
            </w:pPr>
            <w:r w:rsidRPr="000754DA">
              <w:rPr>
                <w:rFonts w:ascii="Aptos Narrow" w:eastAsia="Times New Roman" w:hAnsi="Aptos Narrow"/>
                <w:color w:val="000000"/>
                <w:lang w:val="en-US" w:eastAsia="zh-CN"/>
              </w:rPr>
              <w:t>dz3</w:t>
            </w:r>
          </w:p>
        </w:tc>
        <w:tc>
          <w:tcPr>
            <w:tcW w:w="960" w:type="dxa"/>
            <w:shd w:val="clear" w:color="000000" w:fill="C1F0C8"/>
            <w:vAlign w:val="center"/>
          </w:tcPr>
          <w:p w14:paraId="7B475A04" w14:textId="370B8034" w:rsidR="00D73656" w:rsidRPr="000754DA" w:rsidRDefault="00D73656" w:rsidP="00D73656">
            <w:pPr>
              <w:spacing w:after="0"/>
              <w:jc w:val="center"/>
              <w:rPr>
                <w:rFonts w:ascii="Aptos Narrow" w:eastAsia="Times New Roman" w:hAnsi="Aptos Narrow"/>
                <w:color w:val="000000"/>
                <w:lang w:val="en-US" w:eastAsia="zh-CN"/>
              </w:rPr>
            </w:pPr>
            <w:r>
              <w:rPr>
                <w:rFonts w:ascii="Aptos Narrow" w:eastAsia="Times New Roman" w:hAnsi="Aptos Narrow"/>
                <w:color w:val="000000"/>
                <w:lang w:val="en-US" w:eastAsia="zh-CN"/>
              </w:rPr>
              <w:t>SQ or VQ</w:t>
            </w:r>
          </w:p>
        </w:tc>
        <w:tc>
          <w:tcPr>
            <w:tcW w:w="805" w:type="dxa"/>
            <w:shd w:val="clear" w:color="000000" w:fill="C1F0C8"/>
            <w:noWrap/>
            <w:vAlign w:val="center"/>
            <w:hideMark/>
          </w:tcPr>
          <w:p w14:paraId="127CFD59" w14:textId="77777777" w:rsidR="00D73656" w:rsidRPr="000754DA" w:rsidRDefault="00D73656" w:rsidP="00D73656">
            <w:pPr>
              <w:spacing w:after="0"/>
              <w:jc w:val="center"/>
              <w:rPr>
                <w:rFonts w:ascii="Aptos Narrow" w:eastAsia="Times New Roman" w:hAnsi="Aptos Narrow"/>
                <w:color w:val="000000"/>
                <w:lang w:val="en-US" w:eastAsia="zh-CN"/>
              </w:rPr>
            </w:pPr>
            <w:r w:rsidRPr="000754DA">
              <w:rPr>
                <w:rFonts w:ascii="Aptos Narrow" w:eastAsia="Times New Roman" w:hAnsi="Aptos Narrow"/>
                <w:color w:val="000000"/>
                <w:lang w:val="en-US" w:eastAsia="zh-CN"/>
              </w:rPr>
              <w:t>Q</w:t>
            </w:r>
          </w:p>
        </w:tc>
        <w:tc>
          <w:tcPr>
            <w:tcW w:w="1530" w:type="dxa"/>
            <w:shd w:val="clear" w:color="000000" w:fill="C1F0C8"/>
            <w:noWrap/>
            <w:vAlign w:val="center"/>
            <w:hideMark/>
          </w:tcPr>
          <w:p w14:paraId="21842DD3" w14:textId="77777777" w:rsidR="00D73656" w:rsidRDefault="00D73656" w:rsidP="00D73656">
            <w:pPr>
              <w:spacing w:after="0"/>
              <w:jc w:val="center"/>
              <w:rPr>
                <w:rFonts w:ascii="Aptos Narrow" w:eastAsia="Times New Roman" w:hAnsi="Aptos Narrow"/>
                <w:color w:val="000000"/>
                <w:lang w:val="en-US" w:eastAsia="zh-CN"/>
              </w:rPr>
            </w:pPr>
            <w:r w:rsidRPr="00406580">
              <w:rPr>
                <w:rFonts w:ascii="Aptos Narrow" w:eastAsia="Times New Roman" w:hAnsi="Aptos Narrow"/>
                <w:color w:val="000000"/>
                <w:lang w:val="en-US" w:eastAsia="zh-CN"/>
              </w:rPr>
              <w:t>total payload</w:t>
            </w:r>
          </w:p>
          <w:p w14:paraId="600FEA0A" w14:textId="66DEB3BE" w:rsidR="00D73656" w:rsidRPr="000754DA" w:rsidRDefault="00D73656" w:rsidP="00D73656">
            <w:pPr>
              <w:spacing w:after="0"/>
              <w:jc w:val="center"/>
              <w:rPr>
                <w:rFonts w:ascii="Aptos Narrow" w:eastAsia="Times New Roman" w:hAnsi="Aptos Narrow"/>
                <w:color w:val="000000"/>
                <w:lang w:val="en-US" w:eastAsia="zh-CN"/>
              </w:rPr>
            </w:pPr>
            <w:r>
              <w:rPr>
                <w:rFonts w:ascii="Aptos Narrow" w:eastAsia="Times New Roman" w:hAnsi="Aptos Narrow"/>
                <w:color w:val="000000"/>
                <w:lang w:val="en-US" w:eastAsia="zh-CN"/>
              </w:rPr>
              <w:t>(times over rank 1 payload size)</w:t>
            </w:r>
          </w:p>
        </w:tc>
        <w:tc>
          <w:tcPr>
            <w:tcW w:w="1260" w:type="dxa"/>
            <w:shd w:val="clear" w:color="000000" w:fill="C1F0C8"/>
            <w:noWrap/>
            <w:vAlign w:val="center"/>
            <w:hideMark/>
          </w:tcPr>
          <w:p w14:paraId="55DF9F31" w14:textId="637D8278" w:rsidR="00D73656" w:rsidRPr="000754DA" w:rsidRDefault="00D73656" w:rsidP="00D73656">
            <w:pPr>
              <w:spacing w:after="0"/>
              <w:jc w:val="center"/>
              <w:rPr>
                <w:rFonts w:ascii="Aptos Narrow" w:eastAsia="Times New Roman" w:hAnsi="Aptos Narrow"/>
                <w:color w:val="000000"/>
                <w:lang w:val="en-US" w:eastAsia="zh-CN"/>
              </w:rPr>
            </w:pPr>
            <w:r>
              <w:rPr>
                <w:rFonts w:ascii="Aptos Narrow" w:eastAsia="Times New Roman" w:hAnsi="Aptos Narrow"/>
                <w:color w:val="000000"/>
                <w:lang w:val="en-US" w:eastAsia="zh-CN"/>
              </w:rPr>
              <w:t xml:space="preserve">SE at </w:t>
            </w:r>
            <w:r w:rsidRPr="00406580">
              <w:rPr>
                <w:rFonts w:ascii="Aptos Narrow" w:eastAsia="Times New Roman" w:hAnsi="Aptos Narrow"/>
                <w:color w:val="000000"/>
                <w:lang w:val="en-US" w:eastAsia="zh-CN"/>
              </w:rPr>
              <w:t>SNR=</w:t>
            </w:r>
            <w:r>
              <w:rPr>
                <w:rFonts w:ascii="Aptos Narrow" w:eastAsia="Times New Roman" w:hAnsi="Aptos Narrow"/>
                <w:color w:val="000000"/>
                <w:lang w:val="en-US" w:eastAsia="zh-CN"/>
              </w:rPr>
              <w:t>22dB</w:t>
            </w:r>
          </w:p>
        </w:tc>
      </w:tr>
      <w:tr w:rsidR="00D73656" w:rsidRPr="000754DA" w14:paraId="57DAEA1C" w14:textId="77777777" w:rsidTr="00DE5516">
        <w:trPr>
          <w:trHeight w:val="290"/>
        </w:trPr>
        <w:tc>
          <w:tcPr>
            <w:tcW w:w="960" w:type="dxa"/>
            <w:noWrap/>
            <w:vAlign w:val="bottom"/>
            <w:hideMark/>
          </w:tcPr>
          <w:p w14:paraId="19E86486" w14:textId="7D6E7257" w:rsidR="00D73656" w:rsidRPr="000754DA" w:rsidRDefault="00DE5516" w:rsidP="000754DA">
            <w:pPr>
              <w:spacing w:after="0"/>
              <w:jc w:val="center"/>
              <w:rPr>
                <w:rFonts w:ascii="Aptos Narrow" w:eastAsia="Times New Roman" w:hAnsi="Aptos Narrow"/>
                <w:color w:val="000000"/>
                <w:lang w:val="en-US" w:eastAsia="zh-CN"/>
              </w:rPr>
            </w:pPr>
            <w:r>
              <w:rPr>
                <w:rFonts w:ascii="Aptos Narrow" w:eastAsia="Times New Roman" w:hAnsi="Aptos Narrow"/>
                <w:color w:val="000000"/>
                <w:lang w:val="en-US" w:eastAsia="zh-CN"/>
              </w:rPr>
              <w:t>PC2</w:t>
            </w:r>
          </w:p>
        </w:tc>
        <w:tc>
          <w:tcPr>
            <w:tcW w:w="960" w:type="dxa"/>
            <w:noWrap/>
            <w:vAlign w:val="center"/>
            <w:hideMark/>
          </w:tcPr>
          <w:p w14:paraId="03652EBE" w14:textId="77777777" w:rsidR="00D73656" w:rsidRPr="000754DA" w:rsidRDefault="00D73656" w:rsidP="000754DA">
            <w:pPr>
              <w:spacing w:after="0"/>
              <w:jc w:val="center"/>
              <w:rPr>
                <w:rFonts w:ascii="Aptos Narrow" w:eastAsia="Times New Roman" w:hAnsi="Aptos Narrow"/>
                <w:color w:val="000000"/>
                <w:lang w:val="en-US" w:eastAsia="zh-CN"/>
              </w:rPr>
            </w:pPr>
            <w:r w:rsidRPr="000754DA">
              <w:rPr>
                <w:rFonts w:ascii="Aptos Narrow" w:eastAsia="Times New Roman" w:hAnsi="Aptos Narrow"/>
                <w:color w:val="000000"/>
                <w:lang w:val="en-US" w:eastAsia="zh-CN"/>
              </w:rPr>
              <w:t>32</w:t>
            </w:r>
          </w:p>
        </w:tc>
        <w:tc>
          <w:tcPr>
            <w:tcW w:w="960" w:type="dxa"/>
            <w:noWrap/>
            <w:vAlign w:val="center"/>
            <w:hideMark/>
          </w:tcPr>
          <w:p w14:paraId="5BBEDC21" w14:textId="77777777" w:rsidR="00D73656" w:rsidRPr="000754DA" w:rsidRDefault="00D73656" w:rsidP="000754DA">
            <w:pPr>
              <w:spacing w:after="0"/>
              <w:jc w:val="center"/>
              <w:rPr>
                <w:rFonts w:ascii="Aptos Narrow" w:eastAsia="Times New Roman" w:hAnsi="Aptos Narrow"/>
                <w:color w:val="000000"/>
                <w:lang w:val="en-US" w:eastAsia="zh-CN"/>
              </w:rPr>
            </w:pPr>
            <w:r w:rsidRPr="000754DA">
              <w:rPr>
                <w:rFonts w:ascii="Aptos Narrow" w:eastAsia="Times New Roman" w:hAnsi="Aptos Narrow"/>
                <w:color w:val="000000"/>
                <w:lang w:val="en-US" w:eastAsia="zh-CN"/>
              </w:rPr>
              <w:t>32</w:t>
            </w:r>
          </w:p>
        </w:tc>
        <w:tc>
          <w:tcPr>
            <w:tcW w:w="960" w:type="dxa"/>
            <w:noWrap/>
            <w:vAlign w:val="center"/>
            <w:hideMark/>
          </w:tcPr>
          <w:p w14:paraId="440FC52A" w14:textId="77777777" w:rsidR="00D73656" w:rsidRPr="000754DA" w:rsidRDefault="00D73656" w:rsidP="000754DA">
            <w:pPr>
              <w:spacing w:after="0"/>
              <w:jc w:val="center"/>
              <w:rPr>
                <w:rFonts w:ascii="Aptos Narrow" w:eastAsia="Times New Roman" w:hAnsi="Aptos Narrow"/>
                <w:color w:val="000000"/>
                <w:lang w:val="en-US" w:eastAsia="zh-CN"/>
              </w:rPr>
            </w:pPr>
            <w:r w:rsidRPr="000754DA">
              <w:rPr>
                <w:rFonts w:ascii="Aptos Narrow" w:eastAsia="Times New Roman" w:hAnsi="Aptos Narrow"/>
                <w:color w:val="000000"/>
                <w:lang w:val="en-US" w:eastAsia="zh-CN"/>
              </w:rPr>
              <w:t>32</w:t>
            </w:r>
          </w:p>
        </w:tc>
        <w:tc>
          <w:tcPr>
            <w:tcW w:w="960" w:type="dxa"/>
            <w:noWrap/>
            <w:vAlign w:val="center"/>
            <w:hideMark/>
          </w:tcPr>
          <w:p w14:paraId="2C0BBAAB" w14:textId="77777777" w:rsidR="00D73656" w:rsidRPr="000754DA" w:rsidRDefault="00D73656" w:rsidP="000754DA">
            <w:pPr>
              <w:spacing w:after="0"/>
              <w:jc w:val="center"/>
              <w:rPr>
                <w:rFonts w:ascii="Aptos Narrow" w:eastAsia="Times New Roman" w:hAnsi="Aptos Narrow"/>
                <w:color w:val="000000"/>
                <w:lang w:val="en-US" w:eastAsia="zh-CN"/>
              </w:rPr>
            </w:pPr>
            <w:r w:rsidRPr="000754DA">
              <w:rPr>
                <w:rFonts w:ascii="Aptos Narrow" w:eastAsia="Times New Roman" w:hAnsi="Aptos Narrow"/>
                <w:color w:val="000000"/>
                <w:lang w:val="en-US" w:eastAsia="zh-CN"/>
              </w:rPr>
              <w:t>32</w:t>
            </w:r>
          </w:p>
        </w:tc>
        <w:tc>
          <w:tcPr>
            <w:tcW w:w="960" w:type="dxa"/>
            <w:vAlign w:val="center"/>
          </w:tcPr>
          <w:p w14:paraId="519B7687" w14:textId="4F4227A7" w:rsidR="00D73656" w:rsidRPr="000754DA" w:rsidRDefault="00D73656" w:rsidP="00DE5516">
            <w:pPr>
              <w:spacing w:after="0"/>
              <w:jc w:val="center"/>
              <w:rPr>
                <w:rFonts w:ascii="Aptos Narrow" w:eastAsia="Times New Roman" w:hAnsi="Aptos Narrow"/>
                <w:color w:val="000000"/>
                <w:lang w:val="en-US" w:eastAsia="zh-CN"/>
              </w:rPr>
            </w:pPr>
            <w:r>
              <w:rPr>
                <w:rFonts w:ascii="Aptos Narrow" w:eastAsia="Times New Roman" w:hAnsi="Aptos Narrow"/>
                <w:color w:val="000000"/>
                <w:lang w:val="en-US" w:eastAsia="zh-CN"/>
              </w:rPr>
              <w:t>SQ</w:t>
            </w:r>
          </w:p>
        </w:tc>
        <w:tc>
          <w:tcPr>
            <w:tcW w:w="805" w:type="dxa"/>
            <w:noWrap/>
            <w:vAlign w:val="center"/>
            <w:hideMark/>
          </w:tcPr>
          <w:p w14:paraId="30E536D6" w14:textId="77777777" w:rsidR="00D73656" w:rsidRPr="000754DA" w:rsidRDefault="00D73656" w:rsidP="000754DA">
            <w:pPr>
              <w:spacing w:after="0"/>
              <w:jc w:val="center"/>
              <w:rPr>
                <w:rFonts w:ascii="Aptos Narrow" w:eastAsia="Times New Roman" w:hAnsi="Aptos Narrow"/>
                <w:color w:val="000000"/>
                <w:lang w:val="en-US" w:eastAsia="zh-CN"/>
              </w:rPr>
            </w:pPr>
            <w:r w:rsidRPr="000754DA">
              <w:rPr>
                <w:rFonts w:ascii="Aptos Narrow" w:eastAsia="Times New Roman" w:hAnsi="Aptos Narrow"/>
                <w:color w:val="000000"/>
                <w:lang w:val="en-US" w:eastAsia="zh-CN"/>
              </w:rPr>
              <w:t>2</w:t>
            </w:r>
          </w:p>
        </w:tc>
        <w:tc>
          <w:tcPr>
            <w:tcW w:w="1530" w:type="dxa"/>
            <w:noWrap/>
            <w:vAlign w:val="center"/>
            <w:hideMark/>
          </w:tcPr>
          <w:p w14:paraId="64756E75" w14:textId="112572B0" w:rsidR="00D73656" w:rsidRPr="000754DA" w:rsidRDefault="00D73656" w:rsidP="000754DA">
            <w:pPr>
              <w:spacing w:after="0"/>
              <w:jc w:val="center"/>
              <w:rPr>
                <w:rFonts w:ascii="Aptos Narrow" w:eastAsia="Times New Roman" w:hAnsi="Aptos Narrow"/>
                <w:color w:val="000000"/>
                <w:lang w:val="en-US" w:eastAsia="zh-CN"/>
              </w:rPr>
            </w:pPr>
            <w:r w:rsidRPr="000754DA">
              <w:rPr>
                <w:rFonts w:ascii="Aptos Narrow" w:eastAsia="Times New Roman" w:hAnsi="Aptos Narrow"/>
                <w:color w:val="000000"/>
                <w:lang w:val="en-US" w:eastAsia="zh-CN"/>
              </w:rPr>
              <w:t>256</w:t>
            </w:r>
            <w:r w:rsidR="00DE5516">
              <w:rPr>
                <w:rFonts w:ascii="Aptos Narrow" w:eastAsia="Times New Roman" w:hAnsi="Aptos Narrow"/>
                <w:color w:val="000000"/>
                <w:lang w:val="en-US" w:eastAsia="zh-CN"/>
              </w:rPr>
              <w:t xml:space="preserve"> (2</w:t>
            </w:r>
            <w:r w:rsidR="00E92DD5">
              <w:rPr>
                <w:rFonts w:ascii="Aptos Narrow" w:eastAsia="Times New Roman" w:hAnsi="Aptos Narrow"/>
                <w:color w:val="000000"/>
                <w:lang w:val="en-US" w:eastAsia="zh-CN"/>
              </w:rPr>
              <w:t>x</w:t>
            </w:r>
            <w:r w:rsidR="00DE5516">
              <w:rPr>
                <w:rFonts w:ascii="Aptos Narrow" w:eastAsia="Times New Roman" w:hAnsi="Aptos Narrow"/>
                <w:color w:val="000000"/>
                <w:lang w:val="en-US" w:eastAsia="zh-CN"/>
              </w:rPr>
              <w:t>)</w:t>
            </w:r>
          </w:p>
        </w:tc>
        <w:tc>
          <w:tcPr>
            <w:tcW w:w="1260" w:type="dxa"/>
            <w:noWrap/>
            <w:vAlign w:val="center"/>
            <w:hideMark/>
          </w:tcPr>
          <w:p w14:paraId="1C49D772" w14:textId="77777777" w:rsidR="00D73656" w:rsidRPr="000754DA" w:rsidRDefault="00D73656" w:rsidP="000754DA">
            <w:pPr>
              <w:spacing w:after="0"/>
              <w:jc w:val="center"/>
              <w:rPr>
                <w:rFonts w:ascii="Aptos Narrow" w:eastAsia="Times New Roman" w:hAnsi="Aptos Narrow"/>
                <w:color w:val="000000"/>
                <w:lang w:val="en-US" w:eastAsia="zh-CN"/>
              </w:rPr>
            </w:pPr>
            <w:r w:rsidRPr="000754DA">
              <w:rPr>
                <w:rFonts w:ascii="Aptos Narrow" w:eastAsia="Times New Roman" w:hAnsi="Aptos Narrow"/>
                <w:color w:val="000000"/>
                <w:lang w:val="en-US" w:eastAsia="zh-CN"/>
              </w:rPr>
              <w:t>23.75761</w:t>
            </w:r>
          </w:p>
        </w:tc>
      </w:tr>
      <w:tr w:rsidR="00D73656" w:rsidRPr="000754DA" w14:paraId="2B278CA4" w14:textId="77777777" w:rsidTr="00514492">
        <w:trPr>
          <w:trHeight w:val="290"/>
        </w:trPr>
        <w:tc>
          <w:tcPr>
            <w:tcW w:w="960" w:type="dxa"/>
            <w:noWrap/>
            <w:vAlign w:val="bottom"/>
            <w:hideMark/>
          </w:tcPr>
          <w:p w14:paraId="045408C5" w14:textId="2FBA91F1" w:rsidR="00D73656" w:rsidRPr="000754DA" w:rsidRDefault="00514492" w:rsidP="000754DA">
            <w:pPr>
              <w:spacing w:after="0"/>
              <w:jc w:val="center"/>
              <w:rPr>
                <w:rFonts w:ascii="Aptos Narrow" w:eastAsia="Times New Roman" w:hAnsi="Aptos Narrow"/>
                <w:color w:val="000000"/>
                <w:lang w:val="en-US" w:eastAsia="zh-CN"/>
              </w:rPr>
            </w:pPr>
            <w:r>
              <w:rPr>
                <w:rFonts w:ascii="Aptos Narrow" w:eastAsia="Times New Roman" w:hAnsi="Aptos Narrow"/>
                <w:color w:val="000000"/>
                <w:lang w:val="en-US" w:eastAsia="zh-CN"/>
              </w:rPr>
              <w:t>PC3.1</w:t>
            </w:r>
          </w:p>
        </w:tc>
        <w:tc>
          <w:tcPr>
            <w:tcW w:w="960" w:type="dxa"/>
            <w:noWrap/>
            <w:vAlign w:val="center"/>
            <w:hideMark/>
          </w:tcPr>
          <w:p w14:paraId="26E123D1" w14:textId="77777777" w:rsidR="00D73656" w:rsidRPr="000754DA" w:rsidRDefault="00D73656" w:rsidP="000754DA">
            <w:pPr>
              <w:spacing w:after="0"/>
              <w:jc w:val="center"/>
              <w:rPr>
                <w:rFonts w:ascii="Aptos Narrow" w:eastAsia="Times New Roman" w:hAnsi="Aptos Narrow"/>
                <w:color w:val="000000"/>
                <w:lang w:val="en-US" w:eastAsia="zh-CN"/>
              </w:rPr>
            </w:pPr>
            <w:r w:rsidRPr="000754DA">
              <w:rPr>
                <w:rFonts w:ascii="Aptos Narrow" w:eastAsia="Times New Roman" w:hAnsi="Aptos Narrow"/>
                <w:color w:val="000000"/>
                <w:lang w:val="en-US" w:eastAsia="zh-CN"/>
              </w:rPr>
              <w:t>64</w:t>
            </w:r>
          </w:p>
        </w:tc>
        <w:tc>
          <w:tcPr>
            <w:tcW w:w="960" w:type="dxa"/>
            <w:noWrap/>
            <w:vAlign w:val="center"/>
            <w:hideMark/>
          </w:tcPr>
          <w:p w14:paraId="2627CFE3" w14:textId="77777777" w:rsidR="00D73656" w:rsidRPr="000754DA" w:rsidRDefault="00D73656" w:rsidP="000754DA">
            <w:pPr>
              <w:spacing w:after="0"/>
              <w:jc w:val="center"/>
              <w:rPr>
                <w:rFonts w:ascii="Aptos Narrow" w:eastAsia="Times New Roman" w:hAnsi="Aptos Narrow"/>
                <w:color w:val="000000"/>
                <w:lang w:val="en-US" w:eastAsia="zh-CN"/>
              </w:rPr>
            </w:pPr>
            <w:r w:rsidRPr="000754DA">
              <w:rPr>
                <w:rFonts w:ascii="Aptos Narrow" w:eastAsia="Times New Roman" w:hAnsi="Aptos Narrow"/>
                <w:color w:val="000000"/>
                <w:lang w:val="en-US" w:eastAsia="zh-CN"/>
              </w:rPr>
              <w:t>64</w:t>
            </w:r>
          </w:p>
        </w:tc>
        <w:tc>
          <w:tcPr>
            <w:tcW w:w="960" w:type="dxa"/>
            <w:noWrap/>
            <w:vAlign w:val="center"/>
            <w:hideMark/>
          </w:tcPr>
          <w:p w14:paraId="605EEB77" w14:textId="77777777" w:rsidR="00D73656" w:rsidRPr="000754DA" w:rsidRDefault="00D73656" w:rsidP="000754DA">
            <w:pPr>
              <w:spacing w:after="0"/>
              <w:jc w:val="center"/>
              <w:rPr>
                <w:rFonts w:ascii="Aptos Narrow" w:eastAsia="Times New Roman" w:hAnsi="Aptos Narrow"/>
                <w:color w:val="000000"/>
                <w:lang w:val="en-US" w:eastAsia="zh-CN"/>
              </w:rPr>
            </w:pPr>
            <w:r w:rsidRPr="000754DA">
              <w:rPr>
                <w:rFonts w:ascii="Aptos Narrow" w:eastAsia="Times New Roman" w:hAnsi="Aptos Narrow"/>
                <w:color w:val="000000"/>
                <w:lang w:val="en-US" w:eastAsia="zh-CN"/>
              </w:rPr>
              <w:t>32</w:t>
            </w:r>
          </w:p>
        </w:tc>
        <w:tc>
          <w:tcPr>
            <w:tcW w:w="960" w:type="dxa"/>
            <w:noWrap/>
            <w:vAlign w:val="center"/>
            <w:hideMark/>
          </w:tcPr>
          <w:p w14:paraId="347C1052" w14:textId="77777777" w:rsidR="00D73656" w:rsidRPr="000754DA" w:rsidRDefault="00D73656" w:rsidP="000754DA">
            <w:pPr>
              <w:spacing w:after="0"/>
              <w:jc w:val="center"/>
              <w:rPr>
                <w:rFonts w:ascii="Aptos Narrow" w:eastAsia="Times New Roman" w:hAnsi="Aptos Narrow"/>
                <w:color w:val="000000"/>
                <w:lang w:val="en-US" w:eastAsia="zh-CN"/>
              </w:rPr>
            </w:pPr>
            <w:r w:rsidRPr="000754DA">
              <w:rPr>
                <w:rFonts w:ascii="Aptos Narrow" w:eastAsia="Times New Roman" w:hAnsi="Aptos Narrow"/>
                <w:color w:val="000000"/>
                <w:lang w:val="en-US" w:eastAsia="zh-CN"/>
              </w:rPr>
              <w:t>32</w:t>
            </w:r>
          </w:p>
        </w:tc>
        <w:tc>
          <w:tcPr>
            <w:tcW w:w="960" w:type="dxa"/>
            <w:vAlign w:val="bottom"/>
          </w:tcPr>
          <w:p w14:paraId="393235D0" w14:textId="37F80690" w:rsidR="00D73656" w:rsidRPr="000754DA" w:rsidRDefault="00D73656" w:rsidP="000754DA">
            <w:pPr>
              <w:spacing w:after="0"/>
              <w:jc w:val="center"/>
              <w:rPr>
                <w:rFonts w:ascii="Aptos Narrow" w:eastAsia="Times New Roman" w:hAnsi="Aptos Narrow"/>
                <w:color w:val="000000"/>
                <w:lang w:val="en-US" w:eastAsia="zh-CN"/>
              </w:rPr>
            </w:pPr>
            <w:r w:rsidRPr="002B1508">
              <w:rPr>
                <w:rFonts w:ascii="Aptos Narrow" w:eastAsia="Times New Roman" w:hAnsi="Aptos Narrow"/>
                <w:color w:val="000000"/>
                <w:lang w:val="en-US" w:eastAsia="zh-CN"/>
              </w:rPr>
              <w:t>SQ</w:t>
            </w:r>
          </w:p>
        </w:tc>
        <w:tc>
          <w:tcPr>
            <w:tcW w:w="805" w:type="dxa"/>
            <w:noWrap/>
            <w:vAlign w:val="center"/>
            <w:hideMark/>
          </w:tcPr>
          <w:p w14:paraId="674D4BB9" w14:textId="77777777" w:rsidR="00D73656" w:rsidRPr="000754DA" w:rsidRDefault="00D73656" w:rsidP="000754DA">
            <w:pPr>
              <w:spacing w:after="0"/>
              <w:jc w:val="center"/>
              <w:rPr>
                <w:rFonts w:ascii="Aptos Narrow" w:eastAsia="Times New Roman" w:hAnsi="Aptos Narrow"/>
                <w:color w:val="000000"/>
                <w:lang w:val="en-US" w:eastAsia="zh-CN"/>
              </w:rPr>
            </w:pPr>
            <w:r w:rsidRPr="000754DA">
              <w:rPr>
                <w:rFonts w:ascii="Aptos Narrow" w:eastAsia="Times New Roman" w:hAnsi="Aptos Narrow"/>
                <w:color w:val="000000"/>
                <w:lang w:val="en-US" w:eastAsia="zh-CN"/>
              </w:rPr>
              <w:t>2</w:t>
            </w:r>
          </w:p>
        </w:tc>
        <w:tc>
          <w:tcPr>
            <w:tcW w:w="1530" w:type="dxa"/>
            <w:noWrap/>
            <w:vAlign w:val="center"/>
            <w:hideMark/>
          </w:tcPr>
          <w:p w14:paraId="1B5EF80A" w14:textId="4FF6FB6F" w:rsidR="00D73656" w:rsidRPr="000754DA" w:rsidRDefault="00D73656" w:rsidP="000754DA">
            <w:pPr>
              <w:spacing w:after="0"/>
              <w:jc w:val="center"/>
              <w:rPr>
                <w:rFonts w:ascii="Aptos Narrow" w:eastAsia="Times New Roman" w:hAnsi="Aptos Narrow"/>
                <w:color w:val="000000"/>
                <w:lang w:val="en-US" w:eastAsia="zh-CN"/>
              </w:rPr>
            </w:pPr>
            <w:r w:rsidRPr="000754DA">
              <w:rPr>
                <w:rFonts w:ascii="Aptos Narrow" w:eastAsia="Times New Roman" w:hAnsi="Aptos Narrow"/>
                <w:color w:val="000000"/>
                <w:lang w:val="en-US" w:eastAsia="zh-CN"/>
              </w:rPr>
              <w:t>384</w:t>
            </w:r>
            <w:r w:rsidR="00B832DF">
              <w:rPr>
                <w:rFonts w:ascii="Aptos Narrow" w:eastAsia="Times New Roman" w:hAnsi="Aptos Narrow"/>
                <w:color w:val="000000"/>
                <w:lang w:val="en-US" w:eastAsia="zh-CN"/>
              </w:rPr>
              <w:t xml:space="preserve"> (2x)</w:t>
            </w:r>
          </w:p>
        </w:tc>
        <w:tc>
          <w:tcPr>
            <w:tcW w:w="1260" w:type="dxa"/>
            <w:noWrap/>
            <w:vAlign w:val="center"/>
            <w:hideMark/>
          </w:tcPr>
          <w:p w14:paraId="2CC20ADD" w14:textId="77777777" w:rsidR="00D73656" w:rsidRPr="000754DA" w:rsidRDefault="00D73656" w:rsidP="000754DA">
            <w:pPr>
              <w:spacing w:after="0"/>
              <w:jc w:val="center"/>
              <w:rPr>
                <w:rFonts w:ascii="Aptos Narrow" w:eastAsia="Times New Roman" w:hAnsi="Aptos Narrow"/>
                <w:color w:val="000000"/>
                <w:lang w:val="en-US" w:eastAsia="zh-CN"/>
              </w:rPr>
            </w:pPr>
            <w:r w:rsidRPr="000754DA">
              <w:rPr>
                <w:rFonts w:ascii="Aptos Narrow" w:eastAsia="Times New Roman" w:hAnsi="Aptos Narrow"/>
                <w:color w:val="000000"/>
                <w:lang w:val="en-US" w:eastAsia="zh-CN"/>
              </w:rPr>
              <w:t>23.87192</w:t>
            </w:r>
          </w:p>
        </w:tc>
      </w:tr>
      <w:tr w:rsidR="00D73656" w:rsidRPr="000754DA" w14:paraId="6244D2C1" w14:textId="77777777" w:rsidTr="00514492">
        <w:trPr>
          <w:trHeight w:val="290"/>
        </w:trPr>
        <w:tc>
          <w:tcPr>
            <w:tcW w:w="960" w:type="dxa"/>
            <w:noWrap/>
            <w:vAlign w:val="bottom"/>
            <w:hideMark/>
          </w:tcPr>
          <w:p w14:paraId="274B2694" w14:textId="155643F9" w:rsidR="00D73656" w:rsidRPr="000754DA" w:rsidRDefault="00514492" w:rsidP="000754DA">
            <w:pPr>
              <w:spacing w:after="0"/>
              <w:jc w:val="center"/>
              <w:rPr>
                <w:rFonts w:ascii="Aptos Narrow" w:eastAsia="Times New Roman" w:hAnsi="Aptos Narrow"/>
                <w:color w:val="000000"/>
                <w:lang w:val="en-US" w:eastAsia="zh-CN"/>
              </w:rPr>
            </w:pPr>
            <w:r>
              <w:rPr>
                <w:rFonts w:ascii="Aptos Narrow" w:eastAsia="Times New Roman" w:hAnsi="Aptos Narrow"/>
                <w:color w:val="000000"/>
                <w:lang w:val="en-US" w:eastAsia="zh-CN"/>
              </w:rPr>
              <w:t>PC3.2</w:t>
            </w:r>
          </w:p>
        </w:tc>
        <w:tc>
          <w:tcPr>
            <w:tcW w:w="960" w:type="dxa"/>
            <w:noWrap/>
            <w:vAlign w:val="center"/>
            <w:hideMark/>
          </w:tcPr>
          <w:p w14:paraId="0913BBAF" w14:textId="77777777" w:rsidR="00D73656" w:rsidRPr="000754DA" w:rsidRDefault="00D73656" w:rsidP="000754DA">
            <w:pPr>
              <w:spacing w:after="0"/>
              <w:jc w:val="center"/>
              <w:rPr>
                <w:rFonts w:ascii="Aptos Narrow" w:eastAsia="Times New Roman" w:hAnsi="Aptos Narrow"/>
                <w:color w:val="000000"/>
                <w:lang w:val="en-US" w:eastAsia="zh-CN"/>
              </w:rPr>
            </w:pPr>
            <w:r w:rsidRPr="000754DA">
              <w:rPr>
                <w:rFonts w:ascii="Aptos Narrow" w:eastAsia="Times New Roman" w:hAnsi="Aptos Narrow"/>
                <w:color w:val="000000"/>
                <w:lang w:val="en-US" w:eastAsia="zh-CN"/>
              </w:rPr>
              <w:t>32</w:t>
            </w:r>
          </w:p>
        </w:tc>
        <w:tc>
          <w:tcPr>
            <w:tcW w:w="960" w:type="dxa"/>
            <w:noWrap/>
            <w:vAlign w:val="center"/>
            <w:hideMark/>
          </w:tcPr>
          <w:p w14:paraId="5513D9BA" w14:textId="77777777" w:rsidR="00D73656" w:rsidRPr="000754DA" w:rsidRDefault="00D73656" w:rsidP="000754DA">
            <w:pPr>
              <w:spacing w:after="0"/>
              <w:jc w:val="center"/>
              <w:rPr>
                <w:rFonts w:ascii="Aptos Narrow" w:eastAsia="Times New Roman" w:hAnsi="Aptos Narrow"/>
                <w:color w:val="000000"/>
                <w:lang w:val="en-US" w:eastAsia="zh-CN"/>
              </w:rPr>
            </w:pPr>
            <w:r w:rsidRPr="000754DA">
              <w:rPr>
                <w:rFonts w:ascii="Aptos Narrow" w:eastAsia="Times New Roman" w:hAnsi="Aptos Narrow"/>
                <w:color w:val="000000"/>
                <w:lang w:val="en-US" w:eastAsia="zh-CN"/>
              </w:rPr>
              <w:t>32</w:t>
            </w:r>
          </w:p>
        </w:tc>
        <w:tc>
          <w:tcPr>
            <w:tcW w:w="960" w:type="dxa"/>
            <w:noWrap/>
            <w:vAlign w:val="center"/>
            <w:hideMark/>
          </w:tcPr>
          <w:p w14:paraId="75949467" w14:textId="77777777" w:rsidR="00D73656" w:rsidRPr="000754DA" w:rsidRDefault="00D73656" w:rsidP="000754DA">
            <w:pPr>
              <w:spacing w:after="0"/>
              <w:jc w:val="center"/>
              <w:rPr>
                <w:rFonts w:ascii="Aptos Narrow" w:eastAsia="Times New Roman" w:hAnsi="Aptos Narrow"/>
                <w:color w:val="000000"/>
                <w:lang w:val="en-US" w:eastAsia="zh-CN"/>
              </w:rPr>
            </w:pPr>
            <w:r w:rsidRPr="000754DA">
              <w:rPr>
                <w:rFonts w:ascii="Aptos Narrow" w:eastAsia="Times New Roman" w:hAnsi="Aptos Narrow"/>
                <w:color w:val="000000"/>
                <w:lang w:val="en-US" w:eastAsia="zh-CN"/>
              </w:rPr>
              <w:t>64</w:t>
            </w:r>
          </w:p>
        </w:tc>
        <w:tc>
          <w:tcPr>
            <w:tcW w:w="960" w:type="dxa"/>
            <w:noWrap/>
            <w:vAlign w:val="center"/>
            <w:hideMark/>
          </w:tcPr>
          <w:p w14:paraId="600E1978" w14:textId="77777777" w:rsidR="00D73656" w:rsidRPr="000754DA" w:rsidRDefault="00D73656" w:rsidP="000754DA">
            <w:pPr>
              <w:spacing w:after="0"/>
              <w:jc w:val="center"/>
              <w:rPr>
                <w:rFonts w:ascii="Aptos Narrow" w:eastAsia="Times New Roman" w:hAnsi="Aptos Narrow"/>
                <w:color w:val="000000"/>
                <w:lang w:val="en-US" w:eastAsia="zh-CN"/>
              </w:rPr>
            </w:pPr>
            <w:r w:rsidRPr="000754DA">
              <w:rPr>
                <w:rFonts w:ascii="Aptos Narrow" w:eastAsia="Times New Roman" w:hAnsi="Aptos Narrow"/>
                <w:color w:val="000000"/>
                <w:lang w:val="en-US" w:eastAsia="zh-CN"/>
              </w:rPr>
              <w:t>64</w:t>
            </w:r>
          </w:p>
        </w:tc>
        <w:tc>
          <w:tcPr>
            <w:tcW w:w="960" w:type="dxa"/>
          </w:tcPr>
          <w:p w14:paraId="45A7BF56" w14:textId="4120946F" w:rsidR="00D73656" w:rsidRPr="000754DA" w:rsidRDefault="00D73656" w:rsidP="000754DA">
            <w:pPr>
              <w:spacing w:after="0"/>
              <w:jc w:val="center"/>
              <w:rPr>
                <w:rFonts w:ascii="Aptos Narrow" w:eastAsia="Times New Roman" w:hAnsi="Aptos Narrow"/>
                <w:color w:val="000000"/>
                <w:lang w:val="en-US" w:eastAsia="zh-CN"/>
              </w:rPr>
            </w:pPr>
            <w:r w:rsidRPr="002B1508">
              <w:rPr>
                <w:rFonts w:ascii="Aptos Narrow" w:eastAsia="Times New Roman" w:hAnsi="Aptos Narrow"/>
                <w:color w:val="000000"/>
                <w:lang w:val="en-US" w:eastAsia="zh-CN"/>
              </w:rPr>
              <w:t>SQ</w:t>
            </w:r>
          </w:p>
        </w:tc>
        <w:tc>
          <w:tcPr>
            <w:tcW w:w="805" w:type="dxa"/>
            <w:noWrap/>
            <w:vAlign w:val="center"/>
            <w:hideMark/>
          </w:tcPr>
          <w:p w14:paraId="05BFDB9E" w14:textId="77777777" w:rsidR="00D73656" w:rsidRPr="000754DA" w:rsidRDefault="00D73656" w:rsidP="000754DA">
            <w:pPr>
              <w:spacing w:after="0"/>
              <w:jc w:val="center"/>
              <w:rPr>
                <w:rFonts w:ascii="Aptos Narrow" w:eastAsia="Times New Roman" w:hAnsi="Aptos Narrow"/>
                <w:color w:val="000000"/>
                <w:lang w:val="en-US" w:eastAsia="zh-CN"/>
              </w:rPr>
            </w:pPr>
            <w:r w:rsidRPr="000754DA">
              <w:rPr>
                <w:rFonts w:ascii="Aptos Narrow" w:eastAsia="Times New Roman" w:hAnsi="Aptos Narrow"/>
                <w:color w:val="000000"/>
                <w:lang w:val="en-US" w:eastAsia="zh-CN"/>
              </w:rPr>
              <w:t>2</w:t>
            </w:r>
          </w:p>
        </w:tc>
        <w:tc>
          <w:tcPr>
            <w:tcW w:w="1530" w:type="dxa"/>
            <w:noWrap/>
            <w:vAlign w:val="center"/>
            <w:hideMark/>
          </w:tcPr>
          <w:p w14:paraId="2C58F2B9" w14:textId="278BF46C" w:rsidR="00D73656" w:rsidRPr="000754DA" w:rsidRDefault="00D73656" w:rsidP="000754DA">
            <w:pPr>
              <w:spacing w:after="0"/>
              <w:jc w:val="center"/>
              <w:rPr>
                <w:rFonts w:ascii="Aptos Narrow" w:eastAsia="Times New Roman" w:hAnsi="Aptos Narrow"/>
                <w:color w:val="000000"/>
                <w:lang w:val="en-US" w:eastAsia="zh-CN"/>
              </w:rPr>
            </w:pPr>
            <w:r w:rsidRPr="000754DA">
              <w:rPr>
                <w:rFonts w:ascii="Aptos Narrow" w:eastAsia="Times New Roman" w:hAnsi="Aptos Narrow"/>
                <w:color w:val="000000"/>
                <w:lang w:val="en-US" w:eastAsia="zh-CN"/>
              </w:rPr>
              <w:t>384</w:t>
            </w:r>
            <w:r w:rsidR="00B832DF">
              <w:rPr>
                <w:rFonts w:ascii="Aptos Narrow" w:eastAsia="Times New Roman" w:hAnsi="Aptos Narrow"/>
                <w:color w:val="000000"/>
                <w:lang w:val="en-US" w:eastAsia="zh-CN"/>
              </w:rPr>
              <w:t xml:space="preserve"> (2x)</w:t>
            </w:r>
          </w:p>
        </w:tc>
        <w:tc>
          <w:tcPr>
            <w:tcW w:w="1260" w:type="dxa"/>
            <w:noWrap/>
            <w:vAlign w:val="center"/>
            <w:hideMark/>
          </w:tcPr>
          <w:p w14:paraId="0754FB99" w14:textId="77777777" w:rsidR="00D73656" w:rsidRPr="000754DA" w:rsidRDefault="00D73656" w:rsidP="000754DA">
            <w:pPr>
              <w:spacing w:after="0"/>
              <w:jc w:val="center"/>
              <w:rPr>
                <w:rFonts w:ascii="Aptos Narrow" w:eastAsia="Times New Roman" w:hAnsi="Aptos Narrow"/>
                <w:color w:val="000000"/>
                <w:lang w:val="en-US" w:eastAsia="zh-CN"/>
              </w:rPr>
            </w:pPr>
            <w:r w:rsidRPr="000754DA">
              <w:rPr>
                <w:rFonts w:ascii="Aptos Narrow" w:eastAsia="Times New Roman" w:hAnsi="Aptos Narrow"/>
                <w:color w:val="000000"/>
                <w:lang w:val="en-US" w:eastAsia="zh-CN"/>
              </w:rPr>
              <w:t>24.3794</w:t>
            </w:r>
          </w:p>
        </w:tc>
      </w:tr>
      <w:tr w:rsidR="00D73656" w:rsidRPr="000754DA" w14:paraId="357381F1" w14:textId="77777777" w:rsidTr="00D73656">
        <w:trPr>
          <w:trHeight w:val="290"/>
        </w:trPr>
        <w:tc>
          <w:tcPr>
            <w:tcW w:w="960" w:type="dxa"/>
            <w:noWrap/>
            <w:vAlign w:val="bottom"/>
            <w:hideMark/>
          </w:tcPr>
          <w:p w14:paraId="05561C78" w14:textId="0306D0D8" w:rsidR="00D73656" w:rsidRPr="000754DA" w:rsidRDefault="00514492" w:rsidP="000754DA">
            <w:pPr>
              <w:spacing w:after="0"/>
              <w:jc w:val="center"/>
              <w:rPr>
                <w:rFonts w:ascii="Aptos Narrow" w:eastAsia="Times New Roman" w:hAnsi="Aptos Narrow"/>
                <w:color w:val="000000"/>
                <w:lang w:val="en-US" w:eastAsia="zh-CN"/>
              </w:rPr>
            </w:pPr>
            <w:r>
              <w:rPr>
                <w:rFonts w:ascii="Aptos Narrow" w:eastAsia="Times New Roman" w:hAnsi="Aptos Narrow"/>
                <w:color w:val="000000"/>
                <w:lang w:val="en-US" w:eastAsia="zh-CN"/>
              </w:rPr>
              <w:t>PC3.4</w:t>
            </w:r>
          </w:p>
        </w:tc>
        <w:tc>
          <w:tcPr>
            <w:tcW w:w="960" w:type="dxa"/>
            <w:noWrap/>
            <w:vAlign w:val="center"/>
            <w:hideMark/>
          </w:tcPr>
          <w:p w14:paraId="538EDFB7" w14:textId="77777777" w:rsidR="00D73656" w:rsidRPr="000754DA" w:rsidRDefault="00D73656" w:rsidP="000754DA">
            <w:pPr>
              <w:spacing w:after="0"/>
              <w:jc w:val="center"/>
              <w:rPr>
                <w:rFonts w:ascii="Aptos Narrow" w:eastAsia="Times New Roman" w:hAnsi="Aptos Narrow"/>
                <w:color w:val="000000"/>
                <w:lang w:val="en-US" w:eastAsia="zh-CN"/>
              </w:rPr>
            </w:pPr>
            <w:r w:rsidRPr="000754DA">
              <w:rPr>
                <w:rFonts w:ascii="Aptos Narrow" w:eastAsia="Times New Roman" w:hAnsi="Aptos Narrow"/>
                <w:color w:val="000000"/>
                <w:lang w:val="en-US" w:eastAsia="zh-CN"/>
              </w:rPr>
              <w:t>96</w:t>
            </w:r>
          </w:p>
        </w:tc>
        <w:tc>
          <w:tcPr>
            <w:tcW w:w="960" w:type="dxa"/>
            <w:noWrap/>
            <w:vAlign w:val="center"/>
            <w:hideMark/>
          </w:tcPr>
          <w:p w14:paraId="2B294B32" w14:textId="77777777" w:rsidR="00D73656" w:rsidRPr="000754DA" w:rsidRDefault="00D73656" w:rsidP="000754DA">
            <w:pPr>
              <w:spacing w:after="0"/>
              <w:jc w:val="center"/>
              <w:rPr>
                <w:rFonts w:ascii="Aptos Narrow" w:eastAsia="Times New Roman" w:hAnsi="Aptos Narrow"/>
                <w:color w:val="000000"/>
                <w:lang w:val="en-US" w:eastAsia="zh-CN"/>
              </w:rPr>
            </w:pPr>
            <w:r w:rsidRPr="000754DA">
              <w:rPr>
                <w:rFonts w:ascii="Aptos Narrow" w:eastAsia="Times New Roman" w:hAnsi="Aptos Narrow"/>
                <w:color w:val="000000"/>
                <w:lang w:val="en-US" w:eastAsia="zh-CN"/>
              </w:rPr>
              <w:t>64</w:t>
            </w:r>
          </w:p>
        </w:tc>
        <w:tc>
          <w:tcPr>
            <w:tcW w:w="960" w:type="dxa"/>
            <w:noWrap/>
            <w:vAlign w:val="center"/>
            <w:hideMark/>
          </w:tcPr>
          <w:p w14:paraId="6A367D3A" w14:textId="77777777" w:rsidR="00D73656" w:rsidRPr="000754DA" w:rsidRDefault="00D73656" w:rsidP="000754DA">
            <w:pPr>
              <w:spacing w:after="0"/>
              <w:jc w:val="center"/>
              <w:rPr>
                <w:rFonts w:ascii="Aptos Narrow" w:eastAsia="Times New Roman" w:hAnsi="Aptos Narrow"/>
                <w:color w:val="000000"/>
                <w:lang w:val="en-US" w:eastAsia="zh-CN"/>
              </w:rPr>
            </w:pPr>
            <w:r w:rsidRPr="000754DA">
              <w:rPr>
                <w:rFonts w:ascii="Aptos Narrow" w:eastAsia="Times New Roman" w:hAnsi="Aptos Narrow"/>
                <w:color w:val="000000"/>
                <w:lang w:val="en-US" w:eastAsia="zh-CN"/>
              </w:rPr>
              <w:t>32</w:t>
            </w:r>
          </w:p>
        </w:tc>
        <w:tc>
          <w:tcPr>
            <w:tcW w:w="960" w:type="dxa"/>
            <w:noWrap/>
            <w:vAlign w:val="center"/>
            <w:hideMark/>
          </w:tcPr>
          <w:p w14:paraId="476EFF86" w14:textId="77777777" w:rsidR="00D73656" w:rsidRPr="000754DA" w:rsidRDefault="00D73656" w:rsidP="000754DA">
            <w:pPr>
              <w:spacing w:after="0"/>
              <w:jc w:val="center"/>
              <w:rPr>
                <w:rFonts w:ascii="Aptos Narrow" w:eastAsia="Times New Roman" w:hAnsi="Aptos Narrow"/>
                <w:color w:val="000000"/>
                <w:lang w:val="en-US" w:eastAsia="zh-CN"/>
              </w:rPr>
            </w:pPr>
            <w:r w:rsidRPr="000754DA">
              <w:rPr>
                <w:rFonts w:ascii="Aptos Narrow" w:eastAsia="Times New Roman" w:hAnsi="Aptos Narrow"/>
                <w:color w:val="000000"/>
                <w:lang w:val="en-US" w:eastAsia="zh-CN"/>
              </w:rPr>
              <w:t>32</w:t>
            </w:r>
          </w:p>
        </w:tc>
        <w:tc>
          <w:tcPr>
            <w:tcW w:w="960" w:type="dxa"/>
          </w:tcPr>
          <w:p w14:paraId="4CE3308B" w14:textId="19EB432A" w:rsidR="00D73656" w:rsidRPr="000754DA" w:rsidRDefault="00D73656" w:rsidP="000754DA">
            <w:pPr>
              <w:spacing w:after="0"/>
              <w:jc w:val="center"/>
              <w:rPr>
                <w:rFonts w:ascii="Aptos Narrow" w:eastAsia="Times New Roman" w:hAnsi="Aptos Narrow"/>
                <w:color w:val="000000"/>
                <w:lang w:val="en-US" w:eastAsia="zh-CN"/>
              </w:rPr>
            </w:pPr>
            <w:r w:rsidRPr="002B1508">
              <w:rPr>
                <w:rFonts w:ascii="Aptos Narrow" w:eastAsia="Times New Roman" w:hAnsi="Aptos Narrow"/>
                <w:color w:val="000000"/>
                <w:lang w:val="en-US" w:eastAsia="zh-CN"/>
              </w:rPr>
              <w:t>SQ</w:t>
            </w:r>
          </w:p>
        </w:tc>
        <w:tc>
          <w:tcPr>
            <w:tcW w:w="805" w:type="dxa"/>
            <w:noWrap/>
            <w:vAlign w:val="center"/>
            <w:hideMark/>
          </w:tcPr>
          <w:p w14:paraId="227E30DF" w14:textId="77777777" w:rsidR="00D73656" w:rsidRPr="000754DA" w:rsidRDefault="00D73656" w:rsidP="000754DA">
            <w:pPr>
              <w:spacing w:after="0"/>
              <w:jc w:val="center"/>
              <w:rPr>
                <w:rFonts w:ascii="Aptos Narrow" w:eastAsia="Times New Roman" w:hAnsi="Aptos Narrow"/>
                <w:color w:val="000000"/>
                <w:lang w:val="en-US" w:eastAsia="zh-CN"/>
              </w:rPr>
            </w:pPr>
            <w:r w:rsidRPr="000754DA">
              <w:rPr>
                <w:rFonts w:ascii="Aptos Narrow" w:eastAsia="Times New Roman" w:hAnsi="Aptos Narrow"/>
                <w:color w:val="000000"/>
                <w:lang w:val="en-US" w:eastAsia="zh-CN"/>
              </w:rPr>
              <w:t>2</w:t>
            </w:r>
          </w:p>
        </w:tc>
        <w:tc>
          <w:tcPr>
            <w:tcW w:w="1530" w:type="dxa"/>
            <w:noWrap/>
            <w:vAlign w:val="center"/>
            <w:hideMark/>
          </w:tcPr>
          <w:p w14:paraId="5E259694" w14:textId="1B5878FE" w:rsidR="00D73656" w:rsidRPr="000754DA" w:rsidRDefault="00D73656" w:rsidP="000754DA">
            <w:pPr>
              <w:spacing w:after="0"/>
              <w:jc w:val="center"/>
              <w:rPr>
                <w:rFonts w:ascii="Aptos Narrow" w:eastAsia="Times New Roman" w:hAnsi="Aptos Narrow"/>
                <w:color w:val="000000"/>
                <w:lang w:val="en-US" w:eastAsia="zh-CN"/>
              </w:rPr>
            </w:pPr>
            <w:r w:rsidRPr="000754DA">
              <w:rPr>
                <w:rFonts w:ascii="Aptos Narrow" w:eastAsia="Times New Roman" w:hAnsi="Aptos Narrow"/>
                <w:color w:val="000000"/>
                <w:lang w:val="en-US" w:eastAsia="zh-CN"/>
              </w:rPr>
              <w:t>448</w:t>
            </w:r>
            <w:r w:rsidR="00B832DF">
              <w:rPr>
                <w:rFonts w:ascii="Aptos Narrow" w:eastAsia="Times New Roman" w:hAnsi="Aptos Narrow"/>
                <w:color w:val="000000"/>
                <w:lang w:val="en-US" w:eastAsia="zh-CN"/>
              </w:rPr>
              <w:t xml:space="preserve"> (2.33x)</w:t>
            </w:r>
          </w:p>
        </w:tc>
        <w:tc>
          <w:tcPr>
            <w:tcW w:w="1260" w:type="dxa"/>
            <w:noWrap/>
            <w:vAlign w:val="center"/>
            <w:hideMark/>
          </w:tcPr>
          <w:p w14:paraId="417B6236" w14:textId="77777777" w:rsidR="00D73656" w:rsidRPr="000754DA" w:rsidRDefault="00D73656" w:rsidP="000754DA">
            <w:pPr>
              <w:spacing w:after="0"/>
              <w:jc w:val="center"/>
              <w:rPr>
                <w:rFonts w:ascii="Aptos Narrow" w:eastAsia="Times New Roman" w:hAnsi="Aptos Narrow"/>
                <w:color w:val="000000"/>
                <w:lang w:val="en-US" w:eastAsia="zh-CN"/>
              </w:rPr>
            </w:pPr>
            <w:r w:rsidRPr="000754DA">
              <w:rPr>
                <w:rFonts w:ascii="Aptos Narrow" w:eastAsia="Times New Roman" w:hAnsi="Aptos Narrow"/>
                <w:color w:val="000000"/>
                <w:lang w:val="en-US" w:eastAsia="zh-CN"/>
              </w:rPr>
              <w:t>23.86103</w:t>
            </w:r>
          </w:p>
        </w:tc>
      </w:tr>
      <w:tr w:rsidR="00D73656" w:rsidRPr="000754DA" w14:paraId="173F42F8" w14:textId="77777777" w:rsidTr="00D73656">
        <w:trPr>
          <w:trHeight w:val="290"/>
        </w:trPr>
        <w:tc>
          <w:tcPr>
            <w:tcW w:w="960" w:type="dxa"/>
            <w:noWrap/>
            <w:vAlign w:val="bottom"/>
            <w:hideMark/>
          </w:tcPr>
          <w:p w14:paraId="2B4CC99A" w14:textId="601FDF8B" w:rsidR="00D73656" w:rsidRPr="000754DA" w:rsidRDefault="00514492" w:rsidP="000754DA">
            <w:pPr>
              <w:spacing w:after="0"/>
              <w:jc w:val="center"/>
              <w:rPr>
                <w:rFonts w:ascii="Aptos Narrow" w:eastAsia="Times New Roman" w:hAnsi="Aptos Narrow"/>
                <w:color w:val="000000"/>
                <w:lang w:val="en-US" w:eastAsia="zh-CN"/>
              </w:rPr>
            </w:pPr>
            <w:r>
              <w:rPr>
                <w:rFonts w:ascii="Aptos Narrow" w:eastAsia="Times New Roman" w:hAnsi="Aptos Narrow"/>
                <w:color w:val="000000"/>
                <w:lang w:val="en-US" w:eastAsia="zh-CN"/>
              </w:rPr>
              <w:t>PC3.5</w:t>
            </w:r>
          </w:p>
        </w:tc>
        <w:tc>
          <w:tcPr>
            <w:tcW w:w="960" w:type="dxa"/>
            <w:noWrap/>
            <w:vAlign w:val="center"/>
            <w:hideMark/>
          </w:tcPr>
          <w:p w14:paraId="3BDEE4A0" w14:textId="77777777" w:rsidR="00D73656" w:rsidRPr="000754DA" w:rsidRDefault="00D73656" w:rsidP="000754DA">
            <w:pPr>
              <w:spacing w:after="0"/>
              <w:jc w:val="center"/>
              <w:rPr>
                <w:rFonts w:ascii="Aptos Narrow" w:eastAsia="Times New Roman" w:hAnsi="Aptos Narrow"/>
                <w:color w:val="000000"/>
                <w:lang w:val="en-US" w:eastAsia="zh-CN"/>
              </w:rPr>
            </w:pPr>
            <w:r w:rsidRPr="000754DA">
              <w:rPr>
                <w:rFonts w:ascii="Aptos Narrow" w:eastAsia="Times New Roman" w:hAnsi="Aptos Narrow"/>
                <w:color w:val="000000"/>
                <w:lang w:val="en-US" w:eastAsia="zh-CN"/>
              </w:rPr>
              <w:t>32</w:t>
            </w:r>
          </w:p>
        </w:tc>
        <w:tc>
          <w:tcPr>
            <w:tcW w:w="960" w:type="dxa"/>
            <w:noWrap/>
            <w:vAlign w:val="center"/>
            <w:hideMark/>
          </w:tcPr>
          <w:p w14:paraId="70F59322" w14:textId="77777777" w:rsidR="00D73656" w:rsidRPr="000754DA" w:rsidRDefault="00D73656" w:rsidP="000754DA">
            <w:pPr>
              <w:spacing w:after="0"/>
              <w:jc w:val="center"/>
              <w:rPr>
                <w:rFonts w:ascii="Aptos Narrow" w:eastAsia="Times New Roman" w:hAnsi="Aptos Narrow"/>
                <w:color w:val="000000"/>
                <w:lang w:val="en-US" w:eastAsia="zh-CN"/>
              </w:rPr>
            </w:pPr>
            <w:r w:rsidRPr="000754DA">
              <w:rPr>
                <w:rFonts w:ascii="Aptos Narrow" w:eastAsia="Times New Roman" w:hAnsi="Aptos Narrow"/>
                <w:color w:val="000000"/>
                <w:lang w:val="en-US" w:eastAsia="zh-CN"/>
              </w:rPr>
              <w:t>32</w:t>
            </w:r>
          </w:p>
        </w:tc>
        <w:tc>
          <w:tcPr>
            <w:tcW w:w="960" w:type="dxa"/>
            <w:noWrap/>
            <w:vAlign w:val="center"/>
            <w:hideMark/>
          </w:tcPr>
          <w:p w14:paraId="181A645C" w14:textId="77777777" w:rsidR="00D73656" w:rsidRPr="000754DA" w:rsidRDefault="00D73656" w:rsidP="000754DA">
            <w:pPr>
              <w:spacing w:after="0"/>
              <w:jc w:val="center"/>
              <w:rPr>
                <w:rFonts w:ascii="Aptos Narrow" w:eastAsia="Times New Roman" w:hAnsi="Aptos Narrow"/>
                <w:color w:val="000000"/>
                <w:lang w:val="en-US" w:eastAsia="zh-CN"/>
              </w:rPr>
            </w:pPr>
            <w:r w:rsidRPr="000754DA">
              <w:rPr>
                <w:rFonts w:ascii="Aptos Narrow" w:eastAsia="Times New Roman" w:hAnsi="Aptos Narrow"/>
                <w:color w:val="000000"/>
                <w:lang w:val="en-US" w:eastAsia="zh-CN"/>
              </w:rPr>
              <w:t>64</w:t>
            </w:r>
          </w:p>
        </w:tc>
        <w:tc>
          <w:tcPr>
            <w:tcW w:w="960" w:type="dxa"/>
            <w:noWrap/>
            <w:vAlign w:val="center"/>
            <w:hideMark/>
          </w:tcPr>
          <w:p w14:paraId="4788CB34" w14:textId="77777777" w:rsidR="00D73656" w:rsidRPr="000754DA" w:rsidRDefault="00D73656" w:rsidP="000754DA">
            <w:pPr>
              <w:spacing w:after="0"/>
              <w:jc w:val="center"/>
              <w:rPr>
                <w:rFonts w:ascii="Aptos Narrow" w:eastAsia="Times New Roman" w:hAnsi="Aptos Narrow"/>
                <w:color w:val="000000"/>
                <w:lang w:val="en-US" w:eastAsia="zh-CN"/>
              </w:rPr>
            </w:pPr>
            <w:r w:rsidRPr="000754DA">
              <w:rPr>
                <w:rFonts w:ascii="Aptos Narrow" w:eastAsia="Times New Roman" w:hAnsi="Aptos Narrow"/>
                <w:color w:val="000000"/>
                <w:lang w:val="en-US" w:eastAsia="zh-CN"/>
              </w:rPr>
              <w:t>96</w:t>
            </w:r>
          </w:p>
        </w:tc>
        <w:tc>
          <w:tcPr>
            <w:tcW w:w="960" w:type="dxa"/>
          </w:tcPr>
          <w:p w14:paraId="04AC7184" w14:textId="717C57C1" w:rsidR="00D73656" w:rsidRPr="000754DA" w:rsidRDefault="00D73656" w:rsidP="000754DA">
            <w:pPr>
              <w:spacing w:after="0"/>
              <w:jc w:val="center"/>
              <w:rPr>
                <w:rFonts w:ascii="Aptos Narrow" w:eastAsia="Times New Roman" w:hAnsi="Aptos Narrow"/>
                <w:color w:val="000000"/>
                <w:lang w:val="en-US" w:eastAsia="zh-CN"/>
              </w:rPr>
            </w:pPr>
            <w:r w:rsidRPr="002B1508">
              <w:rPr>
                <w:rFonts w:ascii="Aptos Narrow" w:eastAsia="Times New Roman" w:hAnsi="Aptos Narrow"/>
                <w:color w:val="000000"/>
                <w:lang w:val="en-US" w:eastAsia="zh-CN"/>
              </w:rPr>
              <w:t>SQ</w:t>
            </w:r>
          </w:p>
        </w:tc>
        <w:tc>
          <w:tcPr>
            <w:tcW w:w="805" w:type="dxa"/>
            <w:noWrap/>
            <w:vAlign w:val="center"/>
            <w:hideMark/>
          </w:tcPr>
          <w:p w14:paraId="1F2CEFC6" w14:textId="77777777" w:rsidR="00D73656" w:rsidRPr="000754DA" w:rsidRDefault="00D73656" w:rsidP="000754DA">
            <w:pPr>
              <w:spacing w:after="0"/>
              <w:jc w:val="center"/>
              <w:rPr>
                <w:rFonts w:ascii="Aptos Narrow" w:eastAsia="Times New Roman" w:hAnsi="Aptos Narrow"/>
                <w:color w:val="000000"/>
                <w:lang w:val="en-US" w:eastAsia="zh-CN"/>
              </w:rPr>
            </w:pPr>
            <w:r w:rsidRPr="000754DA">
              <w:rPr>
                <w:rFonts w:ascii="Aptos Narrow" w:eastAsia="Times New Roman" w:hAnsi="Aptos Narrow"/>
                <w:color w:val="000000"/>
                <w:lang w:val="en-US" w:eastAsia="zh-CN"/>
              </w:rPr>
              <w:t>2</w:t>
            </w:r>
          </w:p>
        </w:tc>
        <w:tc>
          <w:tcPr>
            <w:tcW w:w="1530" w:type="dxa"/>
            <w:noWrap/>
            <w:vAlign w:val="center"/>
            <w:hideMark/>
          </w:tcPr>
          <w:p w14:paraId="19F730AF" w14:textId="4407811B" w:rsidR="00D73656" w:rsidRPr="000754DA" w:rsidRDefault="00D73656" w:rsidP="000754DA">
            <w:pPr>
              <w:spacing w:after="0"/>
              <w:jc w:val="center"/>
              <w:rPr>
                <w:rFonts w:ascii="Aptos Narrow" w:eastAsia="Times New Roman" w:hAnsi="Aptos Narrow"/>
                <w:color w:val="000000"/>
                <w:lang w:val="en-US" w:eastAsia="zh-CN"/>
              </w:rPr>
            </w:pPr>
            <w:r w:rsidRPr="000754DA">
              <w:rPr>
                <w:rFonts w:ascii="Aptos Narrow" w:eastAsia="Times New Roman" w:hAnsi="Aptos Narrow"/>
                <w:color w:val="000000"/>
                <w:lang w:val="en-US" w:eastAsia="zh-CN"/>
              </w:rPr>
              <w:t>448</w:t>
            </w:r>
            <w:r w:rsidR="00B832DF">
              <w:rPr>
                <w:rFonts w:ascii="Aptos Narrow" w:eastAsia="Times New Roman" w:hAnsi="Aptos Narrow"/>
                <w:color w:val="000000"/>
                <w:lang w:val="en-US" w:eastAsia="zh-CN"/>
              </w:rPr>
              <w:t xml:space="preserve"> (2.33x)</w:t>
            </w:r>
          </w:p>
        </w:tc>
        <w:tc>
          <w:tcPr>
            <w:tcW w:w="1260" w:type="dxa"/>
            <w:noWrap/>
            <w:vAlign w:val="center"/>
            <w:hideMark/>
          </w:tcPr>
          <w:p w14:paraId="7466650B" w14:textId="77777777" w:rsidR="00D73656" w:rsidRPr="000754DA" w:rsidRDefault="00D73656" w:rsidP="000754DA">
            <w:pPr>
              <w:spacing w:after="0"/>
              <w:jc w:val="center"/>
              <w:rPr>
                <w:rFonts w:ascii="Aptos Narrow" w:eastAsia="Times New Roman" w:hAnsi="Aptos Narrow"/>
                <w:color w:val="000000"/>
                <w:lang w:val="en-US" w:eastAsia="zh-CN"/>
              </w:rPr>
            </w:pPr>
            <w:r w:rsidRPr="000754DA">
              <w:rPr>
                <w:rFonts w:ascii="Aptos Narrow" w:eastAsia="Times New Roman" w:hAnsi="Aptos Narrow"/>
                <w:color w:val="000000"/>
                <w:lang w:val="en-US" w:eastAsia="zh-CN"/>
              </w:rPr>
              <w:t>24.59398</w:t>
            </w:r>
          </w:p>
        </w:tc>
      </w:tr>
      <w:tr w:rsidR="00D73656" w:rsidRPr="000754DA" w14:paraId="38CB9C86" w14:textId="77777777" w:rsidTr="00514492">
        <w:trPr>
          <w:trHeight w:val="290"/>
        </w:trPr>
        <w:tc>
          <w:tcPr>
            <w:tcW w:w="960" w:type="dxa"/>
            <w:noWrap/>
            <w:vAlign w:val="bottom"/>
            <w:hideMark/>
          </w:tcPr>
          <w:p w14:paraId="70F8F430" w14:textId="500314B9" w:rsidR="00D73656" w:rsidRPr="000754DA" w:rsidRDefault="00514492" w:rsidP="000754DA">
            <w:pPr>
              <w:spacing w:after="0"/>
              <w:jc w:val="center"/>
              <w:rPr>
                <w:rFonts w:ascii="Aptos Narrow" w:eastAsia="Times New Roman" w:hAnsi="Aptos Narrow"/>
                <w:color w:val="000000"/>
                <w:lang w:val="en-US" w:eastAsia="zh-CN"/>
              </w:rPr>
            </w:pPr>
            <w:r>
              <w:rPr>
                <w:rFonts w:ascii="Aptos Narrow" w:eastAsia="Times New Roman" w:hAnsi="Aptos Narrow"/>
                <w:color w:val="000000"/>
                <w:lang w:val="en-US" w:eastAsia="zh-CN"/>
              </w:rPr>
              <w:t>PC4.1</w:t>
            </w:r>
          </w:p>
        </w:tc>
        <w:tc>
          <w:tcPr>
            <w:tcW w:w="960" w:type="dxa"/>
            <w:noWrap/>
            <w:vAlign w:val="center"/>
            <w:hideMark/>
          </w:tcPr>
          <w:p w14:paraId="19BCDC50" w14:textId="77777777" w:rsidR="00D73656" w:rsidRPr="000754DA" w:rsidRDefault="00D73656" w:rsidP="000754DA">
            <w:pPr>
              <w:spacing w:after="0"/>
              <w:jc w:val="center"/>
              <w:rPr>
                <w:rFonts w:ascii="Aptos Narrow" w:eastAsia="Times New Roman" w:hAnsi="Aptos Narrow"/>
                <w:color w:val="000000"/>
                <w:lang w:val="en-US" w:eastAsia="zh-CN"/>
              </w:rPr>
            </w:pPr>
            <w:r w:rsidRPr="000754DA">
              <w:rPr>
                <w:rFonts w:ascii="Aptos Narrow" w:eastAsia="Times New Roman" w:hAnsi="Aptos Narrow"/>
                <w:color w:val="000000"/>
                <w:lang w:val="en-US" w:eastAsia="zh-CN"/>
              </w:rPr>
              <w:t>64</w:t>
            </w:r>
          </w:p>
        </w:tc>
        <w:tc>
          <w:tcPr>
            <w:tcW w:w="960" w:type="dxa"/>
            <w:noWrap/>
            <w:vAlign w:val="center"/>
            <w:hideMark/>
          </w:tcPr>
          <w:p w14:paraId="7D5C9ABD" w14:textId="77777777" w:rsidR="00D73656" w:rsidRPr="000754DA" w:rsidRDefault="00D73656" w:rsidP="000754DA">
            <w:pPr>
              <w:spacing w:after="0"/>
              <w:jc w:val="center"/>
              <w:rPr>
                <w:rFonts w:ascii="Aptos Narrow" w:eastAsia="Times New Roman" w:hAnsi="Aptos Narrow"/>
                <w:color w:val="000000"/>
                <w:lang w:val="en-US" w:eastAsia="zh-CN"/>
              </w:rPr>
            </w:pPr>
            <w:r w:rsidRPr="000754DA">
              <w:rPr>
                <w:rFonts w:ascii="Aptos Narrow" w:eastAsia="Times New Roman" w:hAnsi="Aptos Narrow"/>
                <w:color w:val="000000"/>
                <w:lang w:val="en-US" w:eastAsia="zh-CN"/>
              </w:rPr>
              <w:t>64</w:t>
            </w:r>
          </w:p>
        </w:tc>
        <w:tc>
          <w:tcPr>
            <w:tcW w:w="960" w:type="dxa"/>
            <w:noWrap/>
            <w:vAlign w:val="center"/>
            <w:hideMark/>
          </w:tcPr>
          <w:p w14:paraId="64A92EE8" w14:textId="77777777" w:rsidR="00D73656" w:rsidRPr="000754DA" w:rsidRDefault="00D73656" w:rsidP="000754DA">
            <w:pPr>
              <w:spacing w:after="0"/>
              <w:jc w:val="center"/>
              <w:rPr>
                <w:rFonts w:ascii="Aptos Narrow" w:eastAsia="Times New Roman" w:hAnsi="Aptos Narrow"/>
                <w:color w:val="000000"/>
                <w:lang w:val="en-US" w:eastAsia="zh-CN"/>
              </w:rPr>
            </w:pPr>
            <w:r w:rsidRPr="000754DA">
              <w:rPr>
                <w:rFonts w:ascii="Aptos Narrow" w:eastAsia="Times New Roman" w:hAnsi="Aptos Narrow"/>
                <w:color w:val="000000"/>
                <w:lang w:val="en-US" w:eastAsia="zh-CN"/>
              </w:rPr>
              <w:t>64</w:t>
            </w:r>
          </w:p>
        </w:tc>
        <w:tc>
          <w:tcPr>
            <w:tcW w:w="960" w:type="dxa"/>
            <w:noWrap/>
            <w:vAlign w:val="center"/>
            <w:hideMark/>
          </w:tcPr>
          <w:p w14:paraId="49796A00" w14:textId="77777777" w:rsidR="00D73656" w:rsidRPr="000754DA" w:rsidRDefault="00D73656" w:rsidP="000754DA">
            <w:pPr>
              <w:spacing w:after="0"/>
              <w:jc w:val="center"/>
              <w:rPr>
                <w:rFonts w:ascii="Aptos Narrow" w:eastAsia="Times New Roman" w:hAnsi="Aptos Narrow"/>
                <w:color w:val="000000"/>
                <w:lang w:val="en-US" w:eastAsia="zh-CN"/>
              </w:rPr>
            </w:pPr>
            <w:r w:rsidRPr="000754DA">
              <w:rPr>
                <w:rFonts w:ascii="Aptos Narrow" w:eastAsia="Times New Roman" w:hAnsi="Aptos Narrow"/>
                <w:color w:val="000000"/>
                <w:lang w:val="en-US" w:eastAsia="zh-CN"/>
              </w:rPr>
              <w:t>64</w:t>
            </w:r>
          </w:p>
        </w:tc>
        <w:tc>
          <w:tcPr>
            <w:tcW w:w="960" w:type="dxa"/>
          </w:tcPr>
          <w:p w14:paraId="7ED736ED" w14:textId="4A3F7B7A" w:rsidR="00D73656" w:rsidRPr="000754DA" w:rsidRDefault="00D73656" w:rsidP="000754DA">
            <w:pPr>
              <w:spacing w:after="0"/>
              <w:jc w:val="center"/>
              <w:rPr>
                <w:rFonts w:ascii="Aptos Narrow" w:eastAsia="Times New Roman" w:hAnsi="Aptos Narrow"/>
                <w:color w:val="000000"/>
                <w:lang w:val="en-US" w:eastAsia="zh-CN"/>
              </w:rPr>
            </w:pPr>
            <w:r w:rsidRPr="002B1508">
              <w:rPr>
                <w:rFonts w:ascii="Aptos Narrow" w:eastAsia="Times New Roman" w:hAnsi="Aptos Narrow"/>
                <w:color w:val="000000"/>
                <w:lang w:val="en-US" w:eastAsia="zh-CN"/>
              </w:rPr>
              <w:t>SQ</w:t>
            </w:r>
          </w:p>
        </w:tc>
        <w:tc>
          <w:tcPr>
            <w:tcW w:w="805" w:type="dxa"/>
            <w:noWrap/>
            <w:vAlign w:val="center"/>
            <w:hideMark/>
          </w:tcPr>
          <w:p w14:paraId="3FA4444A" w14:textId="77777777" w:rsidR="00D73656" w:rsidRPr="000754DA" w:rsidRDefault="00D73656" w:rsidP="000754DA">
            <w:pPr>
              <w:spacing w:after="0"/>
              <w:jc w:val="center"/>
              <w:rPr>
                <w:rFonts w:ascii="Aptos Narrow" w:eastAsia="Times New Roman" w:hAnsi="Aptos Narrow"/>
                <w:color w:val="000000"/>
                <w:lang w:val="en-US" w:eastAsia="zh-CN"/>
              </w:rPr>
            </w:pPr>
            <w:r w:rsidRPr="000754DA">
              <w:rPr>
                <w:rFonts w:ascii="Aptos Narrow" w:eastAsia="Times New Roman" w:hAnsi="Aptos Narrow"/>
                <w:color w:val="000000"/>
                <w:lang w:val="en-US" w:eastAsia="zh-CN"/>
              </w:rPr>
              <w:t>2</w:t>
            </w:r>
          </w:p>
        </w:tc>
        <w:tc>
          <w:tcPr>
            <w:tcW w:w="1530" w:type="dxa"/>
            <w:noWrap/>
            <w:vAlign w:val="center"/>
            <w:hideMark/>
          </w:tcPr>
          <w:p w14:paraId="1BDC936A" w14:textId="44950702" w:rsidR="00D73656" w:rsidRPr="000754DA" w:rsidRDefault="00D73656" w:rsidP="000754DA">
            <w:pPr>
              <w:spacing w:after="0"/>
              <w:jc w:val="center"/>
              <w:rPr>
                <w:rFonts w:ascii="Aptos Narrow" w:eastAsia="Times New Roman" w:hAnsi="Aptos Narrow"/>
                <w:color w:val="000000"/>
                <w:lang w:val="en-US" w:eastAsia="zh-CN"/>
              </w:rPr>
            </w:pPr>
            <w:r w:rsidRPr="000754DA">
              <w:rPr>
                <w:rFonts w:ascii="Aptos Narrow" w:eastAsia="Times New Roman" w:hAnsi="Aptos Narrow"/>
                <w:color w:val="000000"/>
                <w:lang w:val="en-US" w:eastAsia="zh-CN"/>
              </w:rPr>
              <w:t>512</w:t>
            </w:r>
            <w:r w:rsidR="00B832DF">
              <w:rPr>
                <w:rFonts w:ascii="Aptos Narrow" w:eastAsia="Times New Roman" w:hAnsi="Aptos Narrow"/>
                <w:color w:val="000000"/>
                <w:lang w:val="en-US" w:eastAsia="zh-CN"/>
              </w:rPr>
              <w:t xml:space="preserve"> (2x)</w:t>
            </w:r>
          </w:p>
        </w:tc>
        <w:tc>
          <w:tcPr>
            <w:tcW w:w="1260" w:type="dxa"/>
            <w:noWrap/>
            <w:vAlign w:val="center"/>
            <w:hideMark/>
          </w:tcPr>
          <w:p w14:paraId="1D2BEA63" w14:textId="77777777" w:rsidR="00D73656" w:rsidRPr="000754DA" w:rsidRDefault="00D73656" w:rsidP="000754DA">
            <w:pPr>
              <w:spacing w:after="0"/>
              <w:jc w:val="center"/>
              <w:rPr>
                <w:rFonts w:ascii="Aptos Narrow" w:eastAsia="Times New Roman" w:hAnsi="Aptos Narrow"/>
                <w:color w:val="000000"/>
                <w:lang w:val="en-US" w:eastAsia="zh-CN"/>
              </w:rPr>
            </w:pPr>
            <w:r w:rsidRPr="000754DA">
              <w:rPr>
                <w:rFonts w:ascii="Aptos Narrow" w:eastAsia="Times New Roman" w:hAnsi="Aptos Narrow"/>
                <w:color w:val="000000"/>
                <w:lang w:val="en-US" w:eastAsia="zh-CN"/>
              </w:rPr>
              <w:t>24.57799</w:t>
            </w:r>
          </w:p>
        </w:tc>
      </w:tr>
      <w:tr w:rsidR="00B832DF" w:rsidRPr="000754DA" w14:paraId="5FCC9FD1" w14:textId="77777777" w:rsidTr="00026C2F">
        <w:trPr>
          <w:trHeight w:val="290"/>
        </w:trPr>
        <w:tc>
          <w:tcPr>
            <w:tcW w:w="960" w:type="dxa"/>
            <w:noWrap/>
            <w:vAlign w:val="bottom"/>
            <w:hideMark/>
          </w:tcPr>
          <w:p w14:paraId="7640A23C" w14:textId="4DA6992A" w:rsidR="00B832DF" w:rsidRPr="000754DA" w:rsidRDefault="00B832DF" w:rsidP="00B832DF">
            <w:pPr>
              <w:spacing w:after="0"/>
              <w:jc w:val="center"/>
              <w:rPr>
                <w:rFonts w:ascii="Aptos Narrow" w:eastAsia="Times New Roman" w:hAnsi="Aptos Narrow"/>
                <w:color w:val="000000"/>
                <w:lang w:val="en-US" w:eastAsia="zh-CN"/>
              </w:rPr>
            </w:pPr>
            <w:r>
              <w:rPr>
                <w:rFonts w:ascii="Aptos Narrow" w:eastAsia="Times New Roman" w:hAnsi="Aptos Narrow"/>
                <w:color w:val="000000"/>
                <w:lang w:val="en-US" w:eastAsia="zh-CN"/>
              </w:rPr>
              <w:t>PC4.2</w:t>
            </w:r>
          </w:p>
        </w:tc>
        <w:tc>
          <w:tcPr>
            <w:tcW w:w="960" w:type="dxa"/>
            <w:noWrap/>
            <w:vAlign w:val="center"/>
            <w:hideMark/>
          </w:tcPr>
          <w:p w14:paraId="289CC4AB" w14:textId="77777777" w:rsidR="00B832DF" w:rsidRPr="000754DA" w:rsidRDefault="00B832DF" w:rsidP="00B832DF">
            <w:pPr>
              <w:spacing w:after="0"/>
              <w:jc w:val="center"/>
              <w:rPr>
                <w:rFonts w:ascii="Aptos Narrow" w:eastAsia="Times New Roman" w:hAnsi="Aptos Narrow"/>
                <w:color w:val="000000"/>
                <w:lang w:val="en-US" w:eastAsia="zh-CN"/>
              </w:rPr>
            </w:pPr>
            <w:r w:rsidRPr="000754DA">
              <w:rPr>
                <w:rFonts w:ascii="Aptos Narrow" w:eastAsia="Times New Roman" w:hAnsi="Aptos Narrow"/>
                <w:color w:val="000000"/>
                <w:lang w:val="en-US" w:eastAsia="zh-CN"/>
              </w:rPr>
              <w:t>96</w:t>
            </w:r>
          </w:p>
        </w:tc>
        <w:tc>
          <w:tcPr>
            <w:tcW w:w="960" w:type="dxa"/>
            <w:noWrap/>
            <w:vAlign w:val="center"/>
            <w:hideMark/>
          </w:tcPr>
          <w:p w14:paraId="2131AB1D" w14:textId="77777777" w:rsidR="00B832DF" w:rsidRPr="000754DA" w:rsidRDefault="00B832DF" w:rsidP="00B832DF">
            <w:pPr>
              <w:spacing w:after="0"/>
              <w:jc w:val="center"/>
              <w:rPr>
                <w:rFonts w:ascii="Aptos Narrow" w:eastAsia="Times New Roman" w:hAnsi="Aptos Narrow"/>
                <w:color w:val="000000"/>
                <w:lang w:val="en-US" w:eastAsia="zh-CN"/>
              </w:rPr>
            </w:pPr>
            <w:r w:rsidRPr="000754DA">
              <w:rPr>
                <w:rFonts w:ascii="Aptos Narrow" w:eastAsia="Times New Roman" w:hAnsi="Aptos Narrow"/>
                <w:color w:val="000000"/>
                <w:lang w:val="en-US" w:eastAsia="zh-CN"/>
              </w:rPr>
              <w:t>64</w:t>
            </w:r>
          </w:p>
        </w:tc>
        <w:tc>
          <w:tcPr>
            <w:tcW w:w="960" w:type="dxa"/>
            <w:noWrap/>
            <w:vAlign w:val="center"/>
            <w:hideMark/>
          </w:tcPr>
          <w:p w14:paraId="097E4CF5" w14:textId="77777777" w:rsidR="00B832DF" w:rsidRPr="000754DA" w:rsidRDefault="00B832DF" w:rsidP="00B832DF">
            <w:pPr>
              <w:spacing w:after="0"/>
              <w:jc w:val="center"/>
              <w:rPr>
                <w:rFonts w:ascii="Aptos Narrow" w:eastAsia="Times New Roman" w:hAnsi="Aptos Narrow"/>
                <w:color w:val="000000"/>
                <w:lang w:val="en-US" w:eastAsia="zh-CN"/>
              </w:rPr>
            </w:pPr>
            <w:r w:rsidRPr="000754DA">
              <w:rPr>
                <w:rFonts w:ascii="Aptos Narrow" w:eastAsia="Times New Roman" w:hAnsi="Aptos Narrow"/>
                <w:color w:val="000000"/>
                <w:lang w:val="en-US" w:eastAsia="zh-CN"/>
              </w:rPr>
              <w:t>64</w:t>
            </w:r>
          </w:p>
        </w:tc>
        <w:tc>
          <w:tcPr>
            <w:tcW w:w="960" w:type="dxa"/>
            <w:noWrap/>
            <w:vAlign w:val="center"/>
            <w:hideMark/>
          </w:tcPr>
          <w:p w14:paraId="4D5B092D" w14:textId="77777777" w:rsidR="00B832DF" w:rsidRPr="000754DA" w:rsidRDefault="00B832DF" w:rsidP="00B832DF">
            <w:pPr>
              <w:spacing w:after="0"/>
              <w:jc w:val="center"/>
              <w:rPr>
                <w:rFonts w:ascii="Aptos Narrow" w:eastAsia="Times New Roman" w:hAnsi="Aptos Narrow"/>
                <w:color w:val="000000"/>
                <w:lang w:val="en-US" w:eastAsia="zh-CN"/>
              </w:rPr>
            </w:pPr>
            <w:r w:rsidRPr="000754DA">
              <w:rPr>
                <w:rFonts w:ascii="Aptos Narrow" w:eastAsia="Times New Roman" w:hAnsi="Aptos Narrow"/>
                <w:color w:val="000000"/>
                <w:lang w:val="en-US" w:eastAsia="zh-CN"/>
              </w:rPr>
              <w:t>32</w:t>
            </w:r>
          </w:p>
        </w:tc>
        <w:tc>
          <w:tcPr>
            <w:tcW w:w="960" w:type="dxa"/>
          </w:tcPr>
          <w:p w14:paraId="04740E29" w14:textId="0070D49C" w:rsidR="00B832DF" w:rsidRPr="000754DA" w:rsidRDefault="00B832DF" w:rsidP="00B832DF">
            <w:pPr>
              <w:spacing w:after="0"/>
              <w:jc w:val="center"/>
              <w:rPr>
                <w:rFonts w:ascii="Aptos Narrow" w:eastAsia="Times New Roman" w:hAnsi="Aptos Narrow"/>
                <w:color w:val="000000"/>
                <w:lang w:val="en-US" w:eastAsia="zh-CN"/>
              </w:rPr>
            </w:pPr>
            <w:r w:rsidRPr="002B1508">
              <w:rPr>
                <w:rFonts w:ascii="Aptos Narrow" w:eastAsia="Times New Roman" w:hAnsi="Aptos Narrow"/>
                <w:color w:val="000000"/>
                <w:lang w:val="en-US" w:eastAsia="zh-CN"/>
              </w:rPr>
              <w:t>SQ</w:t>
            </w:r>
          </w:p>
        </w:tc>
        <w:tc>
          <w:tcPr>
            <w:tcW w:w="805" w:type="dxa"/>
            <w:noWrap/>
            <w:vAlign w:val="center"/>
            <w:hideMark/>
          </w:tcPr>
          <w:p w14:paraId="04C15684" w14:textId="77777777" w:rsidR="00B832DF" w:rsidRPr="000754DA" w:rsidRDefault="00B832DF" w:rsidP="00B832DF">
            <w:pPr>
              <w:spacing w:after="0"/>
              <w:jc w:val="center"/>
              <w:rPr>
                <w:rFonts w:ascii="Aptos Narrow" w:eastAsia="Times New Roman" w:hAnsi="Aptos Narrow"/>
                <w:color w:val="000000"/>
                <w:lang w:val="en-US" w:eastAsia="zh-CN"/>
              </w:rPr>
            </w:pPr>
            <w:r w:rsidRPr="000754DA">
              <w:rPr>
                <w:rFonts w:ascii="Aptos Narrow" w:eastAsia="Times New Roman" w:hAnsi="Aptos Narrow"/>
                <w:color w:val="000000"/>
                <w:lang w:val="en-US" w:eastAsia="zh-CN"/>
              </w:rPr>
              <w:t>2</w:t>
            </w:r>
          </w:p>
        </w:tc>
        <w:tc>
          <w:tcPr>
            <w:tcW w:w="1530" w:type="dxa"/>
            <w:noWrap/>
            <w:hideMark/>
          </w:tcPr>
          <w:p w14:paraId="0820BB4E" w14:textId="58F388AF" w:rsidR="00B832DF" w:rsidRPr="000754DA" w:rsidRDefault="00B832DF" w:rsidP="00B832DF">
            <w:pPr>
              <w:spacing w:after="0"/>
              <w:jc w:val="center"/>
              <w:rPr>
                <w:rFonts w:ascii="Aptos Narrow" w:eastAsia="Times New Roman" w:hAnsi="Aptos Narrow"/>
                <w:color w:val="000000"/>
                <w:lang w:val="en-US" w:eastAsia="zh-CN"/>
              </w:rPr>
            </w:pPr>
            <w:r w:rsidRPr="000754DA">
              <w:rPr>
                <w:rFonts w:ascii="Aptos Narrow" w:eastAsia="Times New Roman" w:hAnsi="Aptos Narrow"/>
                <w:color w:val="000000"/>
                <w:lang w:val="en-US" w:eastAsia="zh-CN"/>
              </w:rPr>
              <w:t>512</w:t>
            </w:r>
            <w:r w:rsidRPr="00D92CB8">
              <w:rPr>
                <w:rFonts w:ascii="Aptos Narrow" w:eastAsia="Times New Roman" w:hAnsi="Aptos Narrow"/>
                <w:color w:val="000000"/>
                <w:lang w:val="en-US" w:eastAsia="zh-CN"/>
              </w:rPr>
              <w:t xml:space="preserve"> (2x)</w:t>
            </w:r>
          </w:p>
        </w:tc>
        <w:tc>
          <w:tcPr>
            <w:tcW w:w="1260" w:type="dxa"/>
            <w:noWrap/>
            <w:vAlign w:val="center"/>
            <w:hideMark/>
          </w:tcPr>
          <w:p w14:paraId="245EB182" w14:textId="77777777" w:rsidR="00B832DF" w:rsidRPr="000754DA" w:rsidRDefault="00B832DF" w:rsidP="00B832DF">
            <w:pPr>
              <w:spacing w:after="0"/>
              <w:jc w:val="center"/>
              <w:rPr>
                <w:rFonts w:ascii="Aptos Narrow" w:eastAsia="Times New Roman" w:hAnsi="Aptos Narrow"/>
                <w:color w:val="000000"/>
                <w:lang w:val="en-US" w:eastAsia="zh-CN"/>
              </w:rPr>
            </w:pPr>
            <w:r w:rsidRPr="000754DA">
              <w:rPr>
                <w:rFonts w:ascii="Aptos Narrow" w:eastAsia="Times New Roman" w:hAnsi="Aptos Narrow"/>
                <w:color w:val="000000"/>
                <w:lang w:val="en-US" w:eastAsia="zh-CN"/>
              </w:rPr>
              <w:t>24.11023</w:t>
            </w:r>
          </w:p>
        </w:tc>
      </w:tr>
      <w:tr w:rsidR="00B832DF" w:rsidRPr="000754DA" w14:paraId="67F484E0" w14:textId="77777777" w:rsidTr="00026C2F">
        <w:trPr>
          <w:trHeight w:val="290"/>
        </w:trPr>
        <w:tc>
          <w:tcPr>
            <w:tcW w:w="960" w:type="dxa"/>
            <w:noWrap/>
            <w:vAlign w:val="bottom"/>
            <w:hideMark/>
          </w:tcPr>
          <w:p w14:paraId="481BFBBA" w14:textId="10FF0B18" w:rsidR="00B832DF" w:rsidRPr="000754DA" w:rsidRDefault="00B832DF" w:rsidP="00B832DF">
            <w:pPr>
              <w:spacing w:after="0"/>
              <w:jc w:val="center"/>
              <w:rPr>
                <w:rFonts w:ascii="Aptos Narrow" w:eastAsia="Times New Roman" w:hAnsi="Aptos Narrow"/>
                <w:color w:val="000000"/>
                <w:lang w:val="en-US" w:eastAsia="zh-CN"/>
              </w:rPr>
            </w:pPr>
            <w:r>
              <w:rPr>
                <w:rFonts w:ascii="Aptos Narrow" w:eastAsia="Times New Roman" w:hAnsi="Aptos Narrow"/>
                <w:color w:val="000000"/>
                <w:lang w:val="en-US" w:eastAsia="zh-CN"/>
              </w:rPr>
              <w:t>PC4.3</w:t>
            </w:r>
          </w:p>
        </w:tc>
        <w:tc>
          <w:tcPr>
            <w:tcW w:w="960" w:type="dxa"/>
            <w:noWrap/>
            <w:vAlign w:val="center"/>
            <w:hideMark/>
          </w:tcPr>
          <w:p w14:paraId="7494F080" w14:textId="77777777" w:rsidR="00B832DF" w:rsidRPr="000754DA" w:rsidRDefault="00B832DF" w:rsidP="00B832DF">
            <w:pPr>
              <w:spacing w:after="0"/>
              <w:jc w:val="center"/>
              <w:rPr>
                <w:rFonts w:ascii="Aptos Narrow" w:eastAsia="Times New Roman" w:hAnsi="Aptos Narrow"/>
                <w:color w:val="000000"/>
                <w:lang w:val="en-US" w:eastAsia="zh-CN"/>
              </w:rPr>
            </w:pPr>
            <w:r w:rsidRPr="000754DA">
              <w:rPr>
                <w:rFonts w:ascii="Aptos Narrow" w:eastAsia="Times New Roman" w:hAnsi="Aptos Narrow"/>
                <w:color w:val="000000"/>
                <w:lang w:val="en-US" w:eastAsia="zh-CN"/>
              </w:rPr>
              <w:t>32</w:t>
            </w:r>
          </w:p>
        </w:tc>
        <w:tc>
          <w:tcPr>
            <w:tcW w:w="960" w:type="dxa"/>
            <w:noWrap/>
            <w:vAlign w:val="center"/>
            <w:hideMark/>
          </w:tcPr>
          <w:p w14:paraId="10DB47DA" w14:textId="77777777" w:rsidR="00B832DF" w:rsidRPr="000754DA" w:rsidRDefault="00B832DF" w:rsidP="00B832DF">
            <w:pPr>
              <w:spacing w:after="0"/>
              <w:jc w:val="center"/>
              <w:rPr>
                <w:rFonts w:ascii="Aptos Narrow" w:eastAsia="Times New Roman" w:hAnsi="Aptos Narrow"/>
                <w:color w:val="000000"/>
                <w:lang w:val="en-US" w:eastAsia="zh-CN"/>
              </w:rPr>
            </w:pPr>
            <w:r w:rsidRPr="000754DA">
              <w:rPr>
                <w:rFonts w:ascii="Aptos Narrow" w:eastAsia="Times New Roman" w:hAnsi="Aptos Narrow"/>
                <w:color w:val="000000"/>
                <w:lang w:val="en-US" w:eastAsia="zh-CN"/>
              </w:rPr>
              <w:t>64</w:t>
            </w:r>
          </w:p>
        </w:tc>
        <w:tc>
          <w:tcPr>
            <w:tcW w:w="960" w:type="dxa"/>
            <w:noWrap/>
            <w:vAlign w:val="center"/>
            <w:hideMark/>
          </w:tcPr>
          <w:p w14:paraId="476038A8" w14:textId="77777777" w:rsidR="00B832DF" w:rsidRPr="000754DA" w:rsidRDefault="00B832DF" w:rsidP="00B832DF">
            <w:pPr>
              <w:spacing w:after="0"/>
              <w:jc w:val="center"/>
              <w:rPr>
                <w:rFonts w:ascii="Aptos Narrow" w:eastAsia="Times New Roman" w:hAnsi="Aptos Narrow"/>
                <w:color w:val="000000"/>
                <w:lang w:val="en-US" w:eastAsia="zh-CN"/>
              </w:rPr>
            </w:pPr>
            <w:r w:rsidRPr="000754DA">
              <w:rPr>
                <w:rFonts w:ascii="Aptos Narrow" w:eastAsia="Times New Roman" w:hAnsi="Aptos Narrow"/>
                <w:color w:val="000000"/>
                <w:lang w:val="en-US" w:eastAsia="zh-CN"/>
              </w:rPr>
              <w:t>64</w:t>
            </w:r>
          </w:p>
        </w:tc>
        <w:tc>
          <w:tcPr>
            <w:tcW w:w="960" w:type="dxa"/>
            <w:noWrap/>
            <w:vAlign w:val="center"/>
            <w:hideMark/>
          </w:tcPr>
          <w:p w14:paraId="516A634A" w14:textId="77777777" w:rsidR="00B832DF" w:rsidRPr="000754DA" w:rsidRDefault="00B832DF" w:rsidP="00B832DF">
            <w:pPr>
              <w:spacing w:after="0"/>
              <w:jc w:val="center"/>
              <w:rPr>
                <w:rFonts w:ascii="Aptos Narrow" w:eastAsia="Times New Roman" w:hAnsi="Aptos Narrow"/>
                <w:color w:val="000000"/>
                <w:lang w:val="en-US" w:eastAsia="zh-CN"/>
              </w:rPr>
            </w:pPr>
            <w:r w:rsidRPr="000754DA">
              <w:rPr>
                <w:rFonts w:ascii="Aptos Narrow" w:eastAsia="Times New Roman" w:hAnsi="Aptos Narrow"/>
                <w:color w:val="000000"/>
                <w:lang w:val="en-US" w:eastAsia="zh-CN"/>
              </w:rPr>
              <w:t>96</w:t>
            </w:r>
          </w:p>
        </w:tc>
        <w:tc>
          <w:tcPr>
            <w:tcW w:w="960" w:type="dxa"/>
          </w:tcPr>
          <w:p w14:paraId="3A2FD6E8" w14:textId="03991D9F" w:rsidR="00B832DF" w:rsidRPr="000754DA" w:rsidRDefault="00B832DF" w:rsidP="00B832DF">
            <w:pPr>
              <w:spacing w:after="0"/>
              <w:jc w:val="center"/>
              <w:rPr>
                <w:rFonts w:ascii="Aptos Narrow" w:eastAsia="Times New Roman" w:hAnsi="Aptos Narrow"/>
                <w:color w:val="000000"/>
                <w:lang w:val="en-US" w:eastAsia="zh-CN"/>
              </w:rPr>
            </w:pPr>
            <w:r w:rsidRPr="002B1508">
              <w:rPr>
                <w:rFonts w:ascii="Aptos Narrow" w:eastAsia="Times New Roman" w:hAnsi="Aptos Narrow"/>
                <w:color w:val="000000"/>
                <w:lang w:val="en-US" w:eastAsia="zh-CN"/>
              </w:rPr>
              <w:t>SQ</w:t>
            </w:r>
          </w:p>
        </w:tc>
        <w:tc>
          <w:tcPr>
            <w:tcW w:w="805" w:type="dxa"/>
            <w:noWrap/>
            <w:vAlign w:val="center"/>
            <w:hideMark/>
          </w:tcPr>
          <w:p w14:paraId="57FF1483" w14:textId="77777777" w:rsidR="00B832DF" w:rsidRPr="000754DA" w:rsidRDefault="00B832DF" w:rsidP="00B832DF">
            <w:pPr>
              <w:spacing w:after="0"/>
              <w:jc w:val="center"/>
              <w:rPr>
                <w:rFonts w:ascii="Aptos Narrow" w:eastAsia="Times New Roman" w:hAnsi="Aptos Narrow"/>
                <w:color w:val="000000"/>
                <w:lang w:val="en-US" w:eastAsia="zh-CN"/>
              </w:rPr>
            </w:pPr>
            <w:r w:rsidRPr="000754DA">
              <w:rPr>
                <w:rFonts w:ascii="Aptos Narrow" w:eastAsia="Times New Roman" w:hAnsi="Aptos Narrow"/>
                <w:color w:val="000000"/>
                <w:lang w:val="en-US" w:eastAsia="zh-CN"/>
              </w:rPr>
              <w:t>2</w:t>
            </w:r>
          </w:p>
        </w:tc>
        <w:tc>
          <w:tcPr>
            <w:tcW w:w="1530" w:type="dxa"/>
            <w:noWrap/>
            <w:hideMark/>
          </w:tcPr>
          <w:p w14:paraId="6FC2C9EB" w14:textId="62E61ED6" w:rsidR="00B832DF" w:rsidRPr="000754DA" w:rsidRDefault="00B832DF" w:rsidP="00B832DF">
            <w:pPr>
              <w:spacing w:after="0"/>
              <w:jc w:val="center"/>
              <w:rPr>
                <w:rFonts w:ascii="Aptos Narrow" w:eastAsia="Times New Roman" w:hAnsi="Aptos Narrow"/>
                <w:color w:val="000000"/>
                <w:lang w:val="en-US" w:eastAsia="zh-CN"/>
              </w:rPr>
            </w:pPr>
            <w:r w:rsidRPr="000754DA">
              <w:rPr>
                <w:rFonts w:ascii="Aptos Narrow" w:eastAsia="Times New Roman" w:hAnsi="Aptos Narrow"/>
                <w:color w:val="000000"/>
                <w:lang w:val="en-US" w:eastAsia="zh-CN"/>
              </w:rPr>
              <w:t>512</w:t>
            </w:r>
            <w:r w:rsidRPr="00D92CB8">
              <w:rPr>
                <w:rFonts w:ascii="Aptos Narrow" w:eastAsia="Times New Roman" w:hAnsi="Aptos Narrow"/>
                <w:color w:val="000000"/>
                <w:lang w:val="en-US" w:eastAsia="zh-CN"/>
              </w:rPr>
              <w:t xml:space="preserve"> (2x)</w:t>
            </w:r>
          </w:p>
        </w:tc>
        <w:tc>
          <w:tcPr>
            <w:tcW w:w="1260" w:type="dxa"/>
            <w:noWrap/>
            <w:vAlign w:val="center"/>
            <w:hideMark/>
          </w:tcPr>
          <w:p w14:paraId="24A4F916" w14:textId="77777777" w:rsidR="00B832DF" w:rsidRPr="000754DA" w:rsidRDefault="00B832DF" w:rsidP="00B832DF">
            <w:pPr>
              <w:spacing w:after="0"/>
              <w:jc w:val="center"/>
              <w:rPr>
                <w:rFonts w:ascii="Aptos Narrow" w:eastAsia="Times New Roman" w:hAnsi="Aptos Narrow"/>
                <w:color w:val="000000"/>
                <w:lang w:val="en-US" w:eastAsia="zh-CN"/>
              </w:rPr>
            </w:pPr>
            <w:r w:rsidRPr="000754DA">
              <w:rPr>
                <w:rFonts w:ascii="Aptos Narrow" w:eastAsia="Times New Roman" w:hAnsi="Aptos Narrow"/>
                <w:color w:val="000000"/>
                <w:lang w:val="en-US" w:eastAsia="zh-CN"/>
              </w:rPr>
              <w:t>24.73119</w:t>
            </w:r>
          </w:p>
        </w:tc>
      </w:tr>
      <w:tr w:rsidR="00B832DF" w:rsidRPr="000754DA" w14:paraId="3A0AD098" w14:textId="77777777" w:rsidTr="00026C2F">
        <w:trPr>
          <w:trHeight w:val="290"/>
        </w:trPr>
        <w:tc>
          <w:tcPr>
            <w:tcW w:w="960" w:type="dxa"/>
            <w:noWrap/>
            <w:vAlign w:val="bottom"/>
            <w:hideMark/>
          </w:tcPr>
          <w:p w14:paraId="2A9A74F2" w14:textId="6C769232" w:rsidR="00B832DF" w:rsidRPr="000754DA" w:rsidRDefault="00B832DF" w:rsidP="00B832DF">
            <w:pPr>
              <w:spacing w:after="0"/>
              <w:jc w:val="center"/>
              <w:rPr>
                <w:rFonts w:ascii="Aptos Narrow" w:eastAsia="Times New Roman" w:hAnsi="Aptos Narrow"/>
                <w:color w:val="000000"/>
                <w:lang w:val="en-US" w:eastAsia="zh-CN"/>
              </w:rPr>
            </w:pPr>
            <w:r>
              <w:rPr>
                <w:rFonts w:ascii="Aptos Narrow" w:eastAsia="Times New Roman" w:hAnsi="Aptos Narrow"/>
                <w:color w:val="000000"/>
                <w:lang w:val="en-US" w:eastAsia="zh-CN"/>
              </w:rPr>
              <w:t>PC4.4</w:t>
            </w:r>
          </w:p>
        </w:tc>
        <w:tc>
          <w:tcPr>
            <w:tcW w:w="960" w:type="dxa"/>
            <w:noWrap/>
            <w:vAlign w:val="center"/>
            <w:hideMark/>
          </w:tcPr>
          <w:p w14:paraId="02852D27" w14:textId="77777777" w:rsidR="00B832DF" w:rsidRPr="000754DA" w:rsidRDefault="00B832DF" w:rsidP="00B832DF">
            <w:pPr>
              <w:spacing w:after="0"/>
              <w:jc w:val="center"/>
              <w:rPr>
                <w:rFonts w:ascii="Aptos Narrow" w:eastAsia="Times New Roman" w:hAnsi="Aptos Narrow"/>
                <w:color w:val="000000"/>
                <w:lang w:val="en-US" w:eastAsia="zh-CN"/>
              </w:rPr>
            </w:pPr>
            <w:r w:rsidRPr="000754DA">
              <w:rPr>
                <w:rFonts w:ascii="Aptos Narrow" w:eastAsia="Times New Roman" w:hAnsi="Aptos Narrow"/>
                <w:color w:val="000000"/>
                <w:lang w:val="en-US" w:eastAsia="zh-CN"/>
              </w:rPr>
              <w:t>128</w:t>
            </w:r>
          </w:p>
        </w:tc>
        <w:tc>
          <w:tcPr>
            <w:tcW w:w="960" w:type="dxa"/>
            <w:noWrap/>
            <w:vAlign w:val="center"/>
            <w:hideMark/>
          </w:tcPr>
          <w:p w14:paraId="4A21DE59" w14:textId="77777777" w:rsidR="00B832DF" w:rsidRPr="000754DA" w:rsidRDefault="00B832DF" w:rsidP="00B832DF">
            <w:pPr>
              <w:spacing w:after="0"/>
              <w:jc w:val="center"/>
              <w:rPr>
                <w:rFonts w:ascii="Aptos Narrow" w:eastAsia="Times New Roman" w:hAnsi="Aptos Narrow"/>
                <w:color w:val="000000"/>
                <w:lang w:val="en-US" w:eastAsia="zh-CN"/>
              </w:rPr>
            </w:pPr>
            <w:r w:rsidRPr="000754DA">
              <w:rPr>
                <w:rFonts w:ascii="Aptos Narrow" w:eastAsia="Times New Roman" w:hAnsi="Aptos Narrow"/>
                <w:color w:val="000000"/>
                <w:lang w:val="en-US" w:eastAsia="zh-CN"/>
              </w:rPr>
              <w:t>64</w:t>
            </w:r>
          </w:p>
        </w:tc>
        <w:tc>
          <w:tcPr>
            <w:tcW w:w="960" w:type="dxa"/>
            <w:noWrap/>
            <w:vAlign w:val="center"/>
            <w:hideMark/>
          </w:tcPr>
          <w:p w14:paraId="105BEA7B" w14:textId="77777777" w:rsidR="00B832DF" w:rsidRPr="000754DA" w:rsidRDefault="00B832DF" w:rsidP="00B832DF">
            <w:pPr>
              <w:spacing w:after="0"/>
              <w:jc w:val="center"/>
              <w:rPr>
                <w:rFonts w:ascii="Aptos Narrow" w:eastAsia="Times New Roman" w:hAnsi="Aptos Narrow"/>
                <w:color w:val="000000"/>
                <w:lang w:val="en-US" w:eastAsia="zh-CN"/>
              </w:rPr>
            </w:pPr>
            <w:r w:rsidRPr="000754DA">
              <w:rPr>
                <w:rFonts w:ascii="Aptos Narrow" w:eastAsia="Times New Roman" w:hAnsi="Aptos Narrow"/>
                <w:color w:val="000000"/>
                <w:lang w:val="en-US" w:eastAsia="zh-CN"/>
              </w:rPr>
              <w:t>32</w:t>
            </w:r>
          </w:p>
        </w:tc>
        <w:tc>
          <w:tcPr>
            <w:tcW w:w="960" w:type="dxa"/>
            <w:noWrap/>
            <w:vAlign w:val="center"/>
            <w:hideMark/>
          </w:tcPr>
          <w:p w14:paraId="313F3B9D" w14:textId="77777777" w:rsidR="00B832DF" w:rsidRPr="000754DA" w:rsidRDefault="00B832DF" w:rsidP="00B832DF">
            <w:pPr>
              <w:spacing w:after="0"/>
              <w:jc w:val="center"/>
              <w:rPr>
                <w:rFonts w:ascii="Aptos Narrow" w:eastAsia="Times New Roman" w:hAnsi="Aptos Narrow"/>
                <w:color w:val="000000"/>
                <w:lang w:val="en-US" w:eastAsia="zh-CN"/>
              </w:rPr>
            </w:pPr>
            <w:r w:rsidRPr="000754DA">
              <w:rPr>
                <w:rFonts w:ascii="Aptos Narrow" w:eastAsia="Times New Roman" w:hAnsi="Aptos Narrow"/>
                <w:color w:val="000000"/>
                <w:lang w:val="en-US" w:eastAsia="zh-CN"/>
              </w:rPr>
              <w:t>32</w:t>
            </w:r>
          </w:p>
        </w:tc>
        <w:tc>
          <w:tcPr>
            <w:tcW w:w="960" w:type="dxa"/>
          </w:tcPr>
          <w:p w14:paraId="545680F1" w14:textId="2412120A" w:rsidR="00B832DF" w:rsidRPr="000754DA" w:rsidRDefault="00B832DF" w:rsidP="00B832DF">
            <w:pPr>
              <w:spacing w:after="0"/>
              <w:jc w:val="center"/>
              <w:rPr>
                <w:rFonts w:ascii="Aptos Narrow" w:eastAsia="Times New Roman" w:hAnsi="Aptos Narrow"/>
                <w:color w:val="000000"/>
                <w:lang w:val="en-US" w:eastAsia="zh-CN"/>
              </w:rPr>
            </w:pPr>
            <w:r w:rsidRPr="002B1508">
              <w:rPr>
                <w:rFonts w:ascii="Aptos Narrow" w:eastAsia="Times New Roman" w:hAnsi="Aptos Narrow"/>
                <w:color w:val="000000"/>
                <w:lang w:val="en-US" w:eastAsia="zh-CN"/>
              </w:rPr>
              <w:t>SQ</w:t>
            </w:r>
          </w:p>
        </w:tc>
        <w:tc>
          <w:tcPr>
            <w:tcW w:w="805" w:type="dxa"/>
            <w:noWrap/>
            <w:vAlign w:val="center"/>
            <w:hideMark/>
          </w:tcPr>
          <w:p w14:paraId="39C8ADD8" w14:textId="77777777" w:rsidR="00B832DF" w:rsidRPr="000754DA" w:rsidRDefault="00B832DF" w:rsidP="00B832DF">
            <w:pPr>
              <w:spacing w:after="0"/>
              <w:jc w:val="center"/>
              <w:rPr>
                <w:rFonts w:ascii="Aptos Narrow" w:eastAsia="Times New Roman" w:hAnsi="Aptos Narrow"/>
                <w:color w:val="000000"/>
                <w:lang w:val="en-US" w:eastAsia="zh-CN"/>
              </w:rPr>
            </w:pPr>
            <w:r w:rsidRPr="000754DA">
              <w:rPr>
                <w:rFonts w:ascii="Aptos Narrow" w:eastAsia="Times New Roman" w:hAnsi="Aptos Narrow"/>
                <w:color w:val="000000"/>
                <w:lang w:val="en-US" w:eastAsia="zh-CN"/>
              </w:rPr>
              <w:t>2</w:t>
            </w:r>
          </w:p>
        </w:tc>
        <w:tc>
          <w:tcPr>
            <w:tcW w:w="1530" w:type="dxa"/>
            <w:noWrap/>
            <w:hideMark/>
          </w:tcPr>
          <w:p w14:paraId="62C207DD" w14:textId="16C77DA7" w:rsidR="00B832DF" w:rsidRPr="000754DA" w:rsidRDefault="00B832DF" w:rsidP="00B832DF">
            <w:pPr>
              <w:spacing w:after="0"/>
              <w:jc w:val="center"/>
              <w:rPr>
                <w:rFonts w:ascii="Aptos Narrow" w:eastAsia="Times New Roman" w:hAnsi="Aptos Narrow"/>
                <w:color w:val="000000"/>
                <w:lang w:val="en-US" w:eastAsia="zh-CN"/>
              </w:rPr>
            </w:pPr>
            <w:r w:rsidRPr="000754DA">
              <w:rPr>
                <w:rFonts w:ascii="Aptos Narrow" w:eastAsia="Times New Roman" w:hAnsi="Aptos Narrow"/>
                <w:color w:val="000000"/>
                <w:lang w:val="en-US" w:eastAsia="zh-CN"/>
              </w:rPr>
              <w:t>512</w:t>
            </w:r>
            <w:r w:rsidRPr="00D92CB8">
              <w:rPr>
                <w:rFonts w:ascii="Aptos Narrow" w:eastAsia="Times New Roman" w:hAnsi="Aptos Narrow"/>
                <w:color w:val="000000"/>
                <w:lang w:val="en-US" w:eastAsia="zh-CN"/>
              </w:rPr>
              <w:t xml:space="preserve"> (2x)</w:t>
            </w:r>
          </w:p>
        </w:tc>
        <w:tc>
          <w:tcPr>
            <w:tcW w:w="1260" w:type="dxa"/>
            <w:noWrap/>
            <w:vAlign w:val="center"/>
            <w:hideMark/>
          </w:tcPr>
          <w:p w14:paraId="554458AD" w14:textId="77777777" w:rsidR="00B832DF" w:rsidRPr="000754DA" w:rsidRDefault="00B832DF" w:rsidP="00B832DF">
            <w:pPr>
              <w:spacing w:after="0"/>
              <w:jc w:val="center"/>
              <w:rPr>
                <w:rFonts w:ascii="Aptos Narrow" w:eastAsia="Times New Roman" w:hAnsi="Aptos Narrow"/>
                <w:color w:val="000000"/>
                <w:lang w:val="en-US" w:eastAsia="zh-CN"/>
              </w:rPr>
            </w:pPr>
            <w:r w:rsidRPr="000754DA">
              <w:rPr>
                <w:rFonts w:ascii="Aptos Narrow" w:eastAsia="Times New Roman" w:hAnsi="Aptos Narrow"/>
                <w:color w:val="000000"/>
                <w:lang w:val="en-US" w:eastAsia="zh-CN"/>
              </w:rPr>
              <w:t>23.84731</w:t>
            </w:r>
          </w:p>
        </w:tc>
      </w:tr>
      <w:tr w:rsidR="00D73656" w:rsidRPr="000754DA" w14:paraId="4950F045" w14:textId="77777777" w:rsidTr="00D73656">
        <w:trPr>
          <w:trHeight w:val="290"/>
        </w:trPr>
        <w:tc>
          <w:tcPr>
            <w:tcW w:w="960" w:type="dxa"/>
            <w:noWrap/>
            <w:vAlign w:val="bottom"/>
            <w:hideMark/>
          </w:tcPr>
          <w:p w14:paraId="40CAADB4" w14:textId="37EF4789" w:rsidR="00D73656" w:rsidRPr="000754DA" w:rsidRDefault="00514492" w:rsidP="000754DA">
            <w:pPr>
              <w:spacing w:after="0"/>
              <w:jc w:val="center"/>
              <w:rPr>
                <w:rFonts w:ascii="Aptos Narrow" w:eastAsia="Times New Roman" w:hAnsi="Aptos Narrow"/>
                <w:color w:val="000000"/>
                <w:lang w:val="en-US" w:eastAsia="zh-CN"/>
              </w:rPr>
            </w:pPr>
            <w:r>
              <w:rPr>
                <w:rFonts w:ascii="Aptos Narrow" w:eastAsia="Times New Roman" w:hAnsi="Aptos Narrow"/>
                <w:color w:val="000000"/>
                <w:lang w:val="en-US" w:eastAsia="zh-CN"/>
              </w:rPr>
              <w:t>PC4.5</w:t>
            </w:r>
          </w:p>
        </w:tc>
        <w:tc>
          <w:tcPr>
            <w:tcW w:w="960" w:type="dxa"/>
            <w:noWrap/>
            <w:vAlign w:val="center"/>
            <w:hideMark/>
          </w:tcPr>
          <w:p w14:paraId="3A769873" w14:textId="77777777" w:rsidR="00D73656" w:rsidRPr="000754DA" w:rsidRDefault="00D73656" w:rsidP="000754DA">
            <w:pPr>
              <w:spacing w:after="0"/>
              <w:jc w:val="center"/>
              <w:rPr>
                <w:rFonts w:ascii="Aptos Narrow" w:eastAsia="Times New Roman" w:hAnsi="Aptos Narrow"/>
                <w:color w:val="000000"/>
                <w:lang w:val="en-US" w:eastAsia="zh-CN"/>
              </w:rPr>
            </w:pPr>
            <w:r w:rsidRPr="000754DA">
              <w:rPr>
                <w:rFonts w:ascii="Aptos Narrow" w:eastAsia="Times New Roman" w:hAnsi="Aptos Narrow"/>
                <w:color w:val="000000"/>
                <w:lang w:val="en-US" w:eastAsia="zh-CN"/>
              </w:rPr>
              <w:t>128</w:t>
            </w:r>
          </w:p>
        </w:tc>
        <w:tc>
          <w:tcPr>
            <w:tcW w:w="960" w:type="dxa"/>
            <w:noWrap/>
            <w:vAlign w:val="center"/>
            <w:hideMark/>
          </w:tcPr>
          <w:p w14:paraId="72C3473F" w14:textId="77777777" w:rsidR="00D73656" w:rsidRPr="000754DA" w:rsidRDefault="00D73656" w:rsidP="000754DA">
            <w:pPr>
              <w:spacing w:after="0"/>
              <w:jc w:val="center"/>
              <w:rPr>
                <w:rFonts w:ascii="Aptos Narrow" w:eastAsia="Times New Roman" w:hAnsi="Aptos Narrow"/>
                <w:color w:val="000000"/>
                <w:lang w:val="en-US" w:eastAsia="zh-CN"/>
              </w:rPr>
            </w:pPr>
            <w:r w:rsidRPr="000754DA">
              <w:rPr>
                <w:rFonts w:ascii="Aptos Narrow" w:eastAsia="Times New Roman" w:hAnsi="Aptos Narrow"/>
                <w:color w:val="000000"/>
                <w:lang w:val="en-US" w:eastAsia="zh-CN"/>
              </w:rPr>
              <w:t>64</w:t>
            </w:r>
          </w:p>
        </w:tc>
        <w:tc>
          <w:tcPr>
            <w:tcW w:w="960" w:type="dxa"/>
            <w:noWrap/>
            <w:vAlign w:val="center"/>
            <w:hideMark/>
          </w:tcPr>
          <w:p w14:paraId="48912310" w14:textId="77777777" w:rsidR="00D73656" w:rsidRPr="000754DA" w:rsidRDefault="00D73656" w:rsidP="000754DA">
            <w:pPr>
              <w:spacing w:after="0"/>
              <w:jc w:val="center"/>
              <w:rPr>
                <w:rFonts w:ascii="Aptos Narrow" w:eastAsia="Times New Roman" w:hAnsi="Aptos Narrow"/>
                <w:color w:val="000000"/>
                <w:lang w:val="en-US" w:eastAsia="zh-CN"/>
              </w:rPr>
            </w:pPr>
            <w:r w:rsidRPr="000754DA">
              <w:rPr>
                <w:rFonts w:ascii="Aptos Narrow" w:eastAsia="Times New Roman" w:hAnsi="Aptos Narrow"/>
                <w:color w:val="000000"/>
                <w:lang w:val="en-US" w:eastAsia="zh-CN"/>
              </w:rPr>
              <w:t>64</w:t>
            </w:r>
          </w:p>
        </w:tc>
        <w:tc>
          <w:tcPr>
            <w:tcW w:w="960" w:type="dxa"/>
            <w:noWrap/>
            <w:vAlign w:val="center"/>
            <w:hideMark/>
          </w:tcPr>
          <w:p w14:paraId="02FAFB4D" w14:textId="77777777" w:rsidR="00D73656" w:rsidRPr="000754DA" w:rsidRDefault="00D73656" w:rsidP="000754DA">
            <w:pPr>
              <w:spacing w:after="0"/>
              <w:jc w:val="center"/>
              <w:rPr>
                <w:rFonts w:ascii="Aptos Narrow" w:eastAsia="Times New Roman" w:hAnsi="Aptos Narrow"/>
                <w:color w:val="000000"/>
                <w:lang w:val="en-US" w:eastAsia="zh-CN"/>
              </w:rPr>
            </w:pPr>
            <w:r w:rsidRPr="000754DA">
              <w:rPr>
                <w:rFonts w:ascii="Aptos Narrow" w:eastAsia="Times New Roman" w:hAnsi="Aptos Narrow"/>
                <w:color w:val="000000"/>
                <w:lang w:val="en-US" w:eastAsia="zh-CN"/>
              </w:rPr>
              <w:t>32</w:t>
            </w:r>
          </w:p>
        </w:tc>
        <w:tc>
          <w:tcPr>
            <w:tcW w:w="960" w:type="dxa"/>
          </w:tcPr>
          <w:p w14:paraId="7A4565D7" w14:textId="24D6514A" w:rsidR="00D73656" w:rsidRPr="000754DA" w:rsidRDefault="00D73656" w:rsidP="000754DA">
            <w:pPr>
              <w:spacing w:after="0"/>
              <w:jc w:val="center"/>
              <w:rPr>
                <w:rFonts w:ascii="Aptos Narrow" w:eastAsia="Times New Roman" w:hAnsi="Aptos Narrow"/>
                <w:color w:val="000000"/>
                <w:lang w:val="en-US" w:eastAsia="zh-CN"/>
              </w:rPr>
            </w:pPr>
            <w:r w:rsidRPr="002B1508">
              <w:rPr>
                <w:rFonts w:ascii="Aptos Narrow" w:eastAsia="Times New Roman" w:hAnsi="Aptos Narrow"/>
                <w:color w:val="000000"/>
                <w:lang w:val="en-US" w:eastAsia="zh-CN"/>
              </w:rPr>
              <w:t>SQ</w:t>
            </w:r>
          </w:p>
        </w:tc>
        <w:tc>
          <w:tcPr>
            <w:tcW w:w="805" w:type="dxa"/>
            <w:noWrap/>
            <w:vAlign w:val="center"/>
            <w:hideMark/>
          </w:tcPr>
          <w:p w14:paraId="73A02637" w14:textId="77777777" w:rsidR="00D73656" w:rsidRPr="000754DA" w:rsidRDefault="00D73656" w:rsidP="000754DA">
            <w:pPr>
              <w:spacing w:after="0"/>
              <w:jc w:val="center"/>
              <w:rPr>
                <w:rFonts w:ascii="Aptos Narrow" w:eastAsia="Times New Roman" w:hAnsi="Aptos Narrow"/>
                <w:color w:val="000000"/>
                <w:lang w:val="en-US" w:eastAsia="zh-CN"/>
              </w:rPr>
            </w:pPr>
            <w:r w:rsidRPr="000754DA">
              <w:rPr>
                <w:rFonts w:ascii="Aptos Narrow" w:eastAsia="Times New Roman" w:hAnsi="Aptos Narrow"/>
                <w:color w:val="000000"/>
                <w:lang w:val="en-US" w:eastAsia="zh-CN"/>
              </w:rPr>
              <w:t>2</w:t>
            </w:r>
          </w:p>
        </w:tc>
        <w:tc>
          <w:tcPr>
            <w:tcW w:w="1530" w:type="dxa"/>
            <w:noWrap/>
            <w:vAlign w:val="center"/>
            <w:hideMark/>
          </w:tcPr>
          <w:p w14:paraId="61E7086F" w14:textId="550249A3" w:rsidR="00D73656" w:rsidRPr="000754DA" w:rsidRDefault="00D73656" w:rsidP="000754DA">
            <w:pPr>
              <w:spacing w:after="0"/>
              <w:jc w:val="center"/>
              <w:rPr>
                <w:rFonts w:ascii="Aptos Narrow" w:eastAsia="Times New Roman" w:hAnsi="Aptos Narrow"/>
                <w:color w:val="000000"/>
                <w:lang w:val="en-US" w:eastAsia="zh-CN"/>
              </w:rPr>
            </w:pPr>
            <w:r w:rsidRPr="000754DA">
              <w:rPr>
                <w:rFonts w:ascii="Aptos Narrow" w:eastAsia="Times New Roman" w:hAnsi="Aptos Narrow"/>
                <w:color w:val="000000"/>
                <w:lang w:val="en-US" w:eastAsia="zh-CN"/>
              </w:rPr>
              <w:t>576</w:t>
            </w:r>
            <w:r w:rsidR="00B832DF">
              <w:rPr>
                <w:rFonts w:ascii="Aptos Narrow" w:eastAsia="Times New Roman" w:hAnsi="Aptos Narrow"/>
                <w:color w:val="000000"/>
                <w:lang w:val="en-US" w:eastAsia="zh-CN"/>
              </w:rPr>
              <w:t xml:space="preserve"> (2.25x)</w:t>
            </w:r>
          </w:p>
        </w:tc>
        <w:tc>
          <w:tcPr>
            <w:tcW w:w="1260" w:type="dxa"/>
            <w:noWrap/>
            <w:vAlign w:val="center"/>
            <w:hideMark/>
          </w:tcPr>
          <w:p w14:paraId="408F021D" w14:textId="77777777" w:rsidR="00D73656" w:rsidRPr="000754DA" w:rsidRDefault="00D73656" w:rsidP="000754DA">
            <w:pPr>
              <w:spacing w:after="0"/>
              <w:jc w:val="center"/>
              <w:rPr>
                <w:rFonts w:ascii="Aptos Narrow" w:eastAsia="Times New Roman" w:hAnsi="Aptos Narrow"/>
                <w:color w:val="000000"/>
                <w:lang w:val="en-US" w:eastAsia="zh-CN"/>
              </w:rPr>
            </w:pPr>
            <w:r w:rsidRPr="000754DA">
              <w:rPr>
                <w:rFonts w:ascii="Aptos Narrow" w:eastAsia="Times New Roman" w:hAnsi="Aptos Narrow"/>
                <w:color w:val="000000"/>
                <w:lang w:val="en-US" w:eastAsia="zh-CN"/>
              </w:rPr>
              <w:t>24.10208</w:t>
            </w:r>
          </w:p>
        </w:tc>
      </w:tr>
      <w:tr w:rsidR="00D73656" w:rsidRPr="000754DA" w14:paraId="7DC861E0" w14:textId="77777777" w:rsidTr="00D73656">
        <w:trPr>
          <w:trHeight w:val="290"/>
        </w:trPr>
        <w:tc>
          <w:tcPr>
            <w:tcW w:w="960" w:type="dxa"/>
            <w:noWrap/>
            <w:vAlign w:val="bottom"/>
            <w:hideMark/>
          </w:tcPr>
          <w:p w14:paraId="411E69D2" w14:textId="60B0799D" w:rsidR="00D73656" w:rsidRPr="000754DA" w:rsidRDefault="00B832DF" w:rsidP="000754DA">
            <w:pPr>
              <w:spacing w:after="0"/>
              <w:jc w:val="center"/>
              <w:rPr>
                <w:rFonts w:ascii="Aptos Narrow" w:eastAsia="Times New Roman" w:hAnsi="Aptos Narrow"/>
                <w:color w:val="000000"/>
                <w:lang w:val="en-US" w:eastAsia="zh-CN"/>
              </w:rPr>
            </w:pPr>
            <w:r>
              <w:rPr>
                <w:rFonts w:ascii="Aptos Narrow" w:eastAsia="Times New Roman" w:hAnsi="Aptos Narrow"/>
                <w:color w:val="000000"/>
                <w:lang w:val="en-US" w:eastAsia="zh-CN"/>
              </w:rPr>
              <w:t>PC4.6</w:t>
            </w:r>
          </w:p>
        </w:tc>
        <w:tc>
          <w:tcPr>
            <w:tcW w:w="960" w:type="dxa"/>
            <w:noWrap/>
            <w:vAlign w:val="center"/>
            <w:hideMark/>
          </w:tcPr>
          <w:p w14:paraId="46CE8690" w14:textId="77777777" w:rsidR="00D73656" w:rsidRPr="000754DA" w:rsidRDefault="00D73656" w:rsidP="000754DA">
            <w:pPr>
              <w:spacing w:after="0"/>
              <w:jc w:val="center"/>
              <w:rPr>
                <w:rFonts w:ascii="Aptos Narrow" w:eastAsia="Times New Roman" w:hAnsi="Aptos Narrow"/>
                <w:color w:val="000000"/>
                <w:lang w:val="en-US" w:eastAsia="zh-CN"/>
              </w:rPr>
            </w:pPr>
            <w:r w:rsidRPr="000754DA">
              <w:rPr>
                <w:rFonts w:ascii="Aptos Narrow" w:eastAsia="Times New Roman" w:hAnsi="Aptos Narrow"/>
                <w:color w:val="000000"/>
                <w:lang w:val="en-US" w:eastAsia="zh-CN"/>
              </w:rPr>
              <w:t>32</w:t>
            </w:r>
          </w:p>
        </w:tc>
        <w:tc>
          <w:tcPr>
            <w:tcW w:w="960" w:type="dxa"/>
            <w:noWrap/>
            <w:vAlign w:val="center"/>
            <w:hideMark/>
          </w:tcPr>
          <w:p w14:paraId="7C0D2404" w14:textId="77777777" w:rsidR="00D73656" w:rsidRPr="000754DA" w:rsidRDefault="00D73656" w:rsidP="000754DA">
            <w:pPr>
              <w:spacing w:after="0"/>
              <w:jc w:val="center"/>
              <w:rPr>
                <w:rFonts w:ascii="Aptos Narrow" w:eastAsia="Times New Roman" w:hAnsi="Aptos Narrow"/>
                <w:color w:val="000000"/>
                <w:lang w:val="en-US" w:eastAsia="zh-CN"/>
              </w:rPr>
            </w:pPr>
            <w:r w:rsidRPr="000754DA">
              <w:rPr>
                <w:rFonts w:ascii="Aptos Narrow" w:eastAsia="Times New Roman" w:hAnsi="Aptos Narrow"/>
                <w:color w:val="000000"/>
                <w:lang w:val="en-US" w:eastAsia="zh-CN"/>
              </w:rPr>
              <w:t>64</w:t>
            </w:r>
          </w:p>
        </w:tc>
        <w:tc>
          <w:tcPr>
            <w:tcW w:w="960" w:type="dxa"/>
            <w:noWrap/>
            <w:vAlign w:val="center"/>
            <w:hideMark/>
          </w:tcPr>
          <w:p w14:paraId="1F2BA843" w14:textId="77777777" w:rsidR="00D73656" w:rsidRPr="000754DA" w:rsidRDefault="00D73656" w:rsidP="000754DA">
            <w:pPr>
              <w:spacing w:after="0"/>
              <w:jc w:val="center"/>
              <w:rPr>
                <w:rFonts w:ascii="Aptos Narrow" w:eastAsia="Times New Roman" w:hAnsi="Aptos Narrow"/>
                <w:color w:val="000000"/>
                <w:lang w:val="en-US" w:eastAsia="zh-CN"/>
              </w:rPr>
            </w:pPr>
            <w:r w:rsidRPr="000754DA">
              <w:rPr>
                <w:rFonts w:ascii="Aptos Narrow" w:eastAsia="Times New Roman" w:hAnsi="Aptos Narrow"/>
                <w:color w:val="000000"/>
                <w:lang w:val="en-US" w:eastAsia="zh-CN"/>
              </w:rPr>
              <w:t>64</w:t>
            </w:r>
          </w:p>
        </w:tc>
        <w:tc>
          <w:tcPr>
            <w:tcW w:w="960" w:type="dxa"/>
            <w:noWrap/>
            <w:vAlign w:val="center"/>
            <w:hideMark/>
          </w:tcPr>
          <w:p w14:paraId="68E2E116" w14:textId="77777777" w:rsidR="00D73656" w:rsidRPr="000754DA" w:rsidRDefault="00D73656" w:rsidP="000754DA">
            <w:pPr>
              <w:spacing w:after="0"/>
              <w:jc w:val="center"/>
              <w:rPr>
                <w:rFonts w:ascii="Aptos Narrow" w:eastAsia="Times New Roman" w:hAnsi="Aptos Narrow"/>
                <w:color w:val="000000"/>
                <w:lang w:val="en-US" w:eastAsia="zh-CN"/>
              </w:rPr>
            </w:pPr>
            <w:r w:rsidRPr="000754DA">
              <w:rPr>
                <w:rFonts w:ascii="Aptos Narrow" w:eastAsia="Times New Roman" w:hAnsi="Aptos Narrow"/>
                <w:color w:val="000000"/>
                <w:lang w:val="en-US" w:eastAsia="zh-CN"/>
              </w:rPr>
              <w:t>128</w:t>
            </w:r>
          </w:p>
        </w:tc>
        <w:tc>
          <w:tcPr>
            <w:tcW w:w="960" w:type="dxa"/>
          </w:tcPr>
          <w:p w14:paraId="0A9D231E" w14:textId="4CF94751" w:rsidR="00D73656" w:rsidRPr="000754DA" w:rsidRDefault="00D73656" w:rsidP="000754DA">
            <w:pPr>
              <w:spacing w:after="0"/>
              <w:jc w:val="center"/>
              <w:rPr>
                <w:rFonts w:ascii="Aptos Narrow" w:eastAsia="Times New Roman" w:hAnsi="Aptos Narrow"/>
                <w:color w:val="000000"/>
                <w:lang w:val="en-US" w:eastAsia="zh-CN"/>
              </w:rPr>
            </w:pPr>
            <w:r w:rsidRPr="002B1508">
              <w:rPr>
                <w:rFonts w:ascii="Aptos Narrow" w:eastAsia="Times New Roman" w:hAnsi="Aptos Narrow"/>
                <w:color w:val="000000"/>
                <w:lang w:val="en-US" w:eastAsia="zh-CN"/>
              </w:rPr>
              <w:t>SQ</w:t>
            </w:r>
          </w:p>
        </w:tc>
        <w:tc>
          <w:tcPr>
            <w:tcW w:w="805" w:type="dxa"/>
            <w:noWrap/>
            <w:vAlign w:val="center"/>
            <w:hideMark/>
          </w:tcPr>
          <w:p w14:paraId="13FABB2D" w14:textId="77777777" w:rsidR="00D73656" w:rsidRPr="000754DA" w:rsidRDefault="00D73656" w:rsidP="000754DA">
            <w:pPr>
              <w:spacing w:after="0"/>
              <w:jc w:val="center"/>
              <w:rPr>
                <w:rFonts w:ascii="Aptos Narrow" w:eastAsia="Times New Roman" w:hAnsi="Aptos Narrow"/>
                <w:color w:val="000000"/>
                <w:lang w:val="en-US" w:eastAsia="zh-CN"/>
              </w:rPr>
            </w:pPr>
            <w:r w:rsidRPr="000754DA">
              <w:rPr>
                <w:rFonts w:ascii="Aptos Narrow" w:eastAsia="Times New Roman" w:hAnsi="Aptos Narrow"/>
                <w:color w:val="000000"/>
                <w:lang w:val="en-US" w:eastAsia="zh-CN"/>
              </w:rPr>
              <w:t>2</w:t>
            </w:r>
          </w:p>
        </w:tc>
        <w:tc>
          <w:tcPr>
            <w:tcW w:w="1530" w:type="dxa"/>
            <w:noWrap/>
            <w:vAlign w:val="center"/>
            <w:hideMark/>
          </w:tcPr>
          <w:p w14:paraId="14EB6A7E" w14:textId="3C66E24C" w:rsidR="00D73656" w:rsidRPr="000754DA" w:rsidRDefault="00D73656" w:rsidP="000754DA">
            <w:pPr>
              <w:spacing w:after="0"/>
              <w:jc w:val="center"/>
              <w:rPr>
                <w:rFonts w:ascii="Aptos Narrow" w:eastAsia="Times New Roman" w:hAnsi="Aptos Narrow"/>
                <w:color w:val="000000"/>
                <w:lang w:val="en-US" w:eastAsia="zh-CN"/>
              </w:rPr>
            </w:pPr>
            <w:r w:rsidRPr="000754DA">
              <w:rPr>
                <w:rFonts w:ascii="Aptos Narrow" w:eastAsia="Times New Roman" w:hAnsi="Aptos Narrow"/>
                <w:color w:val="000000"/>
                <w:lang w:val="en-US" w:eastAsia="zh-CN"/>
              </w:rPr>
              <w:t>576</w:t>
            </w:r>
            <w:r w:rsidR="00B832DF">
              <w:rPr>
                <w:rFonts w:ascii="Aptos Narrow" w:eastAsia="Times New Roman" w:hAnsi="Aptos Narrow"/>
                <w:color w:val="000000"/>
                <w:lang w:val="en-US" w:eastAsia="zh-CN"/>
              </w:rPr>
              <w:t xml:space="preserve"> (2.25x)</w:t>
            </w:r>
          </w:p>
        </w:tc>
        <w:tc>
          <w:tcPr>
            <w:tcW w:w="1260" w:type="dxa"/>
            <w:noWrap/>
            <w:vAlign w:val="center"/>
            <w:hideMark/>
          </w:tcPr>
          <w:p w14:paraId="7707B56F" w14:textId="77777777" w:rsidR="00D73656" w:rsidRPr="000754DA" w:rsidRDefault="00D73656" w:rsidP="000754DA">
            <w:pPr>
              <w:spacing w:after="0"/>
              <w:jc w:val="center"/>
              <w:rPr>
                <w:rFonts w:ascii="Aptos Narrow" w:eastAsia="Times New Roman" w:hAnsi="Aptos Narrow"/>
                <w:color w:val="000000"/>
                <w:lang w:val="en-US" w:eastAsia="zh-CN"/>
              </w:rPr>
            </w:pPr>
            <w:r w:rsidRPr="000754DA">
              <w:rPr>
                <w:rFonts w:ascii="Aptos Narrow" w:eastAsia="Times New Roman" w:hAnsi="Aptos Narrow"/>
                <w:color w:val="000000"/>
                <w:lang w:val="en-US" w:eastAsia="zh-CN"/>
              </w:rPr>
              <w:t>24.88191</w:t>
            </w:r>
          </w:p>
        </w:tc>
      </w:tr>
      <w:tr w:rsidR="00D73656" w:rsidRPr="000754DA" w14:paraId="547E735D" w14:textId="77777777" w:rsidTr="00514492">
        <w:trPr>
          <w:trHeight w:val="290"/>
        </w:trPr>
        <w:tc>
          <w:tcPr>
            <w:tcW w:w="960" w:type="dxa"/>
            <w:noWrap/>
            <w:vAlign w:val="bottom"/>
            <w:hideMark/>
          </w:tcPr>
          <w:p w14:paraId="0B5FC6A3" w14:textId="2F181FBA" w:rsidR="00D73656" w:rsidRPr="000754DA" w:rsidRDefault="00B832DF" w:rsidP="000754DA">
            <w:pPr>
              <w:spacing w:after="0"/>
              <w:jc w:val="center"/>
              <w:rPr>
                <w:rFonts w:ascii="Aptos Narrow" w:eastAsia="Times New Roman" w:hAnsi="Aptos Narrow"/>
                <w:color w:val="000000"/>
                <w:lang w:val="en-US" w:eastAsia="zh-CN"/>
              </w:rPr>
            </w:pPr>
            <w:r>
              <w:rPr>
                <w:rFonts w:ascii="Aptos Narrow" w:eastAsia="Times New Roman" w:hAnsi="Aptos Narrow"/>
                <w:color w:val="000000"/>
                <w:lang w:val="en-US" w:eastAsia="zh-CN"/>
              </w:rPr>
              <w:t>PC5.1</w:t>
            </w:r>
          </w:p>
        </w:tc>
        <w:tc>
          <w:tcPr>
            <w:tcW w:w="960" w:type="dxa"/>
            <w:noWrap/>
            <w:vAlign w:val="center"/>
            <w:hideMark/>
          </w:tcPr>
          <w:p w14:paraId="74542338" w14:textId="77777777" w:rsidR="00D73656" w:rsidRPr="000754DA" w:rsidRDefault="00D73656" w:rsidP="000754DA">
            <w:pPr>
              <w:spacing w:after="0"/>
              <w:jc w:val="center"/>
              <w:rPr>
                <w:rFonts w:ascii="Aptos Narrow" w:eastAsia="Times New Roman" w:hAnsi="Aptos Narrow"/>
                <w:color w:val="000000"/>
                <w:lang w:val="en-US" w:eastAsia="zh-CN"/>
              </w:rPr>
            </w:pPr>
            <w:r w:rsidRPr="000754DA">
              <w:rPr>
                <w:rFonts w:ascii="Aptos Narrow" w:eastAsia="Times New Roman" w:hAnsi="Aptos Narrow"/>
                <w:color w:val="000000"/>
                <w:lang w:val="en-US" w:eastAsia="zh-CN"/>
              </w:rPr>
              <w:t>96</w:t>
            </w:r>
          </w:p>
        </w:tc>
        <w:tc>
          <w:tcPr>
            <w:tcW w:w="960" w:type="dxa"/>
            <w:noWrap/>
            <w:vAlign w:val="center"/>
            <w:hideMark/>
          </w:tcPr>
          <w:p w14:paraId="5AD80A89" w14:textId="77777777" w:rsidR="00D73656" w:rsidRPr="000754DA" w:rsidRDefault="00D73656" w:rsidP="000754DA">
            <w:pPr>
              <w:spacing w:after="0"/>
              <w:jc w:val="center"/>
              <w:rPr>
                <w:rFonts w:ascii="Aptos Narrow" w:eastAsia="Times New Roman" w:hAnsi="Aptos Narrow"/>
                <w:color w:val="000000"/>
                <w:lang w:val="en-US" w:eastAsia="zh-CN"/>
              </w:rPr>
            </w:pPr>
            <w:r w:rsidRPr="000754DA">
              <w:rPr>
                <w:rFonts w:ascii="Aptos Narrow" w:eastAsia="Times New Roman" w:hAnsi="Aptos Narrow"/>
                <w:color w:val="000000"/>
                <w:lang w:val="en-US" w:eastAsia="zh-CN"/>
              </w:rPr>
              <w:t>96</w:t>
            </w:r>
          </w:p>
        </w:tc>
        <w:tc>
          <w:tcPr>
            <w:tcW w:w="960" w:type="dxa"/>
            <w:noWrap/>
            <w:vAlign w:val="center"/>
            <w:hideMark/>
          </w:tcPr>
          <w:p w14:paraId="2D1918E4" w14:textId="77777777" w:rsidR="00D73656" w:rsidRPr="000754DA" w:rsidRDefault="00D73656" w:rsidP="000754DA">
            <w:pPr>
              <w:spacing w:after="0"/>
              <w:jc w:val="center"/>
              <w:rPr>
                <w:rFonts w:ascii="Aptos Narrow" w:eastAsia="Times New Roman" w:hAnsi="Aptos Narrow"/>
                <w:color w:val="000000"/>
                <w:lang w:val="en-US" w:eastAsia="zh-CN"/>
              </w:rPr>
            </w:pPr>
            <w:r w:rsidRPr="000754DA">
              <w:rPr>
                <w:rFonts w:ascii="Aptos Narrow" w:eastAsia="Times New Roman" w:hAnsi="Aptos Narrow"/>
                <w:color w:val="000000"/>
                <w:lang w:val="en-US" w:eastAsia="zh-CN"/>
              </w:rPr>
              <w:t>96</w:t>
            </w:r>
          </w:p>
        </w:tc>
        <w:tc>
          <w:tcPr>
            <w:tcW w:w="960" w:type="dxa"/>
            <w:noWrap/>
            <w:vAlign w:val="center"/>
            <w:hideMark/>
          </w:tcPr>
          <w:p w14:paraId="36DCA49E" w14:textId="77777777" w:rsidR="00D73656" w:rsidRPr="000754DA" w:rsidRDefault="00D73656" w:rsidP="000754DA">
            <w:pPr>
              <w:spacing w:after="0"/>
              <w:jc w:val="center"/>
              <w:rPr>
                <w:rFonts w:ascii="Aptos Narrow" w:eastAsia="Times New Roman" w:hAnsi="Aptos Narrow"/>
                <w:color w:val="000000"/>
                <w:lang w:val="en-US" w:eastAsia="zh-CN"/>
              </w:rPr>
            </w:pPr>
            <w:r w:rsidRPr="000754DA">
              <w:rPr>
                <w:rFonts w:ascii="Aptos Narrow" w:eastAsia="Times New Roman" w:hAnsi="Aptos Narrow"/>
                <w:color w:val="000000"/>
                <w:lang w:val="en-US" w:eastAsia="zh-CN"/>
              </w:rPr>
              <w:t>96</w:t>
            </w:r>
          </w:p>
        </w:tc>
        <w:tc>
          <w:tcPr>
            <w:tcW w:w="960" w:type="dxa"/>
          </w:tcPr>
          <w:p w14:paraId="2C6CD4BF" w14:textId="1231DA8D" w:rsidR="00D73656" w:rsidRPr="000754DA" w:rsidRDefault="00D73656" w:rsidP="000754DA">
            <w:pPr>
              <w:spacing w:after="0"/>
              <w:jc w:val="center"/>
              <w:rPr>
                <w:rFonts w:ascii="Aptos Narrow" w:eastAsia="Times New Roman" w:hAnsi="Aptos Narrow"/>
                <w:color w:val="000000"/>
                <w:lang w:val="en-US" w:eastAsia="zh-CN"/>
              </w:rPr>
            </w:pPr>
            <w:r w:rsidRPr="002B1508">
              <w:rPr>
                <w:rFonts w:ascii="Aptos Narrow" w:eastAsia="Times New Roman" w:hAnsi="Aptos Narrow"/>
                <w:color w:val="000000"/>
                <w:lang w:val="en-US" w:eastAsia="zh-CN"/>
              </w:rPr>
              <w:t>SQ</w:t>
            </w:r>
          </w:p>
        </w:tc>
        <w:tc>
          <w:tcPr>
            <w:tcW w:w="805" w:type="dxa"/>
            <w:noWrap/>
            <w:vAlign w:val="center"/>
            <w:hideMark/>
          </w:tcPr>
          <w:p w14:paraId="34B9273C" w14:textId="77777777" w:rsidR="00D73656" w:rsidRPr="000754DA" w:rsidRDefault="00D73656" w:rsidP="000754DA">
            <w:pPr>
              <w:spacing w:after="0"/>
              <w:jc w:val="center"/>
              <w:rPr>
                <w:rFonts w:ascii="Aptos Narrow" w:eastAsia="Times New Roman" w:hAnsi="Aptos Narrow"/>
                <w:color w:val="000000"/>
                <w:lang w:val="en-US" w:eastAsia="zh-CN"/>
              </w:rPr>
            </w:pPr>
            <w:r w:rsidRPr="000754DA">
              <w:rPr>
                <w:rFonts w:ascii="Aptos Narrow" w:eastAsia="Times New Roman" w:hAnsi="Aptos Narrow"/>
                <w:color w:val="000000"/>
                <w:lang w:val="en-US" w:eastAsia="zh-CN"/>
              </w:rPr>
              <w:t>2</w:t>
            </w:r>
          </w:p>
        </w:tc>
        <w:tc>
          <w:tcPr>
            <w:tcW w:w="1530" w:type="dxa"/>
            <w:noWrap/>
            <w:vAlign w:val="center"/>
            <w:hideMark/>
          </w:tcPr>
          <w:p w14:paraId="3E22F1DA" w14:textId="5D5278E9" w:rsidR="00D73656" w:rsidRPr="000754DA" w:rsidRDefault="00D73656" w:rsidP="000754DA">
            <w:pPr>
              <w:spacing w:after="0"/>
              <w:jc w:val="center"/>
              <w:rPr>
                <w:rFonts w:ascii="Aptos Narrow" w:eastAsia="Times New Roman" w:hAnsi="Aptos Narrow"/>
                <w:color w:val="000000"/>
                <w:lang w:val="en-US" w:eastAsia="zh-CN"/>
              </w:rPr>
            </w:pPr>
            <w:r w:rsidRPr="000754DA">
              <w:rPr>
                <w:rFonts w:ascii="Aptos Narrow" w:eastAsia="Times New Roman" w:hAnsi="Aptos Narrow"/>
                <w:color w:val="000000"/>
                <w:lang w:val="en-US" w:eastAsia="zh-CN"/>
              </w:rPr>
              <w:t>768</w:t>
            </w:r>
            <w:r w:rsidR="00B832DF">
              <w:rPr>
                <w:rFonts w:ascii="Aptos Narrow" w:eastAsia="Times New Roman" w:hAnsi="Aptos Narrow"/>
                <w:color w:val="000000"/>
                <w:lang w:val="en-US" w:eastAsia="zh-CN"/>
              </w:rPr>
              <w:t xml:space="preserve"> (2x)</w:t>
            </w:r>
          </w:p>
        </w:tc>
        <w:tc>
          <w:tcPr>
            <w:tcW w:w="1260" w:type="dxa"/>
            <w:noWrap/>
            <w:vAlign w:val="center"/>
            <w:hideMark/>
          </w:tcPr>
          <w:p w14:paraId="21444E59" w14:textId="77777777" w:rsidR="00D73656" w:rsidRPr="000754DA" w:rsidRDefault="00D73656" w:rsidP="000754DA">
            <w:pPr>
              <w:spacing w:after="0"/>
              <w:jc w:val="center"/>
              <w:rPr>
                <w:rFonts w:ascii="Aptos Narrow" w:eastAsia="Times New Roman" w:hAnsi="Aptos Narrow"/>
                <w:color w:val="000000"/>
                <w:lang w:val="en-US" w:eastAsia="zh-CN"/>
              </w:rPr>
            </w:pPr>
            <w:r w:rsidRPr="000754DA">
              <w:rPr>
                <w:rFonts w:ascii="Aptos Narrow" w:eastAsia="Times New Roman" w:hAnsi="Aptos Narrow"/>
                <w:color w:val="000000"/>
                <w:lang w:val="en-US" w:eastAsia="zh-CN"/>
              </w:rPr>
              <w:t>25.0428</w:t>
            </w:r>
          </w:p>
        </w:tc>
      </w:tr>
      <w:tr w:rsidR="00B832DF" w:rsidRPr="000754DA" w14:paraId="41C0EE00" w14:textId="77777777" w:rsidTr="008F0499">
        <w:trPr>
          <w:trHeight w:val="290"/>
        </w:trPr>
        <w:tc>
          <w:tcPr>
            <w:tcW w:w="960" w:type="dxa"/>
            <w:noWrap/>
            <w:vAlign w:val="bottom"/>
            <w:hideMark/>
          </w:tcPr>
          <w:p w14:paraId="121C981F" w14:textId="7E3160E9" w:rsidR="00B832DF" w:rsidRPr="000754DA" w:rsidRDefault="00B832DF" w:rsidP="00B832DF">
            <w:pPr>
              <w:spacing w:after="0"/>
              <w:jc w:val="center"/>
              <w:rPr>
                <w:rFonts w:ascii="Aptos Narrow" w:eastAsia="Times New Roman" w:hAnsi="Aptos Narrow"/>
                <w:color w:val="000000"/>
                <w:lang w:val="en-US" w:eastAsia="zh-CN"/>
              </w:rPr>
            </w:pPr>
            <w:r>
              <w:rPr>
                <w:rFonts w:ascii="Aptos Narrow" w:eastAsia="Times New Roman" w:hAnsi="Aptos Narrow"/>
                <w:color w:val="000000"/>
                <w:lang w:val="en-US" w:eastAsia="zh-CN"/>
              </w:rPr>
              <w:t>PC5.2</w:t>
            </w:r>
          </w:p>
        </w:tc>
        <w:tc>
          <w:tcPr>
            <w:tcW w:w="960" w:type="dxa"/>
            <w:noWrap/>
            <w:vAlign w:val="center"/>
            <w:hideMark/>
          </w:tcPr>
          <w:p w14:paraId="6E048EDD" w14:textId="77777777" w:rsidR="00B832DF" w:rsidRPr="000754DA" w:rsidRDefault="00B832DF" w:rsidP="00B832DF">
            <w:pPr>
              <w:spacing w:after="0"/>
              <w:jc w:val="center"/>
              <w:rPr>
                <w:rFonts w:ascii="Aptos Narrow" w:eastAsia="Times New Roman" w:hAnsi="Aptos Narrow"/>
                <w:color w:val="000000"/>
                <w:lang w:val="en-US" w:eastAsia="zh-CN"/>
              </w:rPr>
            </w:pPr>
            <w:r w:rsidRPr="000754DA">
              <w:rPr>
                <w:rFonts w:ascii="Aptos Narrow" w:eastAsia="Times New Roman" w:hAnsi="Aptos Narrow"/>
                <w:color w:val="000000"/>
                <w:lang w:val="en-US" w:eastAsia="zh-CN"/>
              </w:rPr>
              <w:t>128</w:t>
            </w:r>
          </w:p>
        </w:tc>
        <w:tc>
          <w:tcPr>
            <w:tcW w:w="960" w:type="dxa"/>
            <w:noWrap/>
            <w:vAlign w:val="center"/>
            <w:hideMark/>
          </w:tcPr>
          <w:p w14:paraId="3FE99791" w14:textId="77777777" w:rsidR="00B832DF" w:rsidRPr="000754DA" w:rsidRDefault="00B832DF" w:rsidP="00B832DF">
            <w:pPr>
              <w:spacing w:after="0"/>
              <w:jc w:val="center"/>
              <w:rPr>
                <w:rFonts w:ascii="Aptos Narrow" w:eastAsia="Times New Roman" w:hAnsi="Aptos Narrow"/>
                <w:color w:val="000000"/>
                <w:lang w:val="en-US" w:eastAsia="zh-CN"/>
              </w:rPr>
            </w:pPr>
            <w:r w:rsidRPr="000754DA">
              <w:rPr>
                <w:rFonts w:ascii="Aptos Narrow" w:eastAsia="Times New Roman" w:hAnsi="Aptos Narrow"/>
                <w:color w:val="000000"/>
                <w:lang w:val="en-US" w:eastAsia="zh-CN"/>
              </w:rPr>
              <w:t>128</w:t>
            </w:r>
          </w:p>
        </w:tc>
        <w:tc>
          <w:tcPr>
            <w:tcW w:w="960" w:type="dxa"/>
            <w:noWrap/>
            <w:vAlign w:val="center"/>
            <w:hideMark/>
          </w:tcPr>
          <w:p w14:paraId="7F686313" w14:textId="77777777" w:rsidR="00B832DF" w:rsidRPr="000754DA" w:rsidRDefault="00B832DF" w:rsidP="00B832DF">
            <w:pPr>
              <w:spacing w:after="0"/>
              <w:jc w:val="center"/>
              <w:rPr>
                <w:rFonts w:ascii="Aptos Narrow" w:eastAsia="Times New Roman" w:hAnsi="Aptos Narrow"/>
                <w:color w:val="000000"/>
                <w:lang w:val="en-US" w:eastAsia="zh-CN"/>
              </w:rPr>
            </w:pPr>
            <w:r w:rsidRPr="000754DA">
              <w:rPr>
                <w:rFonts w:ascii="Aptos Narrow" w:eastAsia="Times New Roman" w:hAnsi="Aptos Narrow"/>
                <w:color w:val="000000"/>
                <w:lang w:val="en-US" w:eastAsia="zh-CN"/>
              </w:rPr>
              <w:t>64</w:t>
            </w:r>
          </w:p>
        </w:tc>
        <w:tc>
          <w:tcPr>
            <w:tcW w:w="960" w:type="dxa"/>
            <w:noWrap/>
            <w:vAlign w:val="center"/>
            <w:hideMark/>
          </w:tcPr>
          <w:p w14:paraId="62ADC217" w14:textId="77777777" w:rsidR="00B832DF" w:rsidRPr="000754DA" w:rsidRDefault="00B832DF" w:rsidP="00B832DF">
            <w:pPr>
              <w:spacing w:after="0"/>
              <w:jc w:val="center"/>
              <w:rPr>
                <w:rFonts w:ascii="Aptos Narrow" w:eastAsia="Times New Roman" w:hAnsi="Aptos Narrow"/>
                <w:color w:val="000000"/>
                <w:lang w:val="en-US" w:eastAsia="zh-CN"/>
              </w:rPr>
            </w:pPr>
            <w:r w:rsidRPr="000754DA">
              <w:rPr>
                <w:rFonts w:ascii="Aptos Narrow" w:eastAsia="Times New Roman" w:hAnsi="Aptos Narrow"/>
                <w:color w:val="000000"/>
                <w:lang w:val="en-US" w:eastAsia="zh-CN"/>
              </w:rPr>
              <w:t>64</w:t>
            </w:r>
          </w:p>
        </w:tc>
        <w:tc>
          <w:tcPr>
            <w:tcW w:w="960" w:type="dxa"/>
          </w:tcPr>
          <w:p w14:paraId="693F2D7E" w14:textId="1D9A0AD2" w:rsidR="00B832DF" w:rsidRPr="000754DA" w:rsidRDefault="00B832DF" w:rsidP="00B832DF">
            <w:pPr>
              <w:spacing w:after="0"/>
              <w:jc w:val="center"/>
              <w:rPr>
                <w:rFonts w:ascii="Aptos Narrow" w:eastAsia="Times New Roman" w:hAnsi="Aptos Narrow"/>
                <w:color w:val="000000"/>
                <w:lang w:val="en-US" w:eastAsia="zh-CN"/>
              </w:rPr>
            </w:pPr>
            <w:r w:rsidRPr="002B1508">
              <w:rPr>
                <w:rFonts w:ascii="Aptos Narrow" w:eastAsia="Times New Roman" w:hAnsi="Aptos Narrow"/>
                <w:color w:val="000000"/>
                <w:lang w:val="en-US" w:eastAsia="zh-CN"/>
              </w:rPr>
              <w:t>SQ</w:t>
            </w:r>
          </w:p>
        </w:tc>
        <w:tc>
          <w:tcPr>
            <w:tcW w:w="805" w:type="dxa"/>
            <w:noWrap/>
            <w:vAlign w:val="center"/>
            <w:hideMark/>
          </w:tcPr>
          <w:p w14:paraId="60A68784" w14:textId="77777777" w:rsidR="00B832DF" w:rsidRPr="000754DA" w:rsidRDefault="00B832DF" w:rsidP="00B832DF">
            <w:pPr>
              <w:spacing w:after="0"/>
              <w:jc w:val="center"/>
              <w:rPr>
                <w:rFonts w:ascii="Aptos Narrow" w:eastAsia="Times New Roman" w:hAnsi="Aptos Narrow"/>
                <w:color w:val="000000"/>
                <w:lang w:val="en-US" w:eastAsia="zh-CN"/>
              </w:rPr>
            </w:pPr>
            <w:r w:rsidRPr="000754DA">
              <w:rPr>
                <w:rFonts w:ascii="Aptos Narrow" w:eastAsia="Times New Roman" w:hAnsi="Aptos Narrow"/>
                <w:color w:val="000000"/>
                <w:lang w:val="en-US" w:eastAsia="zh-CN"/>
              </w:rPr>
              <w:t>2</w:t>
            </w:r>
          </w:p>
        </w:tc>
        <w:tc>
          <w:tcPr>
            <w:tcW w:w="1530" w:type="dxa"/>
            <w:noWrap/>
            <w:hideMark/>
          </w:tcPr>
          <w:p w14:paraId="6FA9CE35" w14:textId="7D5F1D41" w:rsidR="00B832DF" w:rsidRPr="000754DA" w:rsidRDefault="00B832DF" w:rsidP="00B832DF">
            <w:pPr>
              <w:spacing w:after="0"/>
              <w:jc w:val="center"/>
              <w:rPr>
                <w:rFonts w:ascii="Aptos Narrow" w:eastAsia="Times New Roman" w:hAnsi="Aptos Narrow"/>
                <w:color w:val="000000"/>
                <w:lang w:val="en-US" w:eastAsia="zh-CN"/>
              </w:rPr>
            </w:pPr>
            <w:r w:rsidRPr="000754DA">
              <w:rPr>
                <w:rFonts w:ascii="Aptos Narrow" w:eastAsia="Times New Roman" w:hAnsi="Aptos Narrow"/>
                <w:color w:val="000000"/>
                <w:lang w:val="en-US" w:eastAsia="zh-CN"/>
              </w:rPr>
              <w:t>768</w:t>
            </w:r>
            <w:r w:rsidRPr="001A6419">
              <w:rPr>
                <w:rFonts w:ascii="Aptos Narrow" w:eastAsia="Times New Roman" w:hAnsi="Aptos Narrow"/>
                <w:color w:val="000000"/>
                <w:lang w:val="en-US" w:eastAsia="zh-CN"/>
              </w:rPr>
              <w:t xml:space="preserve"> (2x)</w:t>
            </w:r>
          </w:p>
        </w:tc>
        <w:tc>
          <w:tcPr>
            <w:tcW w:w="1260" w:type="dxa"/>
            <w:noWrap/>
            <w:vAlign w:val="center"/>
            <w:hideMark/>
          </w:tcPr>
          <w:p w14:paraId="47C0927F" w14:textId="77777777" w:rsidR="00B832DF" w:rsidRPr="000754DA" w:rsidRDefault="00B832DF" w:rsidP="00B832DF">
            <w:pPr>
              <w:spacing w:after="0"/>
              <w:jc w:val="center"/>
              <w:rPr>
                <w:rFonts w:ascii="Aptos Narrow" w:eastAsia="Times New Roman" w:hAnsi="Aptos Narrow"/>
                <w:color w:val="000000"/>
                <w:lang w:val="en-US" w:eastAsia="zh-CN"/>
              </w:rPr>
            </w:pPr>
            <w:r w:rsidRPr="000754DA">
              <w:rPr>
                <w:rFonts w:ascii="Aptos Narrow" w:eastAsia="Times New Roman" w:hAnsi="Aptos Narrow"/>
                <w:color w:val="000000"/>
                <w:lang w:val="en-US" w:eastAsia="zh-CN"/>
              </w:rPr>
              <w:t>24.67709</w:t>
            </w:r>
          </w:p>
        </w:tc>
      </w:tr>
      <w:tr w:rsidR="00B832DF" w:rsidRPr="000754DA" w14:paraId="10069437" w14:textId="77777777" w:rsidTr="008F0499">
        <w:trPr>
          <w:trHeight w:val="290"/>
        </w:trPr>
        <w:tc>
          <w:tcPr>
            <w:tcW w:w="960" w:type="dxa"/>
            <w:noWrap/>
            <w:vAlign w:val="center"/>
            <w:hideMark/>
          </w:tcPr>
          <w:p w14:paraId="21774401" w14:textId="566B9D3E" w:rsidR="00B832DF" w:rsidRPr="000754DA" w:rsidRDefault="00B832DF" w:rsidP="00B832DF">
            <w:pPr>
              <w:spacing w:after="0"/>
              <w:jc w:val="center"/>
              <w:rPr>
                <w:rFonts w:ascii="Aptos Narrow" w:eastAsia="Times New Roman" w:hAnsi="Aptos Narrow"/>
                <w:color w:val="000000"/>
                <w:lang w:val="en-US" w:eastAsia="zh-CN"/>
              </w:rPr>
            </w:pPr>
            <w:r>
              <w:rPr>
                <w:rFonts w:ascii="Aptos Narrow" w:eastAsia="Times New Roman" w:hAnsi="Aptos Narrow"/>
                <w:color w:val="000000"/>
                <w:lang w:val="en-US" w:eastAsia="zh-CN"/>
              </w:rPr>
              <w:t>PC5.3</w:t>
            </w:r>
          </w:p>
        </w:tc>
        <w:tc>
          <w:tcPr>
            <w:tcW w:w="960" w:type="dxa"/>
            <w:noWrap/>
            <w:vAlign w:val="center"/>
            <w:hideMark/>
          </w:tcPr>
          <w:p w14:paraId="77789135" w14:textId="77777777" w:rsidR="00B832DF" w:rsidRPr="000754DA" w:rsidRDefault="00B832DF" w:rsidP="00B832DF">
            <w:pPr>
              <w:spacing w:after="0"/>
              <w:jc w:val="center"/>
              <w:rPr>
                <w:rFonts w:ascii="Aptos Narrow" w:eastAsia="Times New Roman" w:hAnsi="Aptos Narrow"/>
                <w:color w:val="000000"/>
                <w:lang w:val="en-US" w:eastAsia="zh-CN"/>
              </w:rPr>
            </w:pPr>
            <w:r w:rsidRPr="000754DA">
              <w:rPr>
                <w:rFonts w:ascii="Aptos Narrow" w:eastAsia="Times New Roman" w:hAnsi="Aptos Narrow"/>
                <w:color w:val="000000"/>
                <w:lang w:val="en-US" w:eastAsia="zh-CN"/>
              </w:rPr>
              <w:t>64</w:t>
            </w:r>
          </w:p>
        </w:tc>
        <w:tc>
          <w:tcPr>
            <w:tcW w:w="960" w:type="dxa"/>
            <w:noWrap/>
            <w:vAlign w:val="center"/>
            <w:hideMark/>
          </w:tcPr>
          <w:p w14:paraId="67679CF5" w14:textId="77777777" w:rsidR="00B832DF" w:rsidRPr="000754DA" w:rsidRDefault="00B832DF" w:rsidP="00B832DF">
            <w:pPr>
              <w:spacing w:after="0"/>
              <w:jc w:val="center"/>
              <w:rPr>
                <w:rFonts w:ascii="Aptos Narrow" w:eastAsia="Times New Roman" w:hAnsi="Aptos Narrow"/>
                <w:color w:val="000000"/>
                <w:lang w:val="en-US" w:eastAsia="zh-CN"/>
              </w:rPr>
            </w:pPr>
            <w:r w:rsidRPr="000754DA">
              <w:rPr>
                <w:rFonts w:ascii="Aptos Narrow" w:eastAsia="Times New Roman" w:hAnsi="Aptos Narrow"/>
                <w:color w:val="000000"/>
                <w:lang w:val="en-US" w:eastAsia="zh-CN"/>
              </w:rPr>
              <w:t>64</w:t>
            </w:r>
          </w:p>
        </w:tc>
        <w:tc>
          <w:tcPr>
            <w:tcW w:w="960" w:type="dxa"/>
            <w:noWrap/>
            <w:vAlign w:val="center"/>
            <w:hideMark/>
          </w:tcPr>
          <w:p w14:paraId="0CFD42D7" w14:textId="77777777" w:rsidR="00B832DF" w:rsidRPr="000754DA" w:rsidRDefault="00B832DF" w:rsidP="00B832DF">
            <w:pPr>
              <w:spacing w:after="0"/>
              <w:jc w:val="center"/>
              <w:rPr>
                <w:rFonts w:ascii="Aptos Narrow" w:eastAsia="Times New Roman" w:hAnsi="Aptos Narrow"/>
                <w:color w:val="000000"/>
                <w:lang w:val="en-US" w:eastAsia="zh-CN"/>
              </w:rPr>
            </w:pPr>
            <w:r w:rsidRPr="000754DA">
              <w:rPr>
                <w:rFonts w:ascii="Aptos Narrow" w:eastAsia="Times New Roman" w:hAnsi="Aptos Narrow"/>
                <w:color w:val="000000"/>
                <w:lang w:val="en-US" w:eastAsia="zh-CN"/>
              </w:rPr>
              <w:t>128</w:t>
            </w:r>
          </w:p>
        </w:tc>
        <w:tc>
          <w:tcPr>
            <w:tcW w:w="960" w:type="dxa"/>
            <w:noWrap/>
            <w:vAlign w:val="center"/>
            <w:hideMark/>
          </w:tcPr>
          <w:p w14:paraId="6AF9F1CB" w14:textId="77777777" w:rsidR="00B832DF" w:rsidRPr="000754DA" w:rsidRDefault="00B832DF" w:rsidP="00B832DF">
            <w:pPr>
              <w:spacing w:after="0"/>
              <w:jc w:val="center"/>
              <w:rPr>
                <w:rFonts w:ascii="Aptos Narrow" w:eastAsia="Times New Roman" w:hAnsi="Aptos Narrow"/>
                <w:color w:val="000000"/>
                <w:lang w:val="en-US" w:eastAsia="zh-CN"/>
              </w:rPr>
            </w:pPr>
            <w:r w:rsidRPr="000754DA">
              <w:rPr>
                <w:rFonts w:ascii="Aptos Narrow" w:eastAsia="Times New Roman" w:hAnsi="Aptos Narrow"/>
                <w:color w:val="000000"/>
                <w:lang w:val="en-US" w:eastAsia="zh-CN"/>
              </w:rPr>
              <w:t>128</w:t>
            </w:r>
          </w:p>
        </w:tc>
        <w:tc>
          <w:tcPr>
            <w:tcW w:w="960" w:type="dxa"/>
          </w:tcPr>
          <w:p w14:paraId="23A14298" w14:textId="178D38A8" w:rsidR="00B832DF" w:rsidRPr="000754DA" w:rsidRDefault="00B832DF" w:rsidP="00B832DF">
            <w:pPr>
              <w:spacing w:after="0"/>
              <w:jc w:val="center"/>
              <w:rPr>
                <w:rFonts w:ascii="Aptos Narrow" w:eastAsia="Times New Roman" w:hAnsi="Aptos Narrow"/>
                <w:color w:val="000000"/>
                <w:lang w:val="en-US" w:eastAsia="zh-CN"/>
              </w:rPr>
            </w:pPr>
            <w:r w:rsidRPr="00814892">
              <w:rPr>
                <w:rFonts w:ascii="Aptos Narrow" w:eastAsia="Times New Roman" w:hAnsi="Aptos Narrow"/>
                <w:color w:val="000000"/>
                <w:lang w:val="en-US" w:eastAsia="zh-CN"/>
              </w:rPr>
              <w:t>SQ</w:t>
            </w:r>
          </w:p>
        </w:tc>
        <w:tc>
          <w:tcPr>
            <w:tcW w:w="805" w:type="dxa"/>
            <w:noWrap/>
            <w:vAlign w:val="center"/>
            <w:hideMark/>
          </w:tcPr>
          <w:p w14:paraId="3C893C1E" w14:textId="77777777" w:rsidR="00B832DF" w:rsidRPr="000754DA" w:rsidRDefault="00B832DF" w:rsidP="00B832DF">
            <w:pPr>
              <w:spacing w:after="0"/>
              <w:jc w:val="center"/>
              <w:rPr>
                <w:rFonts w:ascii="Aptos Narrow" w:eastAsia="Times New Roman" w:hAnsi="Aptos Narrow"/>
                <w:color w:val="000000"/>
                <w:lang w:val="en-US" w:eastAsia="zh-CN"/>
              </w:rPr>
            </w:pPr>
            <w:r w:rsidRPr="000754DA">
              <w:rPr>
                <w:rFonts w:ascii="Aptos Narrow" w:eastAsia="Times New Roman" w:hAnsi="Aptos Narrow"/>
                <w:color w:val="000000"/>
                <w:lang w:val="en-US" w:eastAsia="zh-CN"/>
              </w:rPr>
              <w:t>2</w:t>
            </w:r>
          </w:p>
        </w:tc>
        <w:tc>
          <w:tcPr>
            <w:tcW w:w="1530" w:type="dxa"/>
            <w:noWrap/>
            <w:hideMark/>
          </w:tcPr>
          <w:p w14:paraId="77D4106E" w14:textId="1ECFC373" w:rsidR="00B832DF" w:rsidRPr="000754DA" w:rsidRDefault="00B832DF" w:rsidP="00B832DF">
            <w:pPr>
              <w:spacing w:after="0"/>
              <w:jc w:val="center"/>
              <w:rPr>
                <w:rFonts w:ascii="Aptos Narrow" w:eastAsia="Times New Roman" w:hAnsi="Aptos Narrow"/>
                <w:color w:val="000000"/>
                <w:lang w:val="en-US" w:eastAsia="zh-CN"/>
              </w:rPr>
            </w:pPr>
            <w:r w:rsidRPr="000754DA">
              <w:rPr>
                <w:rFonts w:ascii="Aptos Narrow" w:eastAsia="Times New Roman" w:hAnsi="Aptos Narrow"/>
                <w:color w:val="000000"/>
                <w:lang w:val="en-US" w:eastAsia="zh-CN"/>
              </w:rPr>
              <w:t>768</w:t>
            </w:r>
            <w:r w:rsidRPr="001A6419">
              <w:rPr>
                <w:rFonts w:ascii="Aptos Narrow" w:eastAsia="Times New Roman" w:hAnsi="Aptos Narrow"/>
                <w:color w:val="000000"/>
                <w:lang w:val="en-US" w:eastAsia="zh-CN"/>
              </w:rPr>
              <w:t xml:space="preserve"> (2x)</w:t>
            </w:r>
          </w:p>
        </w:tc>
        <w:tc>
          <w:tcPr>
            <w:tcW w:w="1260" w:type="dxa"/>
            <w:noWrap/>
            <w:vAlign w:val="center"/>
            <w:hideMark/>
          </w:tcPr>
          <w:p w14:paraId="67FDD5F9" w14:textId="77777777" w:rsidR="00B832DF" w:rsidRPr="000754DA" w:rsidRDefault="00B832DF" w:rsidP="00B832DF">
            <w:pPr>
              <w:spacing w:after="0"/>
              <w:jc w:val="center"/>
              <w:rPr>
                <w:rFonts w:ascii="Aptos Narrow" w:eastAsia="Times New Roman" w:hAnsi="Aptos Narrow"/>
                <w:color w:val="000000"/>
                <w:lang w:val="en-US" w:eastAsia="zh-CN"/>
              </w:rPr>
            </w:pPr>
            <w:r w:rsidRPr="000754DA">
              <w:rPr>
                <w:rFonts w:ascii="Aptos Narrow" w:eastAsia="Times New Roman" w:hAnsi="Aptos Narrow"/>
                <w:color w:val="000000"/>
                <w:lang w:val="en-US" w:eastAsia="zh-CN"/>
              </w:rPr>
              <w:t>25.20621</w:t>
            </w:r>
          </w:p>
        </w:tc>
      </w:tr>
      <w:tr w:rsidR="00B832DF" w:rsidRPr="000754DA" w14:paraId="7CF52A03" w14:textId="77777777" w:rsidTr="008F0499">
        <w:trPr>
          <w:trHeight w:val="290"/>
        </w:trPr>
        <w:tc>
          <w:tcPr>
            <w:tcW w:w="960" w:type="dxa"/>
            <w:noWrap/>
            <w:vAlign w:val="center"/>
            <w:hideMark/>
          </w:tcPr>
          <w:p w14:paraId="6770C4E4" w14:textId="5B2EEFC2" w:rsidR="00B832DF" w:rsidRPr="000754DA" w:rsidRDefault="00B832DF" w:rsidP="00B832DF">
            <w:pPr>
              <w:spacing w:after="0"/>
              <w:jc w:val="center"/>
              <w:rPr>
                <w:rFonts w:ascii="Aptos Narrow" w:eastAsia="Times New Roman" w:hAnsi="Aptos Narrow"/>
                <w:color w:val="000000"/>
                <w:lang w:val="en-US" w:eastAsia="zh-CN"/>
              </w:rPr>
            </w:pPr>
            <w:r>
              <w:rPr>
                <w:rFonts w:ascii="Aptos Narrow" w:eastAsia="Times New Roman" w:hAnsi="Aptos Narrow"/>
                <w:color w:val="000000"/>
                <w:lang w:val="en-US" w:eastAsia="zh-CN"/>
              </w:rPr>
              <w:t>PC5.4</w:t>
            </w:r>
          </w:p>
        </w:tc>
        <w:tc>
          <w:tcPr>
            <w:tcW w:w="960" w:type="dxa"/>
            <w:noWrap/>
            <w:vAlign w:val="center"/>
            <w:hideMark/>
          </w:tcPr>
          <w:p w14:paraId="6C3E4088" w14:textId="77777777" w:rsidR="00B832DF" w:rsidRPr="000754DA" w:rsidRDefault="00B832DF" w:rsidP="00B832DF">
            <w:pPr>
              <w:spacing w:after="0"/>
              <w:jc w:val="center"/>
              <w:rPr>
                <w:rFonts w:ascii="Aptos Narrow" w:eastAsia="Times New Roman" w:hAnsi="Aptos Narrow"/>
                <w:color w:val="000000"/>
                <w:lang w:val="en-US" w:eastAsia="zh-CN"/>
              </w:rPr>
            </w:pPr>
            <w:r w:rsidRPr="000754DA">
              <w:rPr>
                <w:rFonts w:ascii="Aptos Narrow" w:eastAsia="Times New Roman" w:hAnsi="Aptos Narrow"/>
                <w:color w:val="000000"/>
                <w:lang w:val="en-US" w:eastAsia="zh-CN"/>
              </w:rPr>
              <w:t>128</w:t>
            </w:r>
          </w:p>
        </w:tc>
        <w:tc>
          <w:tcPr>
            <w:tcW w:w="960" w:type="dxa"/>
            <w:noWrap/>
            <w:vAlign w:val="center"/>
            <w:hideMark/>
          </w:tcPr>
          <w:p w14:paraId="2B3E9C37" w14:textId="77777777" w:rsidR="00B832DF" w:rsidRPr="000754DA" w:rsidRDefault="00B832DF" w:rsidP="00B832DF">
            <w:pPr>
              <w:spacing w:after="0"/>
              <w:jc w:val="center"/>
              <w:rPr>
                <w:rFonts w:ascii="Aptos Narrow" w:eastAsia="Times New Roman" w:hAnsi="Aptos Narrow"/>
                <w:color w:val="000000"/>
                <w:lang w:val="en-US" w:eastAsia="zh-CN"/>
              </w:rPr>
            </w:pPr>
            <w:r w:rsidRPr="000754DA">
              <w:rPr>
                <w:rFonts w:ascii="Aptos Narrow" w:eastAsia="Times New Roman" w:hAnsi="Aptos Narrow"/>
                <w:color w:val="000000"/>
                <w:lang w:val="en-US" w:eastAsia="zh-CN"/>
              </w:rPr>
              <w:t>96</w:t>
            </w:r>
          </w:p>
        </w:tc>
        <w:tc>
          <w:tcPr>
            <w:tcW w:w="960" w:type="dxa"/>
            <w:noWrap/>
            <w:vAlign w:val="center"/>
            <w:hideMark/>
          </w:tcPr>
          <w:p w14:paraId="1BFBB8BC" w14:textId="77777777" w:rsidR="00B832DF" w:rsidRPr="000754DA" w:rsidRDefault="00B832DF" w:rsidP="00B832DF">
            <w:pPr>
              <w:spacing w:after="0"/>
              <w:jc w:val="center"/>
              <w:rPr>
                <w:rFonts w:ascii="Aptos Narrow" w:eastAsia="Times New Roman" w:hAnsi="Aptos Narrow"/>
                <w:color w:val="000000"/>
                <w:lang w:val="en-US" w:eastAsia="zh-CN"/>
              </w:rPr>
            </w:pPr>
            <w:r w:rsidRPr="000754DA">
              <w:rPr>
                <w:rFonts w:ascii="Aptos Narrow" w:eastAsia="Times New Roman" w:hAnsi="Aptos Narrow"/>
                <w:color w:val="000000"/>
                <w:lang w:val="en-US" w:eastAsia="zh-CN"/>
              </w:rPr>
              <w:t>96</w:t>
            </w:r>
          </w:p>
        </w:tc>
        <w:tc>
          <w:tcPr>
            <w:tcW w:w="960" w:type="dxa"/>
            <w:noWrap/>
            <w:vAlign w:val="center"/>
            <w:hideMark/>
          </w:tcPr>
          <w:p w14:paraId="22EAB41A" w14:textId="77777777" w:rsidR="00B832DF" w:rsidRPr="000754DA" w:rsidRDefault="00B832DF" w:rsidP="00B832DF">
            <w:pPr>
              <w:spacing w:after="0"/>
              <w:jc w:val="center"/>
              <w:rPr>
                <w:rFonts w:ascii="Aptos Narrow" w:eastAsia="Times New Roman" w:hAnsi="Aptos Narrow"/>
                <w:color w:val="000000"/>
                <w:lang w:val="en-US" w:eastAsia="zh-CN"/>
              </w:rPr>
            </w:pPr>
            <w:r w:rsidRPr="000754DA">
              <w:rPr>
                <w:rFonts w:ascii="Aptos Narrow" w:eastAsia="Times New Roman" w:hAnsi="Aptos Narrow"/>
                <w:color w:val="000000"/>
                <w:lang w:val="en-US" w:eastAsia="zh-CN"/>
              </w:rPr>
              <w:t>64</w:t>
            </w:r>
          </w:p>
        </w:tc>
        <w:tc>
          <w:tcPr>
            <w:tcW w:w="960" w:type="dxa"/>
          </w:tcPr>
          <w:p w14:paraId="157B665C" w14:textId="1FC34A7E" w:rsidR="00B832DF" w:rsidRPr="000754DA" w:rsidRDefault="00B832DF" w:rsidP="00B832DF">
            <w:pPr>
              <w:spacing w:after="0"/>
              <w:jc w:val="center"/>
              <w:rPr>
                <w:rFonts w:ascii="Aptos Narrow" w:eastAsia="Times New Roman" w:hAnsi="Aptos Narrow"/>
                <w:color w:val="000000"/>
                <w:lang w:val="en-US" w:eastAsia="zh-CN"/>
              </w:rPr>
            </w:pPr>
            <w:r w:rsidRPr="00814892">
              <w:rPr>
                <w:rFonts w:ascii="Aptos Narrow" w:eastAsia="Times New Roman" w:hAnsi="Aptos Narrow"/>
                <w:color w:val="000000"/>
                <w:lang w:val="en-US" w:eastAsia="zh-CN"/>
              </w:rPr>
              <w:t>SQ</w:t>
            </w:r>
          </w:p>
        </w:tc>
        <w:tc>
          <w:tcPr>
            <w:tcW w:w="805" w:type="dxa"/>
            <w:noWrap/>
            <w:vAlign w:val="center"/>
            <w:hideMark/>
          </w:tcPr>
          <w:p w14:paraId="690BC0B1" w14:textId="77777777" w:rsidR="00B832DF" w:rsidRPr="000754DA" w:rsidRDefault="00B832DF" w:rsidP="00B832DF">
            <w:pPr>
              <w:spacing w:after="0"/>
              <w:jc w:val="center"/>
              <w:rPr>
                <w:rFonts w:ascii="Aptos Narrow" w:eastAsia="Times New Roman" w:hAnsi="Aptos Narrow"/>
                <w:color w:val="000000"/>
                <w:lang w:val="en-US" w:eastAsia="zh-CN"/>
              </w:rPr>
            </w:pPr>
            <w:r w:rsidRPr="000754DA">
              <w:rPr>
                <w:rFonts w:ascii="Aptos Narrow" w:eastAsia="Times New Roman" w:hAnsi="Aptos Narrow"/>
                <w:color w:val="000000"/>
                <w:lang w:val="en-US" w:eastAsia="zh-CN"/>
              </w:rPr>
              <w:t>2</w:t>
            </w:r>
          </w:p>
        </w:tc>
        <w:tc>
          <w:tcPr>
            <w:tcW w:w="1530" w:type="dxa"/>
            <w:noWrap/>
            <w:hideMark/>
          </w:tcPr>
          <w:p w14:paraId="02EC2889" w14:textId="798FC5E0" w:rsidR="00B832DF" w:rsidRPr="000754DA" w:rsidRDefault="00B832DF" w:rsidP="00B832DF">
            <w:pPr>
              <w:spacing w:after="0"/>
              <w:jc w:val="center"/>
              <w:rPr>
                <w:rFonts w:ascii="Aptos Narrow" w:eastAsia="Times New Roman" w:hAnsi="Aptos Narrow"/>
                <w:color w:val="000000"/>
                <w:lang w:val="en-US" w:eastAsia="zh-CN"/>
              </w:rPr>
            </w:pPr>
            <w:r w:rsidRPr="000754DA">
              <w:rPr>
                <w:rFonts w:ascii="Aptos Narrow" w:eastAsia="Times New Roman" w:hAnsi="Aptos Narrow"/>
                <w:color w:val="000000"/>
                <w:lang w:val="en-US" w:eastAsia="zh-CN"/>
              </w:rPr>
              <w:t>768</w:t>
            </w:r>
            <w:r w:rsidRPr="001A6419">
              <w:rPr>
                <w:rFonts w:ascii="Aptos Narrow" w:eastAsia="Times New Roman" w:hAnsi="Aptos Narrow"/>
                <w:color w:val="000000"/>
                <w:lang w:val="en-US" w:eastAsia="zh-CN"/>
              </w:rPr>
              <w:t xml:space="preserve"> (2x)</w:t>
            </w:r>
          </w:p>
        </w:tc>
        <w:tc>
          <w:tcPr>
            <w:tcW w:w="1260" w:type="dxa"/>
            <w:noWrap/>
            <w:vAlign w:val="center"/>
            <w:hideMark/>
          </w:tcPr>
          <w:p w14:paraId="629EB0E5" w14:textId="77777777" w:rsidR="00B832DF" w:rsidRPr="000754DA" w:rsidRDefault="00B832DF" w:rsidP="00B832DF">
            <w:pPr>
              <w:spacing w:after="0"/>
              <w:jc w:val="center"/>
              <w:rPr>
                <w:rFonts w:ascii="Aptos Narrow" w:eastAsia="Times New Roman" w:hAnsi="Aptos Narrow"/>
                <w:color w:val="000000"/>
                <w:lang w:val="en-US" w:eastAsia="zh-CN"/>
              </w:rPr>
            </w:pPr>
            <w:r w:rsidRPr="000754DA">
              <w:rPr>
                <w:rFonts w:ascii="Aptos Narrow" w:eastAsia="Times New Roman" w:hAnsi="Aptos Narrow"/>
                <w:color w:val="000000"/>
                <w:lang w:val="en-US" w:eastAsia="zh-CN"/>
              </w:rPr>
              <w:t>24.79548</w:t>
            </w:r>
          </w:p>
        </w:tc>
      </w:tr>
      <w:tr w:rsidR="00B832DF" w:rsidRPr="000754DA" w14:paraId="0214F6FA" w14:textId="77777777" w:rsidTr="008F0499">
        <w:trPr>
          <w:trHeight w:val="290"/>
        </w:trPr>
        <w:tc>
          <w:tcPr>
            <w:tcW w:w="960" w:type="dxa"/>
            <w:noWrap/>
            <w:vAlign w:val="center"/>
            <w:hideMark/>
          </w:tcPr>
          <w:p w14:paraId="6459B9B6" w14:textId="7B2CA4CF" w:rsidR="00B832DF" w:rsidRPr="000754DA" w:rsidRDefault="00B832DF" w:rsidP="00B832DF">
            <w:pPr>
              <w:spacing w:after="0"/>
              <w:jc w:val="center"/>
              <w:rPr>
                <w:rFonts w:ascii="Aptos Narrow" w:eastAsia="Times New Roman" w:hAnsi="Aptos Narrow"/>
                <w:color w:val="000000"/>
                <w:lang w:val="en-US" w:eastAsia="zh-CN"/>
              </w:rPr>
            </w:pPr>
            <w:r>
              <w:rPr>
                <w:rFonts w:ascii="Aptos Narrow" w:eastAsia="Times New Roman" w:hAnsi="Aptos Narrow"/>
                <w:color w:val="000000"/>
                <w:lang w:val="en-US" w:eastAsia="zh-CN"/>
              </w:rPr>
              <w:t>PC5.5</w:t>
            </w:r>
          </w:p>
        </w:tc>
        <w:tc>
          <w:tcPr>
            <w:tcW w:w="960" w:type="dxa"/>
            <w:noWrap/>
            <w:vAlign w:val="center"/>
            <w:hideMark/>
          </w:tcPr>
          <w:p w14:paraId="61366870" w14:textId="77777777" w:rsidR="00B832DF" w:rsidRPr="000754DA" w:rsidRDefault="00B832DF" w:rsidP="00B832DF">
            <w:pPr>
              <w:spacing w:after="0"/>
              <w:jc w:val="center"/>
              <w:rPr>
                <w:rFonts w:ascii="Aptos Narrow" w:eastAsia="Times New Roman" w:hAnsi="Aptos Narrow"/>
                <w:color w:val="000000"/>
                <w:lang w:val="en-US" w:eastAsia="zh-CN"/>
              </w:rPr>
            </w:pPr>
            <w:r w:rsidRPr="000754DA">
              <w:rPr>
                <w:rFonts w:ascii="Aptos Narrow" w:eastAsia="Times New Roman" w:hAnsi="Aptos Narrow"/>
                <w:color w:val="000000"/>
                <w:lang w:val="en-US" w:eastAsia="zh-CN"/>
              </w:rPr>
              <w:t>64</w:t>
            </w:r>
          </w:p>
        </w:tc>
        <w:tc>
          <w:tcPr>
            <w:tcW w:w="960" w:type="dxa"/>
            <w:noWrap/>
            <w:vAlign w:val="center"/>
            <w:hideMark/>
          </w:tcPr>
          <w:p w14:paraId="7F516B0C" w14:textId="77777777" w:rsidR="00B832DF" w:rsidRPr="000754DA" w:rsidRDefault="00B832DF" w:rsidP="00B832DF">
            <w:pPr>
              <w:spacing w:after="0"/>
              <w:jc w:val="center"/>
              <w:rPr>
                <w:rFonts w:ascii="Aptos Narrow" w:eastAsia="Times New Roman" w:hAnsi="Aptos Narrow"/>
                <w:color w:val="000000"/>
                <w:lang w:val="en-US" w:eastAsia="zh-CN"/>
              </w:rPr>
            </w:pPr>
            <w:r w:rsidRPr="000754DA">
              <w:rPr>
                <w:rFonts w:ascii="Aptos Narrow" w:eastAsia="Times New Roman" w:hAnsi="Aptos Narrow"/>
                <w:color w:val="000000"/>
                <w:lang w:val="en-US" w:eastAsia="zh-CN"/>
              </w:rPr>
              <w:t>96</w:t>
            </w:r>
          </w:p>
        </w:tc>
        <w:tc>
          <w:tcPr>
            <w:tcW w:w="960" w:type="dxa"/>
            <w:noWrap/>
            <w:vAlign w:val="center"/>
            <w:hideMark/>
          </w:tcPr>
          <w:p w14:paraId="7184ADCF" w14:textId="77777777" w:rsidR="00B832DF" w:rsidRPr="000754DA" w:rsidRDefault="00B832DF" w:rsidP="00B832DF">
            <w:pPr>
              <w:spacing w:after="0"/>
              <w:jc w:val="center"/>
              <w:rPr>
                <w:rFonts w:ascii="Aptos Narrow" w:eastAsia="Times New Roman" w:hAnsi="Aptos Narrow"/>
                <w:color w:val="000000"/>
                <w:lang w:val="en-US" w:eastAsia="zh-CN"/>
              </w:rPr>
            </w:pPr>
            <w:r w:rsidRPr="000754DA">
              <w:rPr>
                <w:rFonts w:ascii="Aptos Narrow" w:eastAsia="Times New Roman" w:hAnsi="Aptos Narrow"/>
                <w:color w:val="000000"/>
                <w:lang w:val="en-US" w:eastAsia="zh-CN"/>
              </w:rPr>
              <w:t>96</w:t>
            </w:r>
          </w:p>
        </w:tc>
        <w:tc>
          <w:tcPr>
            <w:tcW w:w="960" w:type="dxa"/>
            <w:noWrap/>
            <w:vAlign w:val="center"/>
            <w:hideMark/>
          </w:tcPr>
          <w:p w14:paraId="0A0CC12F" w14:textId="77777777" w:rsidR="00B832DF" w:rsidRPr="000754DA" w:rsidRDefault="00B832DF" w:rsidP="00B832DF">
            <w:pPr>
              <w:spacing w:after="0"/>
              <w:jc w:val="center"/>
              <w:rPr>
                <w:rFonts w:ascii="Aptos Narrow" w:eastAsia="Times New Roman" w:hAnsi="Aptos Narrow"/>
                <w:color w:val="000000"/>
                <w:lang w:val="en-US" w:eastAsia="zh-CN"/>
              </w:rPr>
            </w:pPr>
            <w:r w:rsidRPr="000754DA">
              <w:rPr>
                <w:rFonts w:ascii="Aptos Narrow" w:eastAsia="Times New Roman" w:hAnsi="Aptos Narrow"/>
                <w:color w:val="000000"/>
                <w:lang w:val="en-US" w:eastAsia="zh-CN"/>
              </w:rPr>
              <w:t>128</w:t>
            </w:r>
          </w:p>
        </w:tc>
        <w:tc>
          <w:tcPr>
            <w:tcW w:w="960" w:type="dxa"/>
          </w:tcPr>
          <w:p w14:paraId="29D78037" w14:textId="220D85DD" w:rsidR="00B832DF" w:rsidRPr="000754DA" w:rsidRDefault="00B832DF" w:rsidP="00B832DF">
            <w:pPr>
              <w:spacing w:after="0"/>
              <w:jc w:val="center"/>
              <w:rPr>
                <w:rFonts w:ascii="Aptos Narrow" w:eastAsia="Times New Roman" w:hAnsi="Aptos Narrow"/>
                <w:color w:val="000000"/>
                <w:lang w:val="en-US" w:eastAsia="zh-CN"/>
              </w:rPr>
            </w:pPr>
            <w:r w:rsidRPr="00814892">
              <w:rPr>
                <w:rFonts w:ascii="Aptos Narrow" w:eastAsia="Times New Roman" w:hAnsi="Aptos Narrow"/>
                <w:color w:val="000000"/>
                <w:lang w:val="en-US" w:eastAsia="zh-CN"/>
              </w:rPr>
              <w:t>SQ</w:t>
            </w:r>
          </w:p>
        </w:tc>
        <w:tc>
          <w:tcPr>
            <w:tcW w:w="805" w:type="dxa"/>
            <w:noWrap/>
            <w:vAlign w:val="center"/>
            <w:hideMark/>
          </w:tcPr>
          <w:p w14:paraId="2CB7C542" w14:textId="77777777" w:rsidR="00B832DF" w:rsidRPr="000754DA" w:rsidRDefault="00B832DF" w:rsidP="00B832DF">
            <w:pPr>
              <w:spacing w:after="0"/>
              <w:jc w:val="center"/>
              <w:rPr>
                <w:rFonts w:ascii="Aptos Narrow" w:eastAsia="Times New Roman" w:hAnsi="Aptos Narrow"/>
                <w:color w:val="000000"/>
                <w:lang w:val="en-US" w:eastAsia="zh-CN"/>
              </w:rPr>
            </w:pPr>
            <w:r w:rsidRPr="000754DA">
              <w:rPr>
                <w:rFonts w:ascii="Aptos Narrow" w:eastAsia="Times New Roman" w:hAnsi="Aptos Narrow"/>
                <w:color w:val="000000"/>
                <w:lang w:val="en-US" w:eastAsia="zh-CN"/>
              </w:rPr>
              <w:t>2</w:t>
            </w:r>
          </w:p>
        </w:tc>
        <w:tc>
          <w:tcPr>
            <w:tcW w:w="1530" w:type="dxa"/>
            <w:noWrap/>
            <w:hideMark/>
          </w:tcPr>
          <w:p w14:paraId="2117466D" w14:textId="734897B8" w:rsidR="00B832DF" w:rsidRPr="000754DA" w:rsidRDefault="00B832DF" w:rsidP="00B832DF">
            <w:pPr>
              <w:spacing w:after="0"/>
              <w:jc w:val="center"/>
              <w:rPr>
                <w:rFonts w:ascii="Aptos Narrow" w:eastAsia="Times New Roman" w:hAnsi="Aptos Narrow"/>
                <w:color w:val="000000"/>
                <w:lang w:val="en-US" w:eastAsia="zh-CN"/>
              </w:rPr>
            </w:pPr>
            <w:r w:rsidRPr="000754DA">
              <w:rPr>
                <w:rFonts w:ascii="Aptos Narrow" w:eastAsia="Times New Roman" w:hAnsi="Aptos Narrow"/>
                <w:color w:val="000000"/>
                <w:lang w:val="en-US" w:eastAsia="zh-CN"/>
              </w:rPr>
              <w:t>768</w:t>
            </w:r>
            <w:r w:rsidRPr="001A6419">
              <w:rPr>
                <w:rFonts w:ascii="Aptos Narrow" w:eastAsia="Times New Roman" w:hAnsi="Aptos Narrow"/>
                <w:color w:val="000000"/>
                <w:lang w:val="en-US" w:eastAsia="zh-CN"/>
              </w:rPr>
              <w:t xml:space="preserve"> (2x)</w:t>
            </w:r>
          </w:p>
        </w:tc>
        <w:tc>
          <w:tcPr>
            <w:tcW w:w="1260" w:type="dxa"/>
            <w:noWrap/>
            <w:vAlign w:val="center"/>
            <w:hideMark/>
          </w:tcPr>
          <w:p w14:paraId="2A726838" w14:textId="77777777" w:rsidR="00B832DF" w:rsidRPr="000754DA" w:rsidRDefault="00B832DF" w:rsidP="00B832DF">
            <w:pPr>
              <w:spacing w:after="0"/>
              <w:jc w:val="center"/>
              <w:rPr>
                <w:rFonts w:ascii="Aptos Narrow" w:eastAsia="Times New Roman" w:hAnsi="Aptos Narrow"/>
                <w:color w:val="000000"/>
                <w:lang w:val="en-US" w:eastAsia="zh-CN"/>
              </w:rPr>
            </w:pPr>
            <w:r w:rsidRPr="000754DA">
              <w:rPr>
                <w:rFonts w:ascii="Aptos Narrow" w:eastAsia="Times New Roman" w:hAnsi="Aptos Narrow"/>
                <w:color w:val="000000"/>
                <w:lang w:val="en-US" w:eastAsia="zh-CN"/>
              </w:rPr>
              <w:t>25.18142</w:t>
            </w:r>
          </w:p>
        </w:tc>
      </w:tr>
    </w:tbl>
    <w:p w14:paraId="6621026A" w14:textId="77777777" w:rsidR="00206EBD" w:rsidRDefault="00206EBD" w:rsidP="000754DA">
      <w:pPr>
        <w:jc w:val="center"/>
      </w:pPr>
    </w:p>
    <w:p w14:paraId="1C2E03FD" w14:textId="76981AED" w:rsidR="00A55879" w:rsidRDefault="00A55879" w:rsidP="00A55879">
      <w:r>
        <w:t xml:space="preserve">The spectral efficiency performance of the candidate payload </w:t>
      </w:r>
      <w:r w:rsidRPr="00A55879">
        <w:t>parameters for rank 3 and 4</w:t>
      </w:r>
      <w:r>
        <w:t xml:space="preserve"> are shown in </w:t>
      </w:r>
      <w:r w:rsidR="00206EBD">
        <w:fldChar w:fldCharType="begin"/>
      </w:r>
      <w:r w:rsidR="00206EBD">
        <w:instrText xml:space="preserve"> REF _Ref213422678 \h </w:instrText>
      </w:r>
      <w:r w:rsidR="00206EBD">
        <w:fldChar w:fldCharType="separate"/>
      </w:r>
      <w:r w:rsidR="00206EBD">
        <w:t xml:space="preserve">Figure </w:t>
      </w:r>
      <w:r w:rsidR="00206EBD">
        <w:rPr>
          <w:noProof/>
        </w:rPr>
        <w:t>2</w:t>
      </w:r>
      <w:r w:rsidR="00206EBD">
        <w:noBreakHyphen/>
      </w:r>
      <w:r w:rsidR="00206EBD">
        <w:rPr>
          <w:noProof/>
        </w:rPr>
        <w:t>4</w:t>
      </w:r>
      <w:r w:rsidR="00206EBD">
        <w:fldChar w:fldCharType="end"/>
      </w:r>
      <w:r w:rsidR="00206EBD">
        <w:t xml:space="preserve"> and </w:t>
      </w:r>
      <w:r w:rsidR="00206EBD">
        <w:fldChar w:fldCharType="begin"/>
      </w:r>
      <w:r w:rsidR="00206EBD">
        <w:instrText xml:space="preserve"> REF _Ref213422688 \h </w:instrText>
      </w:r>
      <w:r w:rsidR="00206EBD">
        <w:fldChar w:fldCharType="separate"/>
      </w:r>
      <w:r w:rsidR="00206EBD">
        <w:t xml:space="preserve">Figure </w:t>
      </w:r>
      <w:r w:rsidR="00206EBD">
        <w:rPr>
          <w:noProof/>
        </w:rPr>
        <w:t>2</w:t>
      </w:r>
      <w:r w:rsidR="00206EBD">
        <w:noBreakHyphen/>
      </w:r>
      <w:r w:rsidR="00206EBD">
        <w:rPr>
          <w:noProof/>
        </w:rPr>
        <w:t>5</w:t>
      </w:r>
      <w:r w:rsidR="00206EBD">
        <w:fldChar w:fldCharType="end"/>
      </w:r>
      <w:r w:rsidR="00206EBD">
        <w:t>, respectively</w:t>
      </w:r>
      <w:r>
        <w:t xml:space="preserve">. </w:t>
      </w:r>
      <w:r w:rsidR="001A2CD0">
        <w:t>The detailed latent dimension</w:t>
      </w:r>
      <w:r w:rsidR="00644AB9">
        <w:t xml:space="preserve"> is shown</w:t>
      </w:r>
      <w:r w:rsidR="0018079F">
        <w:t xml:space="preserve"> </w:t>
      </w:r>
      <w:r w:rsidR="0018079F">
        <w:fldChar w:fldCharType="begin"/>
      </w:r>
      <w:r w:rsidR="0018079F">
        <w:instrText xml:space="preserve"> REF _Ref213424109 \h </w:instrText>
      </w:r>
      <w:r w:rsidR="0018079F">
        <w:fldChar w:fldCharType="separate"/>
      </w:r>
      <w:r w:rsidR="0018079F">
        <w:t xml:space="preserve">Table </w:t>
      </w:r>
      <w:r w:rsidR="0018079F">
        <w:rPr>
          <w:noProof/>
        </w:rPr>
        <w:t>2</w:t>
      </w:r>
      <w:r w:rsidR="0018079F">
        <w:noBreakHyphen/>
      </w:r>
      <w:r w:rsidR="0018079F">
        <w:rPr>
          <w:noProof/>
        </w:rPr>
        <w:t>2</w:t>
      </w:r>
      <w:r w:rsidR="0018079F">
        <w:fldChar w:fldCharType="end"/>
      </w:r>
      <w:r w:rsidR="0018079F">
        <w:t xml:space="preserve"> and </w:t>
      </w:r>
      <w:r w:rsidR="0018079F">
        <w:fldChar w:fldCharType="begin"/>
      </w:r>
      <w:r w:rsidR="0018079F">
        <w:instrText xml:space="preserve"> REF _Ref213424118 \h </w:instrText>
      </w:r>
      <w:r w:rsidR="0018079F">
        <w:fldChar w:fldCharType="separate"/>
      </w:r>
      <w:r w:rsidR="0018079F">
        <w:t xml:space="preserve">Table </w:t>
      </w:r>
      <w:r w:rsidR="0018079F">
        <w:rPr>
          <w:noProof/>
        </w:rPr>
        <w:t>2</w:t>
      </w:r>
      <w:r w:rsidR="0018079F">
        <w:noBreakHyphen/>
      </w:r>
      <w:r w:rsidR="0018079F">
        <w:rPr>
          <w:noProof/>
        </w:rPr>
        <w:t>3</w:t>
      </w:r>
      <w:r w:rsidR="0018079F">
        <w:fldChar w:fldCharType="end"/>
      </w:r>
      <w:r w:rsidR="0018079F">
        <w:t>, respectively</w:t>
      </w:r>
      <w:r w:rsidR="00644AB9">
        <w:t xml:space="preserve">. </w:t>
      </w:r>
      <w:r>
        <w:t xml:space="preserve">Generally, it can be seen that allocating </w:t>
      </w:r>
      <w:r w:rsidRPr="00513980">
        <w:rPr>
          <w:b/>
          <w:bCs/>
        </w:rPr>
        <w:t>more bits to higher layers is more beneficial than allocating more bits to lower layers</w:t>
      </w:r>
      <w:r>
        <w:t xml:space="preserve">. This is because higher layers are more challenging to be compressed. On the other hand, </w:t>
      </w:r>
      <w:r w:rsidRPr="00BB09B9">
        <w:rPr>
          <w:b/>
          <w:bCs/>
        </w:rPr>
        <w:t xml:space="preserve">maintaining a good quality for layer 1 or layer 2 is also beneficial if the NW decides </w:t>
      </w:r>
      <w:r w:rsidRPr="00BB09B9">
        <w:rPr>
          <w:b/>
          <w:bCs/>
        </w:rPr>
        <w:lastRenderedPageBreak/>
        <w:t>to fallback to lower rank and perform MU pairing</w:t>
      </w:r>
      <w:r>
        <w:t xml:space="preserve">. With such, </w:t>
      </w:r>
      <w:r w:rsidRPr="005477C5">
        <w:rPr>
          <w:b/>
          <w:bCs/>
        </w:rPr>
        <w:t>even allocation of payload is a more balanced option</w:t>
      </w:r>
      <w:r>
        <w:t xml:space="preserve"> if feasible. </w:t>
      </w:r>
    </w:p>
    <w:p w14:paraId="2EDB3778" w14:textId="6B2D29E8" w:rsidR="0017514C" w:rsidRPr="009A4B05" w:rsidRDefault="0017514C" w:rsidP="009A4B05">
      <w:pPr>
        <w:pStyle w:val="Observation"/>
        <w:rPr>
          <w:rStyle w:val="Strong"/>
          <w:b/>
          <w:bCs/>
        </w:rPr>
      </w:pPr>
      <w:bookmarkStart w:id="18" w:name="_Ref213431094"/>
      <w:r w:rsidRPr="009A4B05">
        <w:rPr>
          <w:rStyle w:val="Strong"/>
          <w:b/>
          <w:bCs/>
        </w:rPr>
        <w:t xml:space="preserve">Allocating more bits to higher layers is beneficial to spectral efficiency. </w:t>
      </w:r>
      <w:r w:rsidR="009A4B05" w:rsidRPr="009A4B05">
        <w:rPr>
          <w:rStyle w:val="Strong"/>
          <w:b/>
          <w:bCs/>
        </w:rPr>
        <w:t>Maintaining a good quality for layer 1 and layer 2 is also important for rank fall back or MU pairing.</w:t>
      </w:r>
      <w:bookmarkEnd w:id="18"/>
    </w:p>
    <w:p w14:paraId="7126D2F1" w14:textId="5934BF4A" w:rsidR="001A72CF" w:rsidRDefault="001A72CF" w:rsidP="00A55879">
      <w:r>
        <w:t xml:space="preserve">Another consideration is </w:t>
      </w:r>
      <w:r w:rsidR="008126A9">
        <w:t xml:space="preserve">that </w:t>
      </w:r>
      <w:r w:rsidR="00C20BD8">
        <w:t xml:space="preserve">for a certain PC, </w:t>
      </w:r>
      <w:r w:rsidR="008126A9" w:rsidRPr="00DF3367">
        <w:rPr>
          <w:b/>
          <w:bCs/>
        </w:rPr>
        <w:t>the</w:t>
      </w:r>
      <w:r w:rsidRPr="00DF3367">
        <w:rPr>
          <w:b/>
          <w:bCs/>
        </w:rPr>
        <w:t xml:space="preserve"> number of parameter pairs </w:t>
      </w:r>
      <w:r w:rsidR="003245B1" w:rsidRPr="00DF3367">
        <w:rPr>
          <w:b/>
          <w:bCs/>
        </w:rPr>
        <w:t xml:space="preserve">should be no more than 2 across all </w:t>
      </w:r>
      <w:r w:rsidR="00DF3367">
        <w:rPr>
          <w:b/>
          <w:bCs/>
        </w:rPr>
        <w:t>ranks</w:t>
      </w:r>
      <w:r w:rsidR="003245B1" w:rsidRPr="00DF3367">
        <w:rPr>
          <w:b/>
          <w:bCs/>
        </w:rPr>
        <w:t>.</w:t>
      </w:r>
      <w:r w:rsidR="003245B1">
        <w:t xml:space="preserve"> </w:t>
      </w:r>
      <w:r w:rsidR="00923457">
        <w:t xml:space="preserve">The motivation is to reduce the inference </w:t>
      </w:r>
      <w:r w:rsidR="001717D3">
        <w:t xml:space="preserve">memory cost and complexity. Since rank 3 and 4 payload size is comparable to rank 2, </w:t>
      </w:r>
      <w:r w:rsidR="00BC07B7">
        <w:t xml:space="preserve">at least one another different payload option </w:t>
      </w:r>
      <w:r w:rsidR="00FB0F1B">
        <w:t xml:space="preserve">will be needed compared to that of rank 2. If more than 3 parameter pairs are needed, </w:t>
      </w:r>
      <w:r w:rsidR="006C35D3">
        <w:t xml:space="preserve">UE needs to load </w:t>
      </w:r>
      <w:r w:rsidR="003A3954">
        <w:t>3</w:t>
      </w:r>
      <w:r w:rsidR="006C35D3">
        <w:t xml:space="preserve"> </w:t>
      </w:r>
      <w:r w:rsidR="00923457">
        <w:t>output branches for inference</w:t>
      </w:r>
      <w:r w:rsidR="00625FC2">
        <w:t>. Moreover,</w:t>
      </w:r>
      <w:r w:rsidR="00CF0736">
        <w:t xml:space="preserve"> when rank is determined together with or after the precoding matrix compression, </w:t>
      </w:r>
      <w:r w:rsidR="00E866A0">
        <w:t>more parameter pair options would mean more hypothesis for rank determination.</w:t>
      </w:r>
    </w:p>
    <w:p w14:paraId="26280FCC" w14:textId="33B04CDD" w:rsidR="00E819EA" w:rsidRPr="007974A7" w:rsidRDefault="00E819EA" w:rsidP="007974A7">
      <w:pPr>
        <w:pStyle w:val="Observation"/>
        <w:rPr>
          <w:rStyle w:val="Strong"/>
          <w:b/>
          <w:bCs/>
        </w:rPr>
      </w:pPr>
      <w:bookmarkStart w:id="19" w:name="_Ref213431099"/>
      <w:r w:rsidRPr="007974A7">
        <w:rPr>
          <w:rStyle w:val="Strong"/>
          <w:b/>
          <w:bCs/>
        </w:rPr>
        <w:t>For each PC, at least two different parameter pairs are needed to achieve comparable payload sizes of rank 2, rank 3 and rank 4.</w:t>
      </w:r>
      <w:bookmarkEnd w:id="19"/>
      <w:r w:rsidRPr="007974A7">
        <w:rPr>
          <w:rStyle w:val="Strong"/>
          <w:b/>
          <w:bCs/>
        </w:rPr>
        <w:t xml:space="preserve"> </w:t>
      </w:r>
    </w:p>
    <w:p w14:paraId="207C422F" w14:textId="15AE1642" w:rsidR="007974A7" w:rsidRDefault="007974A7" w:rsidP="007974A7">
      <w:pPr>
        <w:pStyle w:val="Observation"/>
        <w:rPr>
          <w:rStyle w:val="Strong"/>
          <w:b/>
          <w:bCs/>
        </w:rPr>
      </w:pPr>
      <w:bookmarkStart w:id="20" w:name="_Ref213431108"/>
      <w:r w:rsidRPr="007974A7">
        <w:rPr>
          <w:rStyle w:val="Strong"/>
          <w:b/>
          <w:bCs/>
        </w:rPr>
        <w:t>For each PC, more than two parameter pairs ha</w:t>
      </w:r>
      <w:r w:rsidR="0002467D">
        <w:rPr>
          <w:rStyle w:val="Strong"/>
          <w:b/>
          <w:bCs/>
        </w:rPr>
        <w:t>ve</w:t>
      </w:r>
      <w:r w:rsidRPr="007974A7">
        <w:rPr>
          <w:rStyle w:val="Strong"/>
          <w:b/>
          <w:bCs/>
        </w:rPr>
        <w:t xml:space="preserve"> higher complexity in precoder matrix compression and rank determination.</w:t>
      </w:r>
      <w:bookmarkEnd w:id="20"/>
    </w:p>
    <w:p w14:paraId="17717687" w14:textId="4F0A6680" w:rsidR="006D4961" w:rsidRPr="006D4961" w:rsidRDefault="006D4961" w:rsidP="006D4961">
      <w:pPr>
        <w:pStyle w:val="Observation"/>
        <w:numPr>
          <w:ilvl w:val="0"/>
          <w:numId w:val="0"/>
        </w:numPr>
        <w:rPr>
          <w:rStyle w:val="Strong"/>
          <w:i w:val="0"/>
          <w:iCs w:val="0"/>
        </w:rPr>
      </w:pPr>
      <w:r w:rsidRPr="006D4961">
        <w:rPr>
          <w:rStyle w:val="Strong"/>
          <w:i w:val="0"/>
          <w:iCs w:val="0"/>
        </w:rPr>
        <w:t>Based on these discussion</w:t>
      </w:r>
      <w:r>
        <w:rPr>
          <w:rStyle w:val="Strong"/>
          <w:i w:val="0"/>
          <w:iCs w:val="0"/>
        </w:rPr>
        <w:t>s</w:t>
      </w:r>
      <w:r w:rsidRPr="006D4961">
        <w:rPr>
          <w:rStyle w:val="Strong"/>
          <w:i w:val="0"/>
          <w:iCs w:val="0"/>
        </w:rPr>
        <w:t>, we think the following principles should be considered.</w:t>
      </w:r>
    </w:p>
    <w:p w14:paraId="0725DC9C" w14:textId="62F3443A" w:rsidR="00A94C81" w:rsidRDefault="00D9290E" w:rsidP="00A94C81">
      <w:pPr>
        <w:pStyle w:val="Proposal"/>
      </w:pPr>
      <w:bookmarkStart w:id="21" w:name="_Ref213424929"/>
      <w:r>
        <w:t>Consider following principles for allocating payload across layers</w:t>
      </w:r>
      <w:r w:rsidR="00E34D70">
        <w:t>:</w:t>
      </w:r>
      <w:bookmarkEnd w:id="21"/>
    </w:p>
    <w:p w14:paraId="7B7E8678" w14:textId="3FF9A201" w:rsidR="00A94C81" w:rsidRDefault="004D286D" w:rsidP="00304C8B">
      <w:pPr>
        <w:pStyle w:val="Proposal"/>
        <w:numPr>
          <w:ilvl w:val="0"/>
          <w:numId w:val="19"/>
        </w:numPr>
      </w:pPr>
      <w:r>
        <w:t>Even allocation across layers if feasible; otherwise, more bits can be allocated to higher layers</w:t>
      </w:r>
      <w:r w:rsidR="00A94C81">
        <w:t>.</w:t>
      </w:r>
    </w:p>
    <w:p w14:paraId="303A1579" w14:textId="274025B4" w:rsidR="00A94C81" w:rsidRDefault="00E34D70" w:rsidP="00304C8B">
      <w:pPr>
        <w:pStyle w:val="Proposal"/>
        <w:numPr>
          <w:ilvl w:val="0"/>
          <w:numId w:val="19"/>
        </w:numPr>
      </w:pPr>
      <w:r>
        <w:t>For a PC, t</w:t>
      </w:r>
      <w:r w:rsidR="004D286D">
        <w:t xml:space="preserve">otal number of </w:t>
      </w:r>
      <w:r w:rsidR="00954644">
        <w:t>parameter pairs for a certain layer</w:t>
      </w:r>
      <w:r>
        <w:t xml:space="preserve"> across all ranks</w:t>
      </w:r>
      <w:r w:rsidR="00954644">
        <w:t xml:space="preserve"> is no more than 2</w:t>
      </w:r>
      <w:r w:rsidR="00A94C81">
        <w:t>.</w:t>
      </w:r>
    </w:p>
    <w:p w14:paraId="6FECC9C7" w14:textId="4B73B02A" w:rsidR="00BB1DC6" w:rsidRDefault="00BB1DC6" w:rsidP="00304C8B">
      <w:pPr>
        <w:pStyle w:val="Proposal"/>
        <w:numPr>
          <w:ilvl w:val="0"/>
          <w:numId w:val="19"/>
        </w:numPr>
      </w:pPr>
      <w:r>
        <w:t xml:space="preserve">The per-layer parameter pair is chosen from the identified options, i.e., </w:t>
      </w:r>
      <w:r w:rsidR="00A94C81">
        <w:t>{32, 2}, {64, 2}, {96, 2}, {128, 2} and {192, 2}.</w:t>
      </w:r>
    </w:p>
    <w:p w14:paraId="55B0BDC0" w14:textId="53BCCCFA" w:rsidR="0041693D" w:rsidRDefault="004F4E34" w:rsidP="00A55879">
      <w:r>
        <w:t xml:space="preserve">In light of </w:t>
      </w:r>
      <w:r w:rsidR="00644AB9">
        <w:t>above</w:t>
      </w:r>
      <w:r>
        <w:t xml:space="preserve">, </w:t>
      </w:r>
      <w:r w:rsidR="00711B2B">
        <w:t>let us fill in the PC</w:t>
      </w:r>
      <w:r>
        <w:t xml:space="preserve"> table</w:t>
      </w:r>
      <w:r w:rsidR="00B203CA">
        <w:t xml:space="preserve"> with</w:t>
      </w:r>
      <w:r>
        <w:t xml:space="preserve"> </w:t>
      </w:r>
      <w:r w:rsidR="007A1676">
        <w:t>even allocation</w:t>
      </w:r>
      <w:r w:rsidR="00B203CA">
        <w:t xml:space="preserve"> across layers of</w:t>
      </w:r>
      <w:r w:rsidR="007A1676">
        <w:t xml:space="preserve"> rank 3 and rank 4</w:t>
      </w:r>
      <w:r w:rsidR="00B203CA">
        <w:t xml:space="preserve"> as a starting point</w:t>
      </w:r>
      <w:r w:rsidR="007A1676">
        <w:t>.</w:t>
      </w:r>
      <w:r w:rsidR="00517A06">
        <w:t xml:space="preserve"> </w:t>
      </w:r>
      <w:r w:rsidR="00DB5048">
        <w:fldChar w:fldCharType="begin"/>
      </w:r>
      <w:r w:rsidR="00DB5048">
        <w:instrText xml:space="preserve"> REF _Ref213424959 \h </w:instrText>
      </w:r>
      <w:r w:rsidR="00DB5048">
        <w:fldChar w:fldCharType="separate"/>
      </w:r>
      <w:r w:rsidR="00DB5048">
        <w:t xml:space="preserve">Table </w:t>
      </w:r>
      <w:r w:rsidR="00DB5048">
        <w:rPr>
          <w:noProof/>
        </w:rPr>
        <w:t>2</w:t>
      </w:r>
      <w:r w:rsidR="00DB5048">
        <w:noBreakHyphen/>
      </w:r>
      <w:r w:rsidR="00DB5048">
        <w:rPr>
          <w:noProof/>
        </w:rPr>
        <w:t>4</w:t>
      </w:r>
      <w:r w:rsidR="00DB5048">
        <w:fldChar w:fldCharType="end"/>
      </w:r>
      <w:r w:rsidR="00DB5048">
        <w:t xml:space="preserve"> presents the results, and t</w:t>
      </w:r>
      <w:r w:rsidR="0041693D">
        <w:t>here are four highlighted entries</w:t>
      </w:r>
      <w:r w:rsidR="009E0880">
        <w:t xml:space="preserve"> which are problematic.</w:t>
      </w:r>
    </w:p>
    <w:p w14:paraId="588FA6CC" w14:textId="06A7F641" w:rsidR="00517A06" w:rsidRDefault="00517A06" w:rsidP="00517A06">
      <w:pPr>
        <w:pStyle w:val="Caption"/>
        <w:keepNext/>
      </w:pPr>
      <w:bookmarkStart w:id="22" w:name="_Ref213424959"/>
      <w:r>
        <w:t xml:space="preserve">Table </w:t>
      </w:r>
      <w:r w:rsidR="00407517">
        <w:fldChar w:fldCharType="begin"/>
      </w:r>
      <w:r w:rsidR="00407517">
        <w:instrText xml:space="preserve"> STYLEREF 1 \s </w:instrText>
      </w:r>
      <w:r w:rsidR="00407517">
        <w:fldChar w:fldCharType="separate"/>
      </w:r>
      <w:r w:rsidR="00407517">
        <w:rPr>
          <w:noProof/>
        </w:rPr>
        <w:t>2</w:t>
      </w:r>
      <w:r w:rsidR="00407517">
        <w:fldChar w:fldCharType="end"/>
      </w:r>
      <w:r w:rsidR="00407517">
        <w:noBreakHyphen/>
      </w:r>
      <w:r w:rsidR="00407517">
        <w:fldChar w:fldCharType="begin"/>
      </w:r>
      <w:r w:rsidR="00407517">
        <w:instrText xml:space="preserve"> SEQ Table \* ARABIC \s 1 </w:instrText>
      </w:r>
      <w:r w:rsidR="00407517">
        <w:fldChar w:fldCharType="separate"/>
      </w:r>
      <w:r w:rsidR="00407517">
        <w:rPr>
          <w:noProof/>
        </w:rPr>
        <w:t>4</w:t>
      </w:r>
      <w:r w:rsidR="00407517">
        <w:fldChar w:fldCharType="end"/>
      </w:r>
      <w:bookmarkEnd w:id="22"/>
      <w:r>
        <w:t xml:space="preserve">. PC tables starting with even allocation and with adjustment based on </w:t>
      </w:r>
      <w:r w:rsidR="00DB5048">
        <w:t>Proposal 4.</w:t>
      </w:r>
    </w:p>
    <w:tbl>
      <w:tblPr>
        <w:tblStyle w:val="TableGrid"/>
        <w:tblW w:w="9270"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0"/>
        <w:gridCol w:w="990"/>
        <w:gridCol w:w="1890"/>
        <w:gridCol w:w="2520"/>
        <w:gridCol w:w="3060"/>
      </w:tblGrid>
      <w:tr w:rsidR="003E0A4F" w:rsidRPr="0015359D" w14:paraId="74183935" w14:textId="77777777" w:rsidTr="008754E5">
        <w:tc>
          <w:tcPr>
            <w:tcW w:w="810" w:type="dxa"/>
          </w:tcPr>
          <w:p w14:paraId="5CFEA24D" w14:textId="77777777" w:rsidR="006E46BE" w:rsidRPr="0015359D" w:rsidRDefault="006E46BE" w:rsidP="001B10F9">
            <w:r>
              <w:t>SQ table</w:t>
            </w:r>
          </w:p>
        </w:tc>
        <w:tc>
          <w:tcPr>
            <w:tcW w:w="990" w:type="dxa"/>
          </w:tcPr>
          <w:p w14:paraId="2FA5430F" w14:textId="77777777" w:rsidR="006E46BE" w:rsidRPr="0015359D" w:rsidRDefault="006E46BE" w:rsidP="001B10F9">
            <w:r w:rsidRPr="0015359D">
              <w:t>Rank1</w:t>
            </w:r>
          </w:p>
        </w:tc>
        <w:tc>
          <w:tcPr>
            <w:tcW w:w="1890" w:type="dxa"/>
          </w:tcPr>
          <w:p w14:paraId="720A5D2E" w14:textId="77777777" w:rsidR="006E46BE" w:rsidRPr="0015359D" w:rsidRDefault="006E46BE" w:rsidP="001B10F9">
            <w:r w:rsidRPr="0015359D">
              <w:t>Rank2</w:t>
            </w:r>
          </w:p>
        </w:tc>
        <w:tc>
          <w:tcPr>
            <w:tcW w:w="2520" w:type="dxa"/>
          </w:tcPr>
          <w:p w14:paraId="12A59989" w14:textId="77777777" w:rsidR="006E46BE" w:rsidRPr="0015359D" w:rsidRDefault="006E46BE" w:rsidP="001B10F9">
            <w:r w:rsidRPr="0015359D">
              <w:t>Rank3</w:t>
            </w:r>
          </w:p>
        </w:tc>
        <w:tc>
          <w:tcPr>
            <w:tcW w:w="3060" w:type="dxa"/>
          </w:tcPr>
          <w:p w14:paraId="75FFDEEE" w14:textId="77777777" w:rsidR="006E46BE" w:rsidRPr="0015359D" w:rsidRDefault="006E46BE" w:rsidP="001B10F9">
            <w:r w:rsidRPr="0015359D">
              <w:t>Rank4</w:t>
            </w:r>
          </w:p>
        </w:tc>
      </w:tr>
      <w:tr w:rsidR="003E0A4F" w:rsidRPr="0015359D" w14:paraId="3F1D75AF" w14:textId="77777777" w:rsidTr="008754E5">
        <w:tc>
          <w:tcPr>
            <w:tcW w:w="810" w:type="dxa"/>
          </w:tcPr>
          <w:p w14:paraId="6057A40F" w14:textId="77777777" w:rsidR="006E46BE" w:rsidRPr="0015359D" w:rsidRDefault="006E46BE" w:rsidP="001B10F9">
            <w:r w:rsidRPr="0015359D">
              <w:rPr>
                <w:rFonts w:hint="eastAsia"/>
              </w:rPr>
              <w:t>P</w:t>
            </w:r>
            <w:r w:rsidRPr="0015359D">
              <w:t>C1</w:t>
            </w:r>
          </w:p>
        </w:tc>
        <w:tc>
          <w:tcPr>
            <w:tcW w:w="990" w:type="dxa"/>
          </w:tcPr>
          <w:p w14:paraId="1D3DAC64" w14:textId="77777777" w:rsidR="006E46BE" w:rsidRPr="0015359D" w:rsidRDefault="006E46BE" w:rsidP="001B10F9">
            <w:r>
              <w:t>{32, 2}</w:t>
            </w:r>
          </w:p>
        </w:tc>
        <w:tc>
          <w:tcPr>
            <w:tcW w:w="1890" w:type="dxa"/>
          </w:tcPr>
          <w:p w14:paraId="620B431B" w14:textId="77777777" w:rsidR="006E46BE" w:rsidRPr="0015359D" w:rsidRDefault="006E46BE" w:rsidP="001B10F9">
            <w:r>
              <w:t>{32, 2}, {32, 2}</w:t>
            </w:r>
          </w:p>
        </w:tc>
        <w:tc>
          <w:tcPr>
            <w:tcW w:w="2520" w:type="dxa"/>
          </w:tcPr>
          <w:p w14:paraId="651A4749" w14:textId="77777777" w:rsidR="006E46BE" w:rsidRPr="0015359D" w:rsidRDefault="006E46BE" w:rsidP="001B10F9">
            <w:r>
              <w:t>{32, 2}, {32, 2}, {32, 2}</w:t>
            </w:r>
          </w:p>
        </w:tc>
        <w:tc>
          <w:tcPr>
            <w:tcW w:w="3060" w:type="dxa"/>
          </w:tcPr>
          <w:p w14:paraId="3C2DAB9D" w14:textId="77777777" w:rsidR="006E46BE" w:rsidRPr="0015359D" w:rsidRDefault="006E46BE" w:rsidP="001B10F9">
            <w:r>
              <w:t>{32, 2}, {32, 2}, {32, 2}, {32, 2}</w:t>
            </w:r>
          </w:p>
        </w:tc>
      </w:tr>
      <w:tr w:rsidR="003E0A4F" w:rsidRPr="0015359D" w14:paraId="59F47043" w14:textId="77777777" w:rsidTr="008754E5">
        <w:tc>
          <w:tcPr>
            <w:tcW w:w="810" w:type="dxa"/>
          </w:tcPr>
          <w:p w14:paraId="683897A2" w14:textId="77777777" w:rsidR="006E46BE" w:rsidRPr="0015359D" w:rsidRDefault="006E46BE" w:rsidP="001B10F9">
            <w:r w:rsidRPr="0015359D">
              <w:rPr>
                <w:rFonts w:hint="eastAsia"/>
              </w:rPr>
              <w:t>P</w:t>
            </w:r>
            <w:r w:rsidRPr="0015359D">
              <w:t>C2</w:t>
            </w:r>
          </w:p>
        </w:tc>
        <w:tc>
          <w:tcPr>
            <w:tcW w:w="990" w:type="dxa"/>
          </w:tcPr>
          <w:p w14:paraId="5E1E129E" w14:textId="77777777" w:rsidR="006E46BE" w:rsidRPr="0015359D" w:rsidRDefault="006E46BE" w:rsidP="001B10F9">
            <w:r>
              <w:t>{64, 2}</w:t>
            </w:r>
          </w:p>
        </w:tc>
        <w:tc>
          <w:tcPr>
            <w:tcW w:w="1890" w:type="dxa"/>
          </w:tcPr>
          <w:p w14:paraId="42BD1F66" w14:textId="77777777" w:rsidR="006E46BE" w:rsidRPr="0015359D" w:rsidRDefault="006E46BE" w:rsidP="001B10F9">
            <w:r>
              <w:t>{64, 2}, {64, 2}</w:t>
            </w:r>
          </w:p>
        </w:tc>
        <w:tc>
          <w:tcPr>
            <w:tcW w:w="2520" w:type="dxa"/>
          </w:tcPr>
          <w:p w14:paraId="6C6A6A63" w14:textId="77777777" w:rsidR="006E46BE" w:rsidRPr="0015359D" w:rsidRDefault="006E46BE" w:rsidP="001B10F9">
            <w:r w:rsidRPr="009356AA">
              <w:rPr>
                <w:highlight w:val="yellow"/>
              </w:rPr>
              <w:t>{32, 2}, {32, 2}, {32, 2}</w:t>
            </w:r>
            <w:r>
              <w:t xml:space="preserve"> </w:t>
            </w:r>
            <w:r>
              <w:sym w:font="Wingdings" w:char="F0E0"/>
            </w:r>
            <w:r>
              <w:t xml:space="preserve"> </w:t>
            </w:r>
            <w:r w:rsidRPr="00262E37">
              <w:rPr>
                <w:color w:val="FF0000"/>
              </w:rPr>
              <w:t>{32, 2}, {32, 2}, {64, 2}</w:t>
            </w:r>
          </w:p>
        </w:tc>
        <w:tc>
          <w:tcPr>
            <w:tcW w:w="3060" w:type="dxa"/>
          </w:tcPr>
          <w:p w14:paraId="49804C1A" w14:textId="77777777" w:rsidR="006E46BE" w:rsidRPr="0015359D" w:rsidRDefault="006E46BE" w:rsidP="001B10F9">
            <w:r>
              <w:t>{32, 2}, {32, 2}, {32, 2}, {32, 2}</w:t>
            </w:r>
          </w:p>
        </w:tc>
      </w:tr>
      <w:tr w:rsidR="003E0A4F" w:rsidRPr="0015359D" w14:paraId="367A6DA0" w14:textId="77777777" w:rsidTr="008754E5">
        <w:tc>
          <w:tcPr>
            <w:tcW w:w="810" w:type="dxa"/>
          </w:tcPr>
          <w:p w14:paraId="1183ACFC" w14:textId="77777777" w:rsidR="006E46BE" w:rsidRPr="00390F00" w:rsidRDefault="006E46BE" w:rsidP="001B10F9">
            <w:pPr>
              <w:rPr>
                <w:strike/>
                <w:color w:val="FF0000"/>
              </w:rPr>
            </w:pPr>
            <w:r w:rsidRPr="00390F00">
              <w:rPr>
                <w:rFonts w:hint="eastAsia"/>
                <w:strike/>
                <w:color w:val="FF0000"/>
              </w:rPr>
              <w:t>P</w:t>
            </w:r>
            <w:r w:rsidRPr="00390F00">
              <w:rPr>
                <w:strike/>
                <w:color w:val="FF0000"/>
              </w:rPr>
              <w:t>C3</w:t>
            </w:r>
          </w:p>
        </w:tc>
        <w:tc>
          <w:tcPr>
            <w:tcW w:w="990" w:type="dxa"/>
          </w:tcPr>
          <w:p w14:paraId="038FEF94" w14:textId="77777777" w:rsidR="006E46BE" w:rsidRPr="00390F00" w:rsidRDefault="006E46BE" w:rsidP="001B10F9">
            <w:pPr>
              <w:rPr>
                <w:strike/>
                <w:color w:val="FF0000"/>
              </w:rPr>
            </w:pPr>
            <w:r w:rsidRPr="00390F00">
              <w:rPr>
                <w:strike/>
                <w:color w:val="FF0000"/>
              </w:rPr>
              <w:t>{96, 2}</w:t>
            </w:r>
          </w:p>
        </w:tc>
        <w:tc>
          <w:tcPr>
            <w:tcW w:w="1890" w:type="dxa"/>
          </w:tcPr>
          <w:p w14:paraId="43E6C4CD" w14:textId="77777777" w:rsidR="006E46BE" w:rsidRPr="00390F00" w:rsidRDefault="006E46BE" w:rsidP="001B10F9">
            <w:pPr>
              <w:rPr>
                <w:strike/>
                <w:color w:val="FF0000"/>
              </w:rPr>
            </w:pPr>
            <w:r w:rsidRPr="00390F00">
              <w:rPr>
                <w:strike/>
                <w:color w:val="FF0000"/>
              </w:rPr>
              <w:t>{96, 2}, {96, 2}</w:t>
            </w:r>
          </w:p>
        </w:tc>
        <w:tc>
          <w:tcPr>
            <w:tcW w:w="2520" w:type="dxa"/>
          </w:tcPr>
          <w:p w14:paraId="0718C39E" w14:textId="77777777" w:rsidR="006E46BE" w:rsidRPr="00390F00" w:rsidRDefault="006E46BE" w:rsidP="001B10F9">
            <w:pPr>
              <w:rPr>
                <w:strike/>
                <w:color w:val="FF0000"/>
              </w:rPr>
            </w:pPr>
            <w:r w:rsidRPr="00390F00">
              <w:rPr>
                <w:strike/>
                <w:color w:val="FF0000"/>
              </w:rPr>
              <w:t>{64, 2}, {64, 2}, {64, 2}</w:t>
            </w:r>
          </w:p>
        </w:tc>
        <w:tc>
          <w:tcPr>
            <w:tcW w:w="3060" w:type="dxa"/>
          </w:tcPr>
          <w:p w14:paraId="5C154164" w14:textId="77777777" w:rsidR="006E46BE" w:rsidRPr="00390F00" w:rsidRDefault="006E46BE" w:rsidP="001B10F9">
            <w:pPr>
              <w:rPr>
                <w:strike/>
                <w:color w:val="FF0000"/>
              </w:rPr>
            </w:pPr>
            <w:r w:rsidRPr="007D31D5">
              <w:rPr>
                <w:strike/>
                <w:color w:val="FF0000"/>
                <w:highlight w:val="cyan"/>
              </w:rPr>
              <w:t>{48, 2}, {48, 2}, {48, 2}, {48, 2}</w:t>
            </w:r>
          </w:p>
        </w:tc>
      </w:tr>
      <w:tr w:rsidR="006E46BE" w:rsidRPr="0015359D" w14:paraId="00B2AC05" w14:textId="77777777" w:rsidTr="008754E5">
        <w:tc>
          <w:tcPr>
            <w:tcW w:w="810" w:type="dxa"/>
          </w:tcPr>
          <w:p w14:paraId="11CC53DE" w14:textId="4C51D48C" w:rsidR="006E46BE" w:rsidRPr="0015359D" w:rsidRDefault="006E46BE" w:rsidP="001B10F9">
            <w:r w:rsidRPr="0015359D">
              <w:rPr>
                <w:rFonts w:hint="eastAsia"/>
              </w:rPr>
              <w:t>P</w:t>
            </w:r>
            <w:r w:rsidRPr="0015359D">
              <w:t>C</w:t>
            </w:r>
            <w:r>
              <w:t xml:space="preserve">4 </w:t>
            </w:r>
          </w:p>
        </w:tc>
        <w:tc>
          <w:tcPr>
            <w:tcW w:w="990" w:type="dxa"/>
          </w:tcPr>
          <w:p w14:paraId="66BA1CB9" w14:textId="77777777" w:rsidR="006E46BE" w:rsidRDefault="006E46BE" w:rsidP="001B10F9">
            <w:r>
              <w:t>{128, 2}</w:t>
            </w:r>
          </w:p>
        </w:tc>
        <w:tc>
          <w:tcPr>
            <w:tcW w:w="1890" w:type="dxa"/>
          </w:tcPr>
          <w:p w14:paraId="0CECE470" w14:textId="77777777" w:rsidR="006E46BE" w:rsidRDefault="006E46BE" w:rsidP="001B10F9">
            <w:r>
              <w:t>{128, 2}, {128, 2}</w:t>
            </w:r>
          </w:p>
        </w:tc>
        <w:tc>
          <w:tcPr>
            <w:tcW w:w="2520" w:type="dxa"/>
          </w:tcPr>
          <w:p w14:paraId="7704607F" w14:textId="77777777" w:rsidR="006E46BE" w:rsidRPr="007D31D5" w:rsidRDefault="006E46BE" w:rsidP="001B10F9">
            <w:pPr>
              <w:rPr>
                <w:highlight w:val="magenta"/>
              </w:rPr>
            </w:pPr>
            <w:r w:rsidRPr="007D31D5">
              <w:rPr>
                <w:highlight w:val="magenta"/>
              </w:rPr>
              <w:t>{96, 2}, {96, 2}, {96, 2}</w:t>
            </w:r>
            <w:r>
              <w:rPr>
                <w:highlight w:val="magenta"/>
              </w:rPr>
              <w:t xml:space="preserve"> </w:t>
            </w:r>
            <w:r w:rsidRPr="00A91096">
              <w:sym w:font="Wingdings" w:char="F0E0"/>
            </w:r>
            <w:r w:rsidRPr="00E71EF4">
              <w:rPr>
                <w:color w:val="FF0000"/>
              </w:rPr>
              <w:t xml:space="preserve"> {64, 2}, {64, 2}, {128, 2}</w:t>
            </w:r>
          </w:p>
        </w:tc>
        <w:tc>
          <w:tcPr>
            <w:tcW w:w="3060" w:type="dxa"/>
          </w:tcPr>
          <w:p w14:paraId="7DF6D0BC" w14:textId="77777777" w:rsidR="006E46BE" w:rsidRPr="0015359D" w:rsidRDefault="006E46BE" w:rsidP="001B10F9">
            <w:r>
              <w:t>{64, 2}, {64, 2}, {64, 2}, {64, 2}</w:t>
            </w:r>
          </w:p>
        </w:tc>
      </w:tr>
      <w:tr w:rsidR="006E46BE" w:rsidRPr="0015359D" w14:paraId="601F6090" w14:textId="77777777" w:rsidTr="008754E5">
        <w:tc>
          <w:tcPr>
            <w:tcW w:w="810" w:type="dxa"/>
          </w:tcPr>
          <w:p w14:paraId="617DE8B2" w14:textId="7A53EC7A" w:rsidR="006E46BE" w:rsidRPr="0015359D" w:rsidRDefault="006E46BE" w:rsidP="001B10F9">
            <w:r w:rsidRPr="0015359D">
              <w:rPr>
                <w:rFonts w:hint="eastAsia"/>
              </w:rPr>
              <w:t>P</w:t>
            </w:r>
            <w:r w:rsidRPr="0015359D">
              <w:t>C</w:t>
            </w:r>
            <w:r>
              <w:t xml:space="preserve">5 </w:t>
            </w:r>
          </w:p>
        </w:tc>
        <w:tc>
          <w:tcPr>
            <w:tcW w:w="990" w:type="dxa"/>
          </w:tcPr>
          <w:p w14:paraId="3654ED4D" w14:textId="77777777" w:rsidR="006E46BE" w:rsidRDefault="006E46BE" w:rsidP="001B10F9">
            <w:r>
              <w:t>{192, 2}</w:t>
            </w:r>
          </w:p>
        </w:tc>
        <w:tc>
          <w:tcPr>
            <w:tcW w:w="1890" w:type="dxa"/>
          </w:tcPr>
          <w:p w14:paraId="732072D8" w14:textId="77777777" w:rsidR="006E46BE" w:rsidRDefault="006E46BE" w:rsidP="001B10F9">
            <w:r>
              <w:t>{192, 2}, {192, 2}</w:t>
            </w:r>
          </w:p>
        </w:tc>
        <w:tc>
          <w:tcPr>
            <w:tcW w:w="2520" w:type="dxa"/>
          </w:tcPr>
          <w:p w14:paraId="3EE2BA6F" w14:textId="77777777" w:rsidR="006E46BE" w:rsidRPr="007D31D5" w:rsidRDefault="006E46BE" w:rsidP="001B10F9">
            <w:pPr>
              <w:rPr>
                <w:highlight w:val="magenta"/>
              </w:rPr>
            </w:pPr>
            <w:r w:rsidRPr="007D31D5">
              <w:rPr>
                <w:highlight w:val="magenta"/>
              </w:rPr>
              <w:t>{128, 2}, {128, 2}, {128, 2}</w:t>
            </w:r>
            <w:r>
              <w:rPr>
                <w:highlight w:val="magenta"/>
              </w:rPr>
              <w:t xml:space="preserve"> </w:t>
            </w:r>
            <w:r w:rsidRPr="00A91096">
              <w:sym w:font="Wingdings" w:char="F0E0"/>
            </w:r>
            <w:r w:rsidRPr="00A91096">
              <w:t xml:space="preserve"> </w:t>
            </w:r>
            <w:r w:rsidRPr="00E71EF4">
              <w:rPr>
                <w:color w:val="FF0000"/>
              </w:rPr>
              <w:t>{</w:t>
            </w:r>
            <w:r>
              <w:rPr>
                <w:color w:val="FF0000"/>
              </w:rPr>
              <w:t>96</w:t>
            </w:r>
            <w:r w:rsidRPr="00E71EF4">
              <w:rPr>
                <w:color w:val="FF0000"/>
              </w:rPr>
              <w:t>, 2}, {</w:t>
            </w:r>
            <w:r>
              <w:rPr>
                <w:color w:val="FF0000"/>
              </w:rPr>
              <w:t>96</w:t>
            </w:r>
            <w:r w:rsidRPr="00E71EF4">
              <w:rPr>
                <w:color w:val="FF0000"/>
              </w:rPr>
              <w:t>, 2}, {</w:t>
            </w:r>
            <w:r>
              <w:rPr>
                <w:color w:val="FF0000"/>
              </w:rPr>
              <w:t>192</w:t>
            </w:r>
            <w:r w:rsidRPr="00E71EF4">
              <w:rPr>
                <w:color w:val="FF0000"/>
              </w:rPr>
              <w:t>, 2}</w:t>
            </w:r>
          </w:p>
        </w:tc>
        <w:tc>
          <w:tcPr>
            <w:tcW w:w="3060" w:type="dxa"/>
          </w:tcPr>
          <w:p w14:paraId="1B1718CE" w14:textId="77777777" w:rsidR="006E46BE" w:rsidRDefault="006E46BE" w:rsidP="001B10F9">
            <w:r>
              <w:t>{96, 2}, {96, 2}, {96, 2}, {96, 2}</w:t>
            </w:r>
          </w:p>
        </w:tc>
      </w:tr>
    </w:tbl>
    <w:p w14:paraId="5E7C2E07" w14:textId="77777777" w:rsidR="006E46BE" w:rsidRDefault="006E46BE" w:rsidP="00A55879"/>
    <w:p w14:paraId="424ABB80" w14:textId="0A9AAF15" w:rsidR="009E0880" w:rsidRDefault="009E0880" w:rsidP="00A55879">
      <w:r w:rsidRPr="00E83A6B">
        <w:rPr>
          <w:highlight w:val="yellow"/>
        </w:rPr>
        <w:t>For Rank 3 of PC2</w:t>
      </w:r>
      <w:r>
        <w:t xml:space="preserve">, </w:t>
      </w:r>
      <w:r w:rsidR="00E83A6B">
        <w:t>the total payload size of rank 3 is smaller than that of rank 2</w:t>
      </w:r>
      <w:r w:rsidR="00595B6E">
        <w:t xml:space="preserve">, which results in inferior performance. </w:t>
      </w:r>
      <w:r w:rsidR="009E7441">
        <w:t xml:space="preserve">Thus, it is beneficial to allocate more bits to layer 3 given that </w:t>
      </w:r>
      <w:r w:rsidR="00262E37">
        <w:t>higher layer is more difficult to compress.</w:t>
      </w:r>
    </w:p>
    <w:p w14:paraId="430DEF13" w14:textId="07B7DD68" w:rsidR="001F14A8" w:rsidRDefault="001F14A8" w:rsidP="00A55879">
      <w:r w:rsidRPr="007D31D5">
        <w:rPr>
          <w:highlight w:val="cyan"/>
        </w:rPr>
        <w:t>For rank 4 of PC3</w:t>
      </w:r>
      <w:r>
        <w:t>, the payload parameter pair {48, 2} is not part of the candidate</w:t>
      </w:r>
      <w:r w:rsidR="008301CC">
        <w:t>. Including it as another payload option would further degrade the performance of all other per-layer parameter pairs considering tha</w:t>
      </w:r>
      <w:r w:rsidR="009879B3">
        <w:t xml:space="preserve">t a layer-common rank-common model is employed. Adjusting it to other payload option, e.g., </w:t>
      </w:r>
      <w:r w:rsidR="004D4A18">
        <w:t>{32,2}, {32, 2}, {64,2}</w:t>
      </w:r>
      <w:r w:rsidR="005426F7">
        <w:t>,</w:t>
      </w:r>
      <w:r w:rsidR="004D4A18">
        <w:t xml:space="preserve"> </w:t>
      </w:r>
      <w:r w:rsidR="005426F7">
        <w:t xml:space="preserve">{64,2}, is also problematic as there are </w:t>
      </w:r>
      <w:r w:rsidR="00195430">
        <w:t xml:space="preserve">there are more than 2 payload options for layer 1 and layer 2 for PC3. Thus, it is suggested to </w:t>
      </w:r>
      <w:r w:rsidR="00405712">
        <w:t xml:space="preserve">remove PC3 and other four PCs </w:t>
      </w:r>
      <w:r w:rsidR="00CF5EE5">
        <w:t xml:space="preserve">also provides </w:t>
      </w:r>
      <w:r w:rsidR="009C4D7D">
        <w:t>a good coverage of payload regime</w:t>
      </w:r>
      <w:r w:rsidR="00405712">
        <w:t>.</w:t>
      </w:r>
      <w:r w:rsidR="005426F7">
        <w:t xml:space="preserve"> </w:t>
      </w:r>
    </w:p>
    <w:p w14:paraId="4093EE00" w14:textId="1426051A" w:rsidR="00DF3367" w:rsidRDefault="00DF3367" w:rsidP="00A55879">
      <w:r w:rsidRPr="00BF45CC">
        <w:rPr>
          <w:highlight w:val="magenta"/>
        </w:rPr>
        <w:t>For rank 3 of PC4 and PC5</w:t>
      </w:r>
      <w:r>
        <w:t xml:space="preserve">, </w:t>
      </w:r>
      <w:r w:rsidR="00F2052C">
        <w:t xml:space="preserve">there are </w:t>
      </w:r>
      <w:r w:rsidR="00AB66A9">
        <w:t>3</w:t>
      </w:r>
      <w:r w:rsidR="00F2052C">
        <w:t xml:space="preserve"> </w:t>
      </w:r>
      <w:r w:rsidR="00AB66A9">
        <w:t>parameter pairs</w:t>
      </w:r>
      <w:r w:rsidR="00F2052C">
        <w:t xml:space="preserve"> for layer 1 and layer 2</w:t>
      </w:r>
      <w:r w:rsidR="00C66161">
        <w:t>. T</w:t>
      </w:r>
      <w:r w:rsidR="00F2052C">
        <w:t>hus</w:t>
      </w:r>
      <w:r w:rsidR="00C66161">
        <w:t>,</w:t>
      </w:r>
      <w:r w:rsidR="00F2052C">
        <w:t xml:space="preserve"> it is preferred to adjust the payload of rank 3 by keeping the same payload </w:t>
      </w:r>
      <w:r w:rsidR="00C66161">
        <w:t xml:space="preserve">for layer 1 and layer 2 as rank 4, while allocating more bits to layer 3 by </w:t>
      </w:r>
      <w:r w:rsidR="00E71EF4">
        <w:t>summing the payload of layer 3 and layer 4 of rank 4.</w:t>
      </w:r>
    </w:p>
    <w:p w14:paraId="518FE556" w14:textId="52988D5C" w:rsidR="00A24469" w:rsidRDefault="00A24469" w:rsidP="00A55879">
      <w:r>
        <w:t>With above discussion, we consider the paramete</w:t>
      </w:r>
      <w:r w:rsidR="00407517">
        <w:t xml:space="preserve">r combinations as presented in </w:t>
      </w:r>
      <w:r w:rsidR="00407517">
        <w:fldChar w:fldCharType="begin"/>
      </w:r>
      <w:r w:rsidR="00407517">
        <w:instrText xml:space="preserve"> REF _Ref213425222 \h </w:instrText>
      </w:r>
      <w:r w:rsidR="00407517">
        <w:fldChar w:fldCharType="separate"/>
      </w:r>
      <w:r w:rsidR="00407517">
        <w:t xml:space="preserve">Table </w:t>
      </w:r>
      <w:r w:rsidR="00407517">
        <w:rPr>
          <w:noProof/>
        </w:rPr>
        <w:t>2</w:t>
      </w:r>
      <w:r w:rsidR="00407517">
        <w:noBreakHyphen/>
      </w:r>
      <w:r w:rsidR="00407517">
        <w:rPr>
          <w:noProof/>
        </w:rPr>
        <w:t>5</w:t>
      </w:r>
      <w:r w:rsidR="00407517">
        <w:fldChar w:fldCharType="end"/>
      </w:r>
      <w:r w:rsidR="0002467D">
        <w:t>.</w:t>
      </w:r>
    </w:p>
    <w:p w14:paraId="2BA84AC2" w14:textId="4236A154" w:rsidR="006A6B83" w:rsidRDefault="000903CE" w:rsidP="00B177A2">
      <w:pPr>
        <w:pStyle w:val="Proposal"/>
      </w:pPr>
      <w:bookmarkStart w:id="23" w:name="_Ref213431512"/>
      <w:r>
        <w:t>Support Y=4 parameter combinations</w:t>
      </w:r>
      <w:r w:rsidR="007042D4">
        <w:t xml:space="preserve"> as </w:t>
      </w:r>
      <w:r w:rsidR="00407517">
        <w:t xml:space="preserve">in </w:t>
      </w:r>
      <w:r w:rsidR="00407517">
        <w:fldChar w:fldCharType="begin"/>
      </w:r>
      <w:r w:rsidR="00407517">
        <w:instrText xml:space="preserve"> REF _Ref213425222 \h </w:instrText>
      </w:r>
      <w:r w:rsidR="00407517">
        <w:fldChar w:fldCharType="separate"/>
      </w:r>
      <w:r w:rsidR="00407517">
        <w:t xml:space="preserve">Table </w:t>
      </w:r>
      <w:r w:rsidR="00407517">
        <w:rPr>
          <w:noProof/>
        </w:rPr>
        <w:t>2</w:t>
      </w:r>
      <w:r w:rsidR="00407517">
        <w:noBreakHyphen/>
      </w:r>
      <w:r w:rsidR="00407517">
        <w:rPr>
          <w:noProof/>
        </w:rPr>
        <w:t>5</w:t>
      </w:r>
      <w:r w:rsidR="00407517">
        <w:fldChar w:fldCharType="end"/>
      </w:r>
      <w:r w:rsidR="00792EEB">
        <w:t>.</w:t>
      </w:r>
      <w:bookmarkEnd w:id="23"/>
    </w:p>
    <w:p w14:paraId="53750BED" w14:textId="323381C6" w:rsidR="00407517" w:rsidRDefault="00407517" w:rsidP="00407517">
      <w:pPr>
        <w:pStyle w:val="Caption"/>
        <w:keepNext/>
      </w:pPr>
      <w:bookmarkStart w:id="24" w:name="_Ref213425222"/>
      <w:r>
        <w:t xml:space="preserve">Table </w:t>
      </w:r>
      <w:r>
        <w:fldChar w:fldCharType="begin"/>
      </w:r>
      <w:r>
        <w:instrText xml:space="preserve"> STYLEREF 1 \s </w:instrText>
      </w:r>
      <w:r>
        <w:fldChar w:fldCharType="separate"/>
      </w:r>
      <w:r>
        <w:rPr>
          <w:noProof/>
        </w:rPr>
        <w:t>2</w:t>
      </w:r>
      <w:r>
        <w:fldChar w:fldCharType="end"/>
      </w:r>
      <w:r>
        <w:noBreakHyphen/>
      </w:r>
      <w:r>
        <w:fldChar w:fldCharType="begin"/>
      </w:r>
      <w:r>
        <w:instrText xml:space="preserve"> SEQ Table \* ARABIC \s 1 </w:instrText>
      </w:r>
      <w:r>
        <w:fldChar w:fldCharType="separate"/>
      </w:r>
      <w:r>
        <w:rPr>
          <w:noProof/>
        </w:rPr>
        <w:t>5</w:t>
      </w:r>
      <w:r>
        <w:fldChar w:fldCharType="end"/>
      </w:r>
      <w:bookmarkEnd w:id="24"/>
      <w:r>
        <w:t>. Proposed Y=4 parameter combinations following proposal 4</w:t>
      </w:r>
    </w:p>
    <w:tbl>
      <w:tblPr>
        <w:tblStyle w:val="TableGrid"/>
        <w:tblW w:w="9270"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4"/>
        <w:gridCol w:w="1066"/>
        <w:gridCol w:w="1890"/>
        <w:gridCol w:w="2520"/>
        <w:gridCol w:w="3150"/>
      </w:tblGrid>
      <w:tr w:rsidR="00792EEB" w:rsidRPr="0015359D" w14:paraId="5DBD80CD" w14:textId="77777777" w:rsidTr="005B3494">
        <w:tc>
          <w:tcPr>
            <w:tcW w:w="644" w:type="dxa"/>
          </w:tcPr>
          <w:p w14:paraId="50994FAF" w14:textId="77777777" w:rsidR="00792EEB" w:rsidRPr="0015359D" w:rsidRDefault="00792EEB" w:rsidP="000903CE">
            <w:pPr>
              <w:jc w:val="center"/>
            </w:pPr>
            <w:r>
              <w:t>SQ table</w:t>
            </w:r>
          </w:p>
        </w:tc>
        <w:tc>
          <w:tcPr>
            <w:tcW w:w="1066" w:type="dxa"/>
          </w:tcPr>
          <w:p w14:paraId="2492E01E" w14:textId="77777777" w:rsidR="00792EEB" w:rsidRPr="0015359D" w:rsidRDefault="00792EEB" w:rsidP="000903CE">
            <w:pPr>
              <w:jc w:val="center"/>
            </w:pPr>
            <w:r w:rsidRPr="0015359D">
              <w:t>Rank1</w:t>
            </w:r>
          </w:p>
        </w:tc>
        <w:tc>
          <w:tcPr>
            <w:tcW w:w="1890" w:type="dxa"/>
          </w:tcPr>
          <w:p w14:paraId="31AC95D2" w14:textId="77777777" w:rsidR="00792EEB" w:rsidRPr="0015359D" w:rsidRDefault="00792EEB" w:rsidP="000903CE">
            <w:pPr>
              <w:jc w:val="center"/>
            </w:pPr>
            <w:r w:rsidRPr="0015359D">
              <w:t>Rank2</w:t>
            </w:r>
          </w:p>
        </w:tc>
        <w:tc>
          <w:tcPr>
            <w:tcW w:w="2520" w:type="dxa"/>
          </w:tcPr>
          <w:p w14:paraId="44FC7899" w14:textId="77777777" w:rsidR="00792EEB" w:rsidRPr="0015359D" w:rsidRDefault="00792EEB" w:rsidP="000903CE">
            <w:pPr>
              <w:jc w:val="center"/>
            </w:pPr>
            <w:r w:rsidRPr="0015359D">
              <w:t>Rank3</w:t>
            </w:r>
          </w:p>
        </w:tc>
        <w:tc>
          <w:tcPr>
            <w:tcW w:w="3150" w:type="dxa"/>
          </w:tcPr>
          <w:p w14:paraId="24AB6139" w14:textId="77777777" w:rsidR="00792EEB" w:rsidRPr="0015359D" w:rsidRDefault="00792EEB" w:rsidP="000903CE">
            <w:pPr>
              <w:jc w:val="center"/>
            </w:pPr>
            <w:r w:rsidRPr="0015359D">
              <w:t>Rank4</w:t>
            </w:r>
          </w:p>
        </w:tc>
      </w:tr>
      <w:tr w:rsidR="00792EEB" w:rsidRPr="0015359D" w14:paraId="382FF550" w14:textId="77777777" w:rsidTr="005B3494">
        <w:tc>
          <w:tcPr>
            <w:tcW w:w="644" w:type="dxa"/>
          </w:tcPr>
          <w:p w14:paraId="4A03220C" w14:textId="77777777" w:rsidR="00792EEB" w:rsidRPr="0015359D" w:rsidRDefault="00792EEB" w:rsidP="001B10F9">
            <w:r w:rsidRPr="0015359D">
              <w:rPr>
                <w:rFonts w:hint="eastAsia"/>
              </w:rPr>
              <w:t>P</w:t>
            </w:r>
            <w:r w:rsidRPr="0015359D">
              <w:t>C1</w:t>
            </w:r>
          </w:p>
        </w:tc>
        <w:tc>
          <w:tcPr>
            <w:tcW w:w="1066" w:type="dxa"/>
          </w:tcPr>
          <w:p w14:paraId="753DFD93" w14:textId="77777777" w:rsidR="00792EEB" w:rsidRPr="0015359D" w:rsidRDefault="00792EEB" w:rsidP="001B10F9">
            <w:r>
              <w:t>{32, 2}</w:t>
            </w:r>
          </w:p>
        </w:tc>
        <w:tc>
          <w:tcPr>
            <w:tcW w:w="1890" w:type="dxa"/>
          </w:tcPr>
          <w:p w14:paraId="6635DAB9" w14:textId="77777777" w:rsidR="00792EEB" w:rsidRPr="0015359D" w:rsidRDefault="00792EEB" w:rsidP="001B10F9">
            <w:r>
              <w:t>{32, 2}, {32, 2}</w:t>
            </w:r>
          </w:p>
        </w:tc>
        <w:tc>
          <w:tcPr>
            <w:tcW w:w="2520" w:type="dxa"/>
          </w:tcPr>
          <w:p w14:paraId="3B14E1D2" w14:textId="6B9A4205" w:rsidR="00792EEB" w:rsidRPr="0015359D" w:rsidRDefault="00792EEB" w:rsidP="001B10F9">
            <w:r>
              <w:t>{32, 2}, {32, 2}, {32, 2}</w:t>
            </w:r>
          </w:p>
        </w:tc>
        <w:tc>
          <w:tcPr>
            <w:tcW w:w="3150" w:type="dxa"/>
          </w:tcPr>
          <w:p w14:paraId="2B27FD5F" w14:textId="4CD99F67" w:rsidR="00792EEB" w:rsidRPr="0015359D" w:rsidRDefault="00792EEB" w:rsidP="001B10F9">
            <w:r>
              <w:t>{32, 2}, {32, 2}, {32, 2}, {32, 2}</w:t>
            </w:r>
          </w:p>
        </w:tc>
      </w:tr>
      <w:tr w:rsidR="00792EEB" w:rsidRPr="0015359D" w14:paraId="796E571E" w14:textId="77777777" w:rsidTr="005B3494">
        <w:tc>
          <w:tcPr>
            <w:tcW w:w="644" w:type="dxa"/>
          </w:tcPr>
          <w:p w14:paraId="22E2C2B3" w14:textId="77777777" w:rsidR="00792EEB" w:rsidRPr="0015359D" w:rsidRDefault="00792EEB" w:rsidP="001B10F9">
            <w:r w:rsidRPr="0015359D">
              <w:rPr>
                <w:rFonts w:hint="eastAsia"/>
              </w:rPr>
              <w:t>P</w:t>
            </w:r>
            <w:r w:rsidRPr="0015359D">
              <w:t>C2</w:t>
            </w:r>
          </w:p>
        </w:tc>
        <w:tc>
          <w:tcPr>
            <w:tcW w:w="1066" w:type="dxa"/>
          </w:tcPr>
          <w:p w14:paraId="70540F30" w14:textId="77777777" w:rsidR="00792EEB" w:rsidRPr="0015359D" w:rsidRDefault="00792EEB" w:rsidP="001B10F9">
            <w:r>
              <w:t>{64, 2}</w:t>
            </w:r>
          </w:p>
        </w:tc>
        <w:tc>
          <w:tcPr>
            <w:tcW w:w="1890" w:type="dxa"/>
          </w:tcPr>
          <w:p w14:paraId="63D78D2F" w14:textId="77777777" w:rsidR="00792EEB" w:rsidRPr="0015359D" w:rsidRDefault="00792EEB" w:rsidP="001B10F9">
            <w:r>
              <w:t>{64, 2}, {64, 2}</w:t>
            </w:r>
          </w:p>
        </w:tc>
        <w:tc>
          <w:tcPr>
            <w:tcW w:w="2520" w:type="dxa"/>
          </w:tcPr>
          <w:p w14:paraId="5F5041E1" w14:textId="6AEBAB49" w:rsidR="00792EEB" w:rsidRPr="0015359D" w:rsidRDefault="00626DF6" w:rsidP="001B10F9">
            <w:r>
              <w:t>{32, 2}, {32, 2}, {64, 2}</w:t>
            </w:r>
          </w:p>
        </w:tc>
        <w:tc>
          <w:tcPr>
            <w:tcW w:w="3150" w:type="dxa"/>
          </w:tcPr>
          <w:p w14:paraId="24FC2D9B" w14:textId="1740C709" w:rsidR="00792EEB" w:rsidRPr="0015359D" w:rsidRDefault="00EF5DE1" w:rsidP="001B10F9">
            <w:r>
              <w:t>{32, 2}, {32, 2}, {32, 2}, {32, 2}</w:t>
            </w:r>
          </w:p>
        </w:tc>
      </w:tr>
      <w:tr w:rsidR="005875B1" w:rsidRPr="0015359D" w14:paraId="5AC3C517" w14:textId="77777777" w:rsidTr="005B3494">
        <w:tc>
          <w:tcPr>
            <w:tcW w:w="644" w:type="dxa"/>
          </w:tcPr>
          <w:p w14:paraId="46F3AE05" w14:textId="51F7FC60" w:rsidR="00792EEB" w:rsidRPr="0015359D" w:rsidRDefault="00792EEB" w:rsidP="001B10F9">
            <w:r w:rsidRPr="0015359D">
              <w:rPr>
                <w:rFonts w:hint="eastAsia"/>
              </w:rPr>
              <w:t>P</w:t>
            </w:r>
            <w:r w:rsidRPr="0015359D">
              <w:t>C</w:t>
            </w:r>
            <w:r w:rsidR="00B177A2">
              <w:t>3</w:t>
            </w:r>
          </w:p>
        </w:tc>
        <w:tc>
          <w:tcPr>
            <w:tcW w:w="1066" w:type="dxa"/>
          </w:tcPr>
          <w:p w14:paraId="0D67E0F8" w14:textId="77777777" w:rsidR="00792EEB" w:rsidRDefault="00792EEB" w:rsidP="001B10F9">
            <w:r>
              <w:t>{128, 2}</w:t>
            </w:r>
          </w:p>
        </w:tc>
        <w:tc>
          <w:tcPr>
            <w:tcW w:w="1890" w:type="dxa"/>
          </w:tcPr>
          <w:p w14:paraId="652E33D4" w14:textId="77777777" w:rsidR="00792EEB" w:rsidRDefault="00792EEB" w:rsidP="001B10F9">
            <w:r>
              <w:t>{128, 2}, {128, 2}</w:t>
            </w:r>
          </w:p>
        </w:tc>
        <w:tc>
          <w:tcPr>
            <w:tcW w:w="2520" w:type="dxa"/>
          </w:tcPr>
          <w:p w14:paraId="38872C86" w14:textId="04373D61" w:rsidR="00792EEB" w:rsidRPr="0015359D" w:rsidRDefault="00C212AF" w:rsidP="001B10F9">
            <w:r>
              <w:t>{64, 2}, {64, 2}, {</w:t>
            </w:r>
            <w:r w:rsidR="00910716">
              <w:t>128</w:t>
            </w:r>
            <w:r>
              <w:t>, 2}</w:t>
            </w:r>
          </w:p>
        </w:tc>
        <w:tc>
          <w:tcPr>
            <w:tcW w:w="3150" w:type="dxa"/>
          </w:tcPr>
          <w:p w14:paraId="34C3E8B9" w14:textId="4490A821" w:rsidR="00792EEB" w:rsidRPr="0015359D" w:rsidRDefault="00C72FEB" w:rsidP="001B10F9">
            <w:r>
              <w:t>{64, 2}, {64, 2}, {64, 2}, {64, 2}</w:t>
            </w:r>
          </w:p>
        </w:tc>
      </w:tr>
      <w:tr w:rsidR="000102A8" w:rsidRPr="0015359D" w14:paraId="3520F9BF" w14:textId="77777777" w:rsidTr="005B3494">
        <w:tc>
          <w:tcPr>
            <w:tcW w:w="644" w:type="dxa"/>
          </w:tcPr>
          <w:p w14:paraId="0AF8AC31" w14:textId="74BB7A61" w:rsidR="000102A8" w:rsidRPr="0015359D" w:rsidRDefault="000102A8" w:rsidP="000102A8">
            <w:r w:rsidRPr="0015359D">
              <w:rPr>
                <w:rFonts w:hint="eastAsia"/>
              </w:rPr>
              <w:t>P</w:t>
            </w:r>
            <w:r w:rsidRPr="0015359D">
              <w:t>C</w:t>
            </w:r>
            <w:r w:rsidR="00B177A2">
              <w:t>4</w:t>
            </w:r>
          </w:p>
        </w:tc>
        <w:tc>
          <w:tcPr>
            <w:tcW w:w="1066" w:type="dxa"/>
          </w:tcPr>
          <w:p w14:paraId="00F29B96" w14:textId="596B8EEF" w:rsidR="000102A8" w:rsidRDefault="000102A8" w:rsidP="000102A8">
            <w:r>
              <w:t>{192, 2}</w:t>
            </w:r>
          </w:p>
        </w:tc>
        <w:tc>
          <w:tcPr>
            <w:tcW w:w="1890" w:type="dxa"/>
          </w:tcPr>
          <w:p w14:paraId="76477D6A" w14:textId="7A322D0D" w:rsidR="000102A8" w:rsidRDefault="000102A8" w:rsidP="000102A8">
            <w:r>
              <w:t>{192, 2}, {192, 2}</w:t>
            </w:r>
          </w:p>
        </w:tc>
        <w:tc>
          <w:tcPr>
            <w:tcW w:w="2520" w:type="dxa"/>
          </w:tcPr>
          <w:p w14:paraId="2FA346FE" w14:textId="2CF35B52" w:rsidR="000102A8" w:rsidRDefault="000102A8" w:rsidP="000102A8">
            <w:r>
              <w:t>{</w:t>
            </w:r>
            <w:r w:rsidR="006E52F7">
              <w:t>96</w:t>
            </w:r>
            <w:r>
              <w:t>, 2}, {</w:t>
            </w:r>
            <w:r w:rsidR="006E52F7">
              <w:t>96</w:t>
            </w:r>
            <w:r>
              <w:t>, 2}, {</w:t>
            </w:r>
            <w:r w:rsidR="006E52F7">
              <w:t>192</w:t>
            </w:r>
            <w:r>
              <w:t>, 2}</w:t>
            </w:r>
          </w:p>
        </w:tc>
        <w:tc>
          <w:tcPr>
            <w:tcW w:w="3150" w:type="dxa"/>
          </w:tcPr>
          <w:p w14:paraId="25E74A7A" w14:textId="27C01E1E" w:rsidR="000102A8" w:rsidRDefault="000102A8" w:rsidP="000102A8">
            <w:r>
              <w:t>{</w:t>
            </w:r>
            <w:r w:rsidR="006E52F7">
              <w:t>96</w:t>
            </w:r>
            <w:r>
              <w:t>, 2}, {</w:t>
            </w:r>
            <w:r w:rsidR="006E52F7">
              <w:t>96</w:t>
            </w:r>
            <w:r>
              <w:t>, 2}, {</w:t>
            </w:r>
            <w:r w:rsidR="006E52F7">
              <w:t>96</w:t>
            </w:r>
            <w:r>
              <w:t>, 2}, {</w:t>
            </w:r>
            <w:r w:rsidR="006E52F7">
              <w:t>96</w:t>
            </w:r>
            <w:r>
              <w:t>, 2}</w:t>
            </w:r>
          </w:p>
        </w:tc>
      </w:tr>
    </w:tbl>
    <w:p w14:paraId="320DA5AB" w14:textId="77777777" w:rsidR="00792EEB" w:rsidRDefault="00792EEB" w:rsidP="00E34537"/>
    <w:p w14:paraId="4EDB9D1B" w14:textId="094D292E" w:rsidR="002A74F5" w:rsidRDefault="002A74F5" w:rsidP="00AA6932">
      <w:pPr>
        <w:pStyle w:val="Heading2"/>
      </w:pPr>
      <w:r>
        <w:t>Applicability of subband and port configurations</w:t>
      </w:r>
    </w:p>
    <w:p w14:paraId="2CC028FD" w14:textId="7F998E8A" w:rsidR="00734B90" w:rsidRPr="00C8715E" w:rsidRDefault="000F2F28" w:rsidP="00734B90">
      <w:r>
        <w:t>From</w:t>
      </w:r>
      <w:r w:rsidR="00734B90">
        <w:t xml:space="preserve"> performance perspective, a too small payload configuration may not be good option for full 100MHz bandwidth or 128-port. For example, 64 / 128 bits per layer are only applied to &lt;32 ports, </w:t>
      </w:r>
      <w:r w:rsidR="00AC3C46">
        <w:t>384</w:t>
      </w:r>
      <w:r w:rsidR="00734B90">
        <w:t xml:space="preserve"> bit per layer is only applied for &gt;32 ports. Similarly, a too large payload configuration may be over-qualified for small subband or port configurations. In short, specifying the supported subband configuration and port configuration for each payload option may be beneficial for performance and implementation.</w:t>
      </w:r>
    </w:p>
    <w:p w14:paraId="62F13977" w14:textId="77777777" w:rsidR="00734B90" w:rsidRDefault="00734B90" w:rsidP="00734B90">
      <w:r>
        <w:t>Moreover, the applicability of each payload configurations to subband / port configuration, can be further determined during inter-vendor collaboration Direction A. Specifically, for a given dataset or model training labelled by a certain pairing ID, NW may choose to develop their model and quantization for a subset of the standardized payload configuration, subband configuration or port configuration. Then, NW exchange the reference encoder input/output pair for those chosen configurations. At UE side, UE may further choose to develop their encoders for an even subset of the configurations from those selected by the NW. In the applicability enquiry phase, a list of full CSI report configuration is provided to UE, and UE may response the applicable condition for each of them according to the actual model training / deployment.</w:t>
      </w:r>
    </w:p>
    <w:p w14:paraId="5B3675FA" w14:textId="0A352EEB" w:rsidR="00734B90" w:rsidRPr="00815627" w:rsidRDefault="00734B90" w:rsidP="00734B90">
      <w:pPr>
        <w:pStyle w:val="Proposal"/>
      </w:pPr>
      <w:bookmarkStart w:id="25" w:name="_Ref206170643"/>
      <w:r w:rsidRPr="00815627">
        <w:t xml:space="preserve">For Rel-20 NR CSI feedback via two-sided model, RAN1 consider further define the applicability of each payload configuration to a certain range of subband / port configurations. </w:t>
      </w:r>
      <w:r w:rsidRPr="00815627">
        <w:lastRenderedPageBreak/>
        <w:t>E.g., 64 / 128 bits per layer are only applied to &lt;</w:t>
      </w:r>
      <w:r>
        <w:t>=</w:t>
      </w:r>
      <w:r w:rsidRPr="00815627">
        <w:t xml:space="preserve">32 ports, </w:t>
      </w:r>
      <w:r w:rsidR="00AC3C46">
        <w:t>384</w:t>
      </w:r>
      <w:r w:rsidRPr="00815627">
        <w:t xml:space="preserve"> bit per layer is only applied for &gt;32 ports.</w:t>
      </w:r>
      <w:bookmarkEnd w:id="25"/>
    </w:p>
    <w:p w14:paraId="5358D94D" w14:textId="77777777" w:rsidR="00734B90" w:rsidRPr="00815627" w:rsidRDefault="00734B90" w:rsidP="00734B90">
      <w:pPr>
        <w:pStyle w:val="Proposal"/>
      </w:pPr>
      <w:bookmarkStart w:id="26" w:name="_Ref206170649"/>
      <w:r w:rsidRPr="00815627">
        <w:t>Further model applicability on subband, port and payload configuration can be aligned during applicability enquiry phase.</w:t>
      </w:r>
      <w:bookmarkEnd w:id="26"/>
    </w:p>
    <w:p w14:paraId="4CF9CF9B" w14:textId="7EEAE7E4" w:rsidR="002A74F5" w:rsidRDefault="002A74F5" w:rsidP="00AA6932">
      <w:pPr>
        <w:pStyle w:val="Heading2"/>
      </w:pPr>
      <w:r>
        <w:t>UCI mapping</w:t>
      </w:r>
    </w:p>
    <w:p w14:paraId="7FBD06F1" w14:textId="04A99916" w:rsidR="00734B90" w:rsidRDefault="00734B90" w:rsidP="00734B90">
      <w:r>
        <w:t xml:space="preserve">In </w:t>
      </w:r>
      <w:r w:rsidR="008820CF">
        <w:t xml:space="preserve">the UCI design of </w:t>
      </w:r>
      <w:r>
        <w:t xml:space="preserve">eT2, the coefficients </w:t>
      </w:r>
      <w:r w:rsidR="008820CF">
        <w:t xml:space="preserve">are grouped and partitioned </w:t>
      </w:r>
      <w:r w:rsidR="008A6AFA">
        <w:t xml:space="preserve">into two halves </w:t>
      </w:r>
      <w:r w:rsidR="008820CF">
        <w:t>within each layer</w:t>
      </w:r>
      <w:r>
        <w:t xml:space="preserve">. When omission occurs, the second half coefficients </w:t>
      </w:r>
      <w:r w:rsidR="008A6AFA">
        <w:t>of each layer</w:t>
      </w:r>
      <w:r>
        <w:t xml:space="preserve"> are omitted. For this approach, although same rank is kept before and after omission, the quality of each layer degrades significantly making the CSF useless. The priority ordering based on coefficient indices also seems to be lack of technical justification. From complexity perspective, shuffling the coefficients based on their positions inside the message requires more UE processing operation, but provides no clear benefit. Considering that omission is a panic button for corner case, RAN1 should adopt the simplest solution for UCI mapping.</w:t>
      </w:r>
    </w:p>
    <w:p w14:paraId="11C042B1" w14:textId="77777777" w:rsidR="00734B90" w:rsidRPr="007D20D7" w:rsidRDefault="00734B90" w:rsidP="00734B90">
      <w:pPr>
        <w:pStyle w:val="Observation"/>
        <w:rPr>
          <w:rStyle w:val="Strong"/>
          <w:b/>
          <w:bCs/>
        </w:rPr>
      </w:pPr>
      <w:bookmarkStart w:id="27" w:name="_Ref206170437"/>
      <w:r w:rsidRPr="007D20D7">
        <w:rPr>
          <w:rStyle w:val="Strong"/>
          <w:b/>
          <w:bCs/>
        </w:rPr>
        <w:t>UCI mapping and omission rule based on coefficients indices are lack of technical justification, it increases processing complexity but provide no performance benefit (a significant low quality rank-4 reporting).</w:t>
      </w:r>
      <w:bookmarkEnd w:id="27"/>
    </w:p>
    <w:p w14:paraId="17CB2C96" w14:textId="329A488A" w:rsidR="00734B90" w:rsidRDefault="00734B90" w:rsidP="00734B90">
      <w:r>
        <w:t>For CSI feedback via two-sided model, if reusing the eT2 UCI mapping and omission rule is applied, UE and NW need to train their model subject to a hierarchical payload structure. That is, the remaining part after dropping should still provide a decent reconstructed CSI. This restriction will complicate training effort, increase processing complexity and may bring performance loss.</w:t>
      </w:r>
      <w:r w:rsidR="00134586">
        <w:t xml:space="preserve"> </w:t>
      </w:r>
    </w:p>
    <w:p w14:paraId="6B5524E2" w14:textId="01C0F8EB" w:rsidR="008B154D" w:rsidRDefault="008B154D" w:rsidP="00734B90">
      <w:r>
        <w:t xml:space="preserve">Moreover, doing truncation-based UCI omission essentially introduces more parameter pairs / triplets. Specifically, in the previous sections, we have 5 parameter pairs with latent dimension 32, 64, 96, 128 and 192. If UCI omission by truncation </w:t>
      </w:r>
      <w:r w:rsidR="00B67879">
        <w:t>is supported, latent dimension of 16 and 48 would be needed</w:t>
      </w:r>
      <w:r w:rsidR="00FC7720">
        <w:t>. This further increases the training effort and would result in further performance degradation</w:t>
      </w:r>
      <w:r w:rsidR="001351E5">
        <w:t xml:space="preserve"> especially for other parameter pairs</w:t>
      </w:r>
      <w:r w:rsidR="00FC7720">
        <w:t>.</w:t>
      </w:r>
    </w:p>
    <w:p w14:paraId="0EA6D82C" w14:textId="77777777" w:rsidR="003B287B" w:rsidRDefault="00836F3D" w:rsidP="003B287B">
      <w:pPr>
        <w:keepNext/>
        <w:jc w:val="center"/>
      </w:pPr>
      <w:r>
        <w:rPr>
          <w:noProof/>
        </w:rPr>
        <w:lastRenderedPageBreak/>
        <w:drawing>
          <wp:inline distT="0" distB="0" distL="0" distR="0" wp14:anchorId="7ACF454C" wp14:editId="7CA277CE">
            <wp:extent cx="4572000" cy="2743200"/>
            <wp:effectExtent l="0" t="0" r="0" b="0"/>
            <wp:docPr id="467883367" name="Chart 1">
              <a:extLst xmlns:a="http://schemas.openxmlformats.org/drawingml/2006/main">
                <a:ext uri="{FF2B5EF4-FFF2-40B4-BE49-F238E27FC236}">
                  <a16:creationId xmlns:a16="http://schemas.microsoft.com/office/drawing/2014/main" id="{6AEF4A39-3BD2-509F-865A-2DD0D594E2D4}"/>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6"/>
              </a:graphicData>
            </a:graphic>
          </wp:inline>
        </w:drawing>
      </w:r>
      <w:r>
        <w:rPr>
          <w:noProof/>
        </w:rPr>
        <w:drawing>
          <wp:inline distT="0" distB="0" distL="0" distR="0" wp14:anchorId="7FDB1C22" wp14:editId="13D33FC3">
            <wp:extent cx="4572000" cy="2743200"/>
            <wp:effectExtent l="0" t="0" r="0" b="0"/>
            <wp:docPr id="1621429202" name="Chart 2">
              <a:extLst xmlns:a="http://schemas.openxmlformats.org/drawingml/2006/main">
                <a:ext uri="{FF2B5EF4-FFF2-40B4-BE49-F238E27FC236}">
                  <a16:creationId xmlns:a16="http://schemas.microsoft.com/office/drawing/2014/main" id="{D3B75871-8589-4859-A74B-9060E0E61D46}"/>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7"/>
              </a:graphicData>
            </a:graphic>
          </wp:inline>
        </w:drawing>
      </w:r>
      <w:r>
        <w:rPr>
          <w:noProof/>
        </w:rPr>
        <w:lastRenderedPageBreak/>
        <w:drawing>
          <wp:inline distT="0" distB="0" distL="0" distR="0" wp14:anchorId="2A41D59C" wp14:editId="3AAC9D3C">
            <wp:extent cx="4572000" cy="2743200"/>
            <wp:effectExtent l="0" t="0" r="0" b="0"/>
            <wp:docPr id="1882504102" name="Chart 3">
              <a:extLst xmlns:a="http://schemas.openxmlformats.org/drawingml/2006/main">
                <a:ext uri="{FF2B5EF4-FFF2-40B4-BE49-F238E27FC236}">
                  <a16:creationId xmlns:a16="http://schemas.microsoft.com/office/drawing/2014/main" id="{B50948A0-F79B-405D-8F30-67B1F471CC78}"/>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8"/>
              </a:graphicData>
            </a:graphic>
          </wp:inline>
        </w:drawing>
      </w:r>
      <w:r>
        <w:rPr>
          <w:noProof/>
        </w:rPr>
        <w:drawing>
          <wp:inline distT="0" distB="0" distL="0" distR="0" wp14:anchorId="0B18DF4A" wp14:editId="543AE137">
            <wp:extent cx="4572000" cy="2743200"/>
            <wp:effectExtent l="0" t="0" r="0" b="0"/>
            <wp:docPr id="1145103932" name="Chart 4">
              <a:extLst xmlns:a="http://schemas.openxmlformats.org/drawingml/2006/main">
                <a:ext uri="{FF2B5EF4-FFF2-40B4-BE49-F238E27FC236}">
                  <a16:creationId xmlns:a16="http://schemas.microsoft.com/office/drawing/2014/main" id="{735E7797-A8B7-4323-A79A-9386B783777F}"/>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9"/>
              </a:graphicData>
            </a:graphic>
          </wp:inline>
        </w:drawing>
      </w:r>
    </w:p>
    <w:p w14:paraId="27F4F106" w14:textId="51B7AC07" w:rsidR="00836F3D" w:rsidRDefault="003B287B" w:rsidP="003B287B">
      <w:pPr>
        <w:pStyle w:val="Caption"/>
      </w:pPr>
      <w:bookmarkStart w:id="28" w:name="_Ref213425966"/>
      <w:r>
        <w:t xml:space="preserve">Figure </w:t>
      </w:r>
      <w:r>
        <w:fldChar w:fldCharType="begin"/>
      </w:r>
      <w:r>
        <w:instrText xml:space="preserve"> STYLEREF 1 \s </w:instrText>
      </w:r>
      <w:r>
        <w:fldChar w:fldCharType="separate"/>
      </w:r>
      <w:r>
        <w:rPr>
          <w:noProof/>
        </w:rPr>
        <w:t>2</w:t>
      </w:r>
      <w:r>
        <w:fldChar w:fldCharType="end"/>
      </w:r>
      <w:r>
        <w:noBreakHyphen/>
      </w:r>
      <w:r>
        <w:fldChar w:fldCharType="begin"/>
      </w:r>
      <w:r>
        <w:instrText xml:space="preserve"> SEQ Figure \* ARABIC \s 1 </w:instrText>
      </w:r>
      <w:r>
        <w:fldChar w:fldCharType="separate"/>
      </w:r>
      <w:r>
        <w:rPr>
          <w:noProof/>
        </w:rPr>
        <w:t>6</w:t>
      </w:r>
      <w:r>
        <w:fldChar w:fldCharType="end"/>
      </w:r>
      <w:bookmarkEnd w:id="28"/>
      <w:r>
        <w:t xml:space="preserve">. </w:t>
      </w:r>
      <w:r w:rsidR="00644E8E">
        <w:t>SGCS comparison between payload scalability via specific output layers and truncation to the output of a common output layer.</w:t>
      </w:r>
    </w:p>
    <w:p w14:paraId="1806792F" w14:textId="272E558D" w:rsidR="00836F3D" w:rsidRDefault="003B287B" w:rsidP="00734B90">
      <w:r>
        <w:t xml:space="preserve">The group of results in </w:t>
      </w:r>
      <w:r w:rsidR="001351E5">
        <w:fldChar w:fldCharType="begin"/>
      </w:r>
      <w:r w:rsidR="001351E5">
        <w:instrText xml:space="preserve"> REF _Ref213425966 \h </w:instrText>
      </w:r>
      <w:r w:rsidR="001351E5">
        <w:fldChar w:fldCharType="separate"/>
      </w:r>
      <w:r w:rsidR="001351E5">
        <w:t xml:space="preserve">Figure </w:t>
      </w:r>
      <w:r w:rsidR="001351E5">
        <w:rPr>
          <w:noProof/>
        </w:rPr>
        <w:t>2</w:t>
      </w:r>
      <w:r w:rsidR="001351E5">
        <w:noBreakHyphen/>
      </w:r>
      <w:r w:rsidR="001351E5">
        <w:rPr>
          <w:noProof/>
        </w:rPr>
        <w:t>6</w:t>
      </w:r>
      <w:r w:rsidR="001351E5">
        <w:fldChar w:fldCharType="end"/>
      </w:r>
      <w:r w:rsidR="001351E5">
        <w:t xml:space="preserve"> </w:t>
      </w:r>
      <w:r w:rsidR="0004410E">
        <w:t>show an evident of performance</w:t>
      </w:r>
      <w:r w:rsidR="00C13A7D">
        <w:t xml:space="preserve"> degradation</w:t>
      </w:r>
      <w:r w:rsidR="0004410E">
        <w:t xml:space="preserve"> by doing truncation</w:t>
      </w:r>
      <w:r w:rsidR="001351E5">
        <w:t>, especially for the performance of high payload parameter pairs.</w:t>
      </w:r>
    </w:p>
    <w:p w14:paraId="687A3761" w14:textId="77777777" w:rsidR="00734B90" w:rsidRDefault="00734B90" w:rsidP="00734B90">
      <w:pPr>
        <w:pStyle w:val="Observation"/>
        <w:rPr>
          <w:rStyle w:val="Strong"/>
          <w:b/>
          <w:bCs/>
        </w:rPr>
      </w:pPr>
      <w:bookmarkStart w:id="29" w:name="_Ref206170443"/>
      <w:r w:rsidRPr="00C50752">
        <w:rPr>
          <w:rStyle w:val="Strong"/>
          <w:b/>
          <w:bCs/>
        </w:rPr>
        <w:t>Reusing eT2 UCI mapping and omission rule will complicate training effort, increase processing complexity and may bring performance loss.</w:t>
      </w:r>
      <w:bookmarkEnd w:id="29"/>
    </w:p>
    <w:p w14:paraId="20DE198D" w14:textId="541E19D7" w:rsidR="00A9018C" w:rsidRPr="00C50752" w:rsidRDefault="00A9018C" w:rsidP="00734B90">
      <w:pPr>
        <w:pStyle w:val="Observation"/>
        <w:rPr>
          <w:rStyle w:val="Strong"/>
          <w:b/>
          <w:bCs/>
        </w:rPr>
      </w:pPr>
      <w:bookmarkStart w:id="30" w:name="_Ref213431209"/>
      <w:r>
        <w:rPr>
          <w:rStyle w:val="Strong"/>
          <w:b/>
          <w:bCs/>
        </w:rPr>
        <w:t>UCI mapping and omission based on truncation will introduces new parameter pairs</w:t>
      </w:r>
      <w:r w:rsidR="001351E5">
        <w:rPr>
          <w:rStyle w:val="Strong"/>
          <w:b/>
          <w:bCs/>
        </w:rPr>
        <w:t>, thus further increasing the training effort and degrade the performance of other parameter pairs.</w:t>
      </w:r>
      <w:bookmarkEnd w:id="30"/>
    </w:p>
    <w:p w14:paraId="33AB699E" w14:textId="77777777" w:rsidR="00734B90" w:rsidRDefault="00734B90" w:rsidP="00734B90">
      <w:r>
        <w:t>From the discussion above, we think a more proper mapping order should be based on the layer indices. Technically, lower layers should have a higher strength than high layers. If the higher layers are omitted, the network can still obtain a full quality CSI report with a lower rank.</w:t>
      </w:r>
    </w:p>
    <w:p w14:paraId="51FFA305" w14:textId="77777777" w:rsidR="00734B90" w:rsidRPr="00C50752" w:rsidRDefault="00734B90" w:rsidP="00734B90">
      <w:pPr>
        <w:pStyle w:val="Proposal"/>
      </w:pPr>
      <w:bookmarkStart w:id="31" w:name="_Ref206170657"/>
      <w:r w:rsidRPr="00C50752">
        <w:t>UCI omission is a corner case, RAN1 should adopt the simplest solution.</w:t>
      </w:r>
      <w:bookmarkEnd w:id="31"/>
    </w:p>
    <w:p w14:paraId="571DE1BD" w14:textId="77777777" w:rsidR="00734B90" w:rsidRPr="00C50752" w:rsidRDefault="00734B90" w:rsidP="00734B90">
      <w:pPr>
        <w:pStyle w:val="Proposal"/>
      </w:pPr>
      <w:bookmarkStart w:id="32" w:name="_Ref206170663"/>
      <w:r w:rsidRPr="00C50752">
        <w:lastRenderedPageBreak/>
        <w:t>For Rel-20 NR CSI feedback via two-sided model, adopt UCI mapping and omission based on layer indices.</w:t>
      </w:r>
      <w:bookmarkEnd w:id="32"/>
    </w:p>
    <w:p w14:paraId="2379BDC5" w14:textId="6F53A128" w:rsidR="00242D6B" w:rsidRDefault="00242D6B" w:rsidP="00C33209">
      <w:pPr>
        <w:pStyle w:val="Heading1"/>
      </w:pPr>
      <w:r>
        <w:t>Discussion on CQI assumptions</w:t>
      </w:r>
    </w:p>
    <w:p w14:paraId="55EA35ED" w14:textId="28F2FE86" w:rsidR="001572C4" w:rsidRDefault="001572C4" w:rsidP="001572C4">
      <w:r>
        <w:t xml:space="preserve">In legacy CSI report using PMI codebook, it is feasible for UE to construct the PMI for CQI calculation. In this way, the precoder used in CQI calculation is same as the precoding vectors reported to the gNB. However, </w:t>
      </w:r>
      <w:r w:rsidR="008A7836">
        <w:t xml:space="preserve">in CSI feedback via two-sided model, </w:t>
      </w:r>
      <w:r w:rsidR="00D20E2B">
        <w:t xml:space="preserve">since UE is not be able to obtain the reconstructed CSI, </w:t>
      </w:r>
      <w:r>
        <w:t>it may or may not be feasible for UE to follow the legacy principle. In Rel-18, following options of CQI calculation are discussed. In this section, we discuss our view on these options.</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1572C4" w14:paraId="36EA5AA4" w14:textId="77777777" w:rsidTr="006808B3">
        <w:tc>
          <w:tcPr>
            <w:tcW w:w="9350" w:type="dxa"/>
          </w:tcPr>
          <w:p w14:paraId="3AEE0412" w14:textId="0B2C71D2" w:rsidR="00007FEA" w:rsidRPr="00007FEA" w:rsidRDefault="00007FEA" w:rsidP="00007FEA">
            <w:pPr>
              <w:pStyle w:val="B1"/>
              <w:ind w:left="0" w:firstLine="0"/>
              <w:rPr>
                <w:b/>
                <w:bCs/>
              </w:rPr>
            </w:pPr>
            <w:r w:rsidRPr="00007FEA">
              <w:rPr>
                <w:b/>
                <w:bCs/>
              </w:rPr>
              <w:t>TR 38.843</w:t>
            </w:r>
          </w:p>
          <w:p w14:paraId="15239EB7" w14:textId="190A4B0D" w:rsidR="001572C4" w:rsidRPr="00133C49" w:rsidRDefault="001572C4">
            <w:pPr>
              <w:pStyle w:val="B1"/>
            </w:pPr>
            <w:r w:rsidRPr="00133C49">
              <w:t>-</w:t>
            </w:r>
            <w:r w:rsidRPr="00133C49">
              <w:tab/>
              <w:t>Option 1: CQI is NOT calculated based on the output of CSI reconstruction part from the realistic channel estimation, including</w:t>
            </w:r>
          </w:p>
          <w:p w14:paraId="128C8F40" w14:textId="77777777" w:rsidR="001572C4" w:rsidRPr="00133C49" w:rsidRDefault="001572C4">
            <w:pPr>
              <w:pStyle w:val="B2"/>
            </w:pPr>
            <w:r w:rsidRPr="00133C49">
              <w:t>-</w:t>
            </w:r>
            <w:r w:rsidRPr="00133C49">
              <w:tab/>
              <w:t xml:space="preserve">Option 1a: CQI is calculated based on target CSI with realistic channel measurement </w:t>
            </w:r>
          </w:p>
          <w:p w14:paraId="356049A4" w14:textId="77777777" w:rsidR="001572C4" w:rsidRPr="00133C49" w:rsidRDefault="001572C4">
            <w:pPr>
              <w:pStyle w:val="B2"/>
            </w:pPr>
            <w:r w:rsidRPr="00133C49">
              <w:t>-</w:t>
            </w:r>
            <w:r w:rsidRPr="00133C49">
              <w:tab/>
              <w:t xml:space="preserve">Option 1b: CQI is calculated based on target CSI with realistic channel measurement and potential adjustment </w:t>
            </w:r>
          </w:p>
          <w:p w14:paraId="49F5E5AE" w14:textId="77777777" w:rsidR="001572C4" w:rsidRPr="00133C49" w:rsidRDefault="001572C4">
            <w:pPr>
              <w:pStyle w:val="B2"/>
            </w:pPr>
            <w:r w:rsidRPr="00133C49">
              <w:t>-</w:t>
            </w:r>
            <w:r w:rsidRPr="00133C49">
              <w:tab/>
              <w:t>Option 1c: CQI is calculated based on legacy codebook</w:t>
            </w:r>
          </w:p>
          <w:p w14:paraId="79791A86" w14:textId="77777777" w:rsidR="001572C4" w:rsidRPr="00133C49" w:rsidRDefault="001572C4">
            <w:pPr>
              <w:pStyle w:val="B1"/>
            </w:pPr>
            <w:r w:rsidRPr="00133C49">
              <w:t>-</w:t>
            </w:r>
            <w:r w:rsidRPr="00133C49">
              <w:tab/>
              <w:t>Option 2: CQI is calculated based on the output of CSI reconstruction part from the realistic channel estimation, including</w:t>
            </w:r>
          </w:p>
          <w:p w14:paraId="35FB9079" w14:textId="77777777" w:rsidR="001572C4" w:rsidRPr="00133C49" w:rsidRDefault="001572C4">
            <w:pPr>
              <w:pStyle w:val="B2"/>
            </w:pPr>
            <w:r w:rsidRPr="00133C49">
              <w:t>-</w:t>
            </w:r>
            <w:r w:rsidRPr="00133C49">
              <w:tab/>
              <w:t>Option 2a: CQI is calculated based on CSI reconstruction output, if CSI reconstruction model is available at the UE and UE can perform reconstruction model inference with potential adjustment</w:t>
            </w:r>
          </w:p>
          <w:p w14:paraId="0EE24D4C" w14:textId="77777777" w:rsidR="001572C4" w:rsidRPr="00133C49" w:rsidRDefault="001572C4">
            <w:pPr>
              <w:pStyle w:val="B3"/>
            </w:pPr>
            <w:r w:rsidRPr="00133C49">
              <w:t>-</w:t>
            </w:r>
            <w:r w:rsidRPr="00133C49">
              <w:tab/>
              <w:t xml:space="preserve">Note: CSI reconstruction part at the UE can be different comparing to the actual CSI reconstruction part used at the NW. </w:t>
            </w:r>
          </w:p>
          <w:p w14:paraId="3E2BF1DC" w14:textId="0F412EB2" w:rsidR="001572C4" w:rsidRDefault="001572C4" w:rsidP="006808B3">
            <w:pPr>
              <w:pStyle w:val="B2"/>
            </w:pPr>
            <w:r w:rsidRPr="7AFFD19E">
              <w:t>-</w:t>
            </w:r>
            <w:r>
              <w:tab/>
            </w:r>
            <w:r w:rsidRPr="7AFFD19E">
              <w:t xml:space="preserve">Option 2b: CQI is calculated using two stage approach, UE derive CQI using precoded CSI-RS transmitted with a reconstructed precoder. </w:t>
            </w:r>
            <w:r w:rsidRPr="7AFFD19E">
              <w:rPr>
                <w:rFonts w:eastAsia="Malgun Gothic"/>
              </w:rPr>
              <w:t xml:space="preserve">  </w:t>
            </w:r>
          </w:p>
        </w:tc>
      </w:tr>
    </w:tbl>
    <w:p w14:paraId="64FC0A8D" w14:textId="77777777" w:rsidR="009149B4" w:rsidRDefault="009149B4" w:rsidP="00C33209"/>
    <w:p w14:paraId="695DD241" w14:textId="45E45E22" w:rsidR="005D7305" w:rsidRDefault="005D7305" w:rsidP="00C33209">
      <w:r>
        <w:t xml:space="preserve">In our view, the options documented in TR38.843 in Rel-18 can be </w:t>
      </w:r>
      <w:r w:rsidR="002D26B5">
        <w:t xml:space="preserve">categorized </w:t>
      </w:r>
      <w:r w:rsidR="00B46DB5">
        <w:t xml:space="preserve">into two alternatives based on whether </w:t>
      </w:r>
      <w:r w:rsidR="00960229">
        <w:t>UE calculates a</w:t>
      </w:r>
      <w:r w:rsidR="008B78FC">
        <w:t>n</w:t>
      </w:r>
      <w:r w:rsidR="00960229">
        <w:t xml:space="preserve"> accurate CQI based on the exact decoder output, or UE provides a CQI estimate.</w:t>
      </w:r>
      <w:r w:rsidR="00413944">
        <w:t xml:space="preserve"> However, option 1c is </w:t>
      </w:r>
      <w:r w:rsidR="00E64851">
        <w:t xml:space="preserve">less relevant to the discussion </w:t>
      </w:r>
      <w:r w:rsidR="00C92CE5">
        <w:t>because</w:t>
      </w:r>
      <w:r w:rsidR="00E64851">
        <w:t xml:space="preserve"> it </w:t>
      </w:r>
      <w:r w:rsidR="00C92CE5">
        <w:t>reports a CQI using eType II codebook, and it can be supported by a separate CSI report using eType II codebook.</w:t>
      </w:r>
    </w:p>
    <w:p w14:paraId="2CBBF574" w14:textId="083CC31A" w:rsidR="001A4B2D" w:rsidRDefault="001A4B2D" w:rsidP="00304C8B">
      <w:pPr>
        <w:pStyle w:val="ListParagraph"/>
        <w:numPr>
          <w:ilvl w:val="0"/>
          <w:numId w:val="12"/>
        </w:numPr>
      </w:pPr>
      <w:r>
        <w:t xml:space="preserve">Alt0: </w:t>
      </w:r>
      <w:r w:rsidR="009D0271">
        <w:t>CQI based on precoded RS</w:t>
      </w:r>
      <w:r>
        <w:t xml:space="preserve"> </w:t>
      </w:r>
      <w:r w:rsidR="0099575E">
        <w:t>(option 2b)</w:t>
      </w:r>
    </w:p>
    <w:p w14:paraId="7233C751" w14:textId="7E7E5B5A" w:rsidR="001A4B2D" w:rsidRDefault="009D0271" w:rsidP="00304C8B">
      <w:pPr>
        <w:pStyle w:val="ListParagraph"/>
        <w:numPr>
          <w:ilvl w:val="1"/>
          <w:numId w:val="12"/>
        </w:numPr>
      </w:pPr>
      <w:r>
        <w:t>The</w:t>
      </w:r>
      <w:r w:rsidR="001A4B2D" w:rsidRPr="7AFFD19E">
        <w:t xml:space="preserve"> CQI </w:t>
      </w:r>
      <w:r>
        <w:t>is reported</w:t>
      </w:r>
      <w:r w:rsidRPr="7AFFD19E">
        <w:t xml:space="preserve"> </w:t>
      </w:r>
      <w:r w:rsidR="001A4B2D" w:rsidRPr="7AFFD19E">
        <w:t>in</w:t>
      </w:r>
      <w:r>
        <w:t xml:space="preserve"> a</w:t>
      </w:r>
      <w:r w:rsidR="001A4B2D" w:rsidRPr="7AFFD19E">
        <w:t xml:space="preserve"> two-stage approach: one is PMI only repor</w:t>
      </w:r>
      <w:r w:rsidR="00E44070" w:rsidRPr="7AFFD19E">
        <w:t xml:space="preserve">t for two-sided CSI inference, and the other is for CQI report via precoded CSI-RS based on the reconstructed </w:t>
      </w:r>
      <w:r w:rsidR="0025167D" w:rsidRPr="7AFFD19E">
        <w:t xml:space="preserve">CSI </w:t>
      </w:r>
      <w:r w:rsidR="00E44070" w:rsidRPr="7AFFD19E">
        <w:t>obtained</w:t>
      </w:r>
      <w:r w:rsidR="0025167D" w:rsidRPr="7AFFD19E">
        <w:t xml:space="preserve"> by the NW. </w:t>
      </w:r>
    </w:p>
    <w:p w14:paraId="4DFD2B84" w14:textId="022C04FD" w:rsidR="00E80076" w:rsidRDefault="00E80076" w:rsidP="00304C8B">
      <w:pPr>
        <w:pStyle w:val="ListParagraph"/>
        <w:numPr>
          <w:ilvl w:val="1"/>
          <w:numId w:val="12"/>
        </w:numPr>
      </w:pPr>
      <w:r>
        <w:t>Note: This option may not have spec impact.</w:t>
      </w:r>
    </w:p>
    <w:p w14:paraId="0FDDF26C" w14:textId="32C0EA34" w:rsidR="00E45509" w:rsidRDefault="0025167D" w:rsidP="00304C8B">
      <w:pPr>
        <w:pStyle w:val="ListParagraph"/>
        <w:numPr>
          <w:ilvl w:val="0"/>
          <w:numId w:val="12"/>
        </w:numPr>
      </w:pPr>
      <w:r>
        <w:t xml:space="preserve">Alt1: </w:t>
      </w:r>
      <w:r w:rsidR="003C6CA2">
        <w:t>CQI provides a CQI estimate,</w:t>
      </w:r>
      <w:r w:rsidR="008B5190">
        <w:t xml:space="preserve"> </w:t>
      </w:r>
      <w:r w:rsidR="003C6CA2">
        <w:t xml:space="preserve">including following </w:t>
      </w:r>
      <w:r w:rsidR="00E45509">
        <w:t>implementations</w:t>
      </w:r>
      <w:r w:rsidR="00E106FB">
        <w:t xml:space="preserve"> options</w:t>
      </w:r>
    </w:p>
    <w:p w14:paraId="382419D7" w14:textId="2DE5A71B" w:rsidR="0025167D" w:rsidRDefault="005326B0" w:rsidP="00304C8B">
      <w:pPr>
        <w:pStyle w:val="ListParagraph"/>
        <w:numPr>
          <w:ilvl w:val="1"/>
          <w:numId w:val="12"/>
        </w:numPr>
      </w:pPr>
      <w:r>
        <w:t>B</w:t>
      </w:r>
      <w:r w:rsidR="0025167D">
        <w:t>ased on target CSI, i.e., input of the UE side encoder</w:t>
      </w:r>
      <w:r w:rsidR="00D67A2F">
        <w:t xml:space="preserve"> (option 1a)</w:t>
      </w:r>
    </w:p>
    <w:p w14:paraId="323EBF3D" w14:textId="5E4884F5" w:rsidR="00746303" w:rsidRDefault="00C64E5D" w:rsidP="00304C8B">
      <w:pPr>
        <w:pStyle w:val="ListParagraph"/>
        <w:numPr>
          <w:ilvl w:val="1"/>
          <w:numId w:val="12"/>
        </w:numPr>
      </w:pPr>
      <w:r>
        <w:t>Based on</w:t>
      </w:r>
      <w:r w:rsidR="00374996">
        <w:t xml:space="preserve"> target CSI and adjustment where the adjustment</w:t>
      </w:r>
      <w:r w:rsidR="0023742B">
        <w:t xml:space="preserve"> is according to a CQI estimator (option 1b)</w:t>
      </w:r>
      <w:r w:rsidR="00374996">
        <w:t xml:space="preserve"> </w:t>
      </w:r>
      <w:r w:rsidR="00E106FB" w:rsidRPr="7AFFD19E">
        <w:t xml:space="preserve"> </w:t>
      </w:r>
    </w:p>
    <w:p w14:paraId="1B89ED77" w14:textId="1F219627" w:rsidR="00E106FB" w:rsidRDefault="00746303" w:rsidP="00304C8B">
      <w:pPr>
        <w:pStyle w:val="ListParagraph"/>
        <w:numPr>
          <w:ilvl w:val="1"/>
          <w:numId w:val="12"/>
        </w:numPr>
      </w:pPr>
      <w:r>
        <w:t xml:space="preserve">Based on </w:t>
      </w:r>
      <w:r w:rsidR="00E106FB" w:rsidRPr="7AFFD19E">
        <w:t>a reference decoder output</w:t>
      </w:r>
      <w:r>
        <w:t xml:space="preserve"> (option </w:t>
      </w:r>
      <w:r w:rsidR="00E106FB" w:rsidRPr="7AFFD19E">
        <w:t>2a</w:t>
      </w:r>
      <w:r>
        <w:t>)</w:t>
      </w:r>
      <w:r w:rsidR="00E106FB" w:rsidRPr="7AFFD19E">
        <w:t>.</w:t>
      </w:r>
    </w:p>
    <w:p w14:paraId="6828F114" w14:textId="6BA32B56" w:rsidR="00DF63EC" w:rsidRDefault="00DF63EC" w:rsidP="00B05F65">
      <w:r>
        <w:t>Regarding Alt0 (option 2b)</w:t>
      </w:r>
      <w:r w:rsidR="007177D0">
        <w:t xml:space="preserve">, although it is not an ideal option due to </w:t>
      </w:r>
      <w:r w:rsidR="00783AE2">
        <w:t>the latency incurred by two-side CSI reporting, and due to the usage of UE-specific precoded CSI-RS, it provides a</w:t>
      </w:r>
      <w:r w:rsidR="002B092C">
        <w:t xml:space="preserve">n </w:t>
      </w:r>
      <w:r w:rsidR="00783AE2">
        <w:t xml:space="preserve">option which is already </w:t>
      </w:r>
      <w:r w:rsidR="00783AE2">
        <w:lastRenderedPageBreak/>
        <w:t xml:space="preserve">supported by the spec. </w:t>
      </w:r>
      <w:r w:rsidR="00525A27">
        <w:t xml:space="preserve">The only specification impacts may </w:t>
      </w:r>
      <w:r w:rsidR="00FD6A2E">
        <w:t>be</w:t>
      </w:r>
      <w:r w:rsidR="00EB0157">
        <w:t xml:space="preserve"> a new report quantity indicating</w:t>
      </w:r>
      <w:r w:rsidR="00FD6A2E">
        <w:t xml:space="preserve"> no CQI reporting </w:t>
      </w:r>
      <w:r w:rsidR="00827E80">
        <w:t>for the CSI feedback via two-sided model.</w:t>
      </w:r>
    </w:p>
    <w:p w14:paraId="209A0601" w14:textId="11E11242" w:rsidR="00343B92" w:rsidRDefault="005743A9" w:rsidP="00B05F65">
      <w:r>
        <w:t xml:space="preserve">Regarding Alt1 (option 1a/1b/2a), </w:t>
      </w:r>
      <w:r w:rsidR="002B092C">
        <w:t>the lack of exact PMI knowledge at UE may impact the performance</w:t>
      </w:r>
      <w:r>
        <w:t xml:space="preserve">. </w:t>
      </w:r>
      <w:r w:rsidR="002B092C">
        <w:t>I</w:t>
      </w:r>
      <w:r w:rsidR="00343B92">
        <w:t>t is important to</w:t>
      </w:r>
      <w:r w:rsidR="003F4F02">
        <w:t xml:space="preserve"> study </w:t>
      </w:r>
      <w:r w:rsidR="002B092C">
        <w:t xml:space="preserve">the performance </w:t>
      </w:r>
      <w:r w:rsidR="003F4F02">
        <w:t xml:space="preserve">these </w:t>
      </w:r>
      <w:r w:rsidR="002B092C">
        <w:t>options</w:t>
      </w:r>
      <w:r w:rsidR="003F4F02">
        <w:t xml:space="preserve">. </w:t>
      </w:r>
    </w:p>
    <w:p w14:paraId="5D50408E" w14:textId="6A90D5C3" w:rsidR="005743A9" w:rsidRDefault="00C6190A" w:rsidP="00B05F65">
      <w:r>
        <w:t>Additionally, t</w:t>
      </w:r>
      <w:r w:rsidR="005743A9">
        <w:t>he encoder input, the ground of CQI adjustment, or the reference decoder, are all related UE implementation aspects</w:t>
      </w:r>
      <w:r>
        <w:t>, thus the specification impact of Alt1 needs to be carefully studied.</w:t>
      </w:r>
      <w:r w:rsidR="00500D58">
        <w:t xml:space="preserve"> From RAN1 perspective, it is essential to distinguish this CQI estimate from the legacy CQI definition. From RAN4 perspective, a relaxed CQI accuracy requirement </w:t>
      </w:r>
      <w:r w:rsidR="00FB2CB5">
        <w:t xml:space="preserve">may be defined </w:t>
      </w:r>
      <w:r w:rsidR="00500D58">
        <w:t xml:space="preserve">to accommodate </w:t>
      </w:r>
      <w:r w:rsidR="00B30AEC">
        <w:t>various</w:t>
      </w:r>
      <w:r w:rsidR="00500D58">
        <w:t xml:space="preserve"> CQI estimation</w:t>
      </w:r>
      <w:r w:rsidR="00B30AEC">
        <w:t xml:space="preserve"> implementation methods</w:t>
      </w:r>
      <w:r w:rsidR="00500D58">
        <w:t xml:space="preserve">. An example is that RAN4 may define </w:t>
      </w:r>
      <w:r w:rsidR="00985BCE">
        <w:t>a loose accuracy requirement</w:t>
      </w:r>
      <w:r w:rsidR="00500D58">
        <w:t>, and more capable UEs running CQI estimator or reference decoder should be able pass the test as well.</w:t>
      </w:r>
    </w:p>
    <w:p w14:paraId="7D7A65AD" w14:textId="5CE42EF6" w:rsidR="004A41C5" w:rsidRPr="00627EB2" w:rsidRDefault="00DB4D1D" w:rsidP="00304C8B">
      <w:pPr>
        <w:pStyle w:val="Observation"/>
        <w:rPr>
          <w:rStyle w:val="Strong"/>
          <w:b/>
          <w:bCs/>
        </w:rPr>
      </w:pPr>
      <w:bookmarkStart w:id="33" w:name="_Ref213431220"/>
      <w:r w:rsidRPr="00627EB2">
        <w:rPr>
          <w:rStyle w:val="Strong"/>
          <w:b/>
          <w:bCs/>
        </w:rPr>
        <w:t>CQI option 1c based on legacy codebook is out of the scope, and it can be supported by a separate CSI report with the corresponding codebook</w:t>
      </w:r>
      <w:bookmarkEnd w:id="33"/>
    </w:p>
    <w:p w14:paraId="1CDF9DF7" w14:textId="32625464" w:rsidR="00627EB2" w:rsidRPr="00627EB2" w:rsidRDefault="00627EB2" w:rsidP="00304C8B">
      <w:pPr>
        <w:pStyle w:val="Observation"/>
        <w:rPr>
          <w:rStyle w:val="Strong"/>
          <w:b/>
          <w:bCs/>
        </w:rPr>
      </w:pPr>
      <w:bookmarkStart w:id="34" w:name="_Ref213431297"/>
      <w:bookmarkStart w:id="35" w:name="_Ref210414793"/>
      <w:r w:rsidRPr="00627EB2">
        <w:rPr>
          <w:rStyle w:val="Strong"/>
          <w:b/>
          <w:bCs/>
        </w:rPr>
        <w:t xml:space="preserve">CQI calculations options (1a/1b/2a), including based on target CSI (encoder input), reference decoder, or CQI estimator, need </w:t>
      </w:r>
      <w:r w:rsidR="002B092C">
        <w:rPr>
          <w:rStyle w:val="Strong"/>
          <w:b/>
          <w:bCs/>
        </w:rPr>
        <w:t>performance evaluations</w:t>
      </w:r>
      <w:r w:rsidRPr="00627EB2">
        <w:rPr>
          <w:rStyle w:val="Strong"/>
          <w:b/>
          <w:bCs/>
        </w:rPr>
        <w:t>.</w:t>
      </w:r>
      <w:bookmarkEnd w:id="34"/>
      <w:r w:rsidRPr="00627EB2">
        <w:rPr>
          <w:rStyle w:val="Strong"/>
          <w:b/>
          <w:bCs/>
        </w:rPr>
        <w:t xml:space="preserve"> </w:t>
      </w:r>
    </w:p>
    <w:p w14:paraId="39AEA8CA" w14:textId="71EFD1AA" w:rsidR="002739DE" w:rsidRPr="00627EB2" w:rsidRDefault="00ED2308" w:rsidP="008B78FC">
      <w:pPr>
        <w:pStyle w:val="Observation"/>
        <w:rPr>
          <w:rStyle w:val="Strong"/>
          <w:b/>
          <w:bCs/>
        </w:rPr>
      </w:pPr>
      <w:bookmarkStart w:id="36" w:name="_Ref213431304"/>
      <w:r w:rsidRPr="00627EB2">
        <w:rPr>
          <w:rStyle w:val="Strong"/>
          <w:b/>
          <w:bCs/>
        </w:rPr>
        <w:t>CQI calculation options</w:t>
      </w:r>
      <w:r w:rsidR="0049521D" w:rsidRPr="00627EB2">
        <w:rPr>
          <w:rStyle w:val="Strong"/>
          <w:b/>
          <w:bCs/>
        </w:rPr>
        <w:t xml:space="preserve"> (1a/1b/2a)</w:t>
      </w:r>
      <w:r w:rsidR="00596DDE" w:rsidRPr="00627EB2">
        <w:rPr>
          <w:rStyle w:val="Strong"/>
          <w:b/>
          <w:bCs/>
        </w:rPr>
        <w:t>, including based on target CSI (encoder input), reference decoder, or CQI estimat</w:t>
      </w:r>
      <w:r w:rsidR="00617B2A" w:rsidRPr="00627EB2">
        <w:rPr>
          <w:rStyle w:val="Strong"/>
          <w:b/>
          <w:bCs/>
        </w:rPr>
        <w:t>or are related to implementation aspects</w:t>
      </w:r>
      <w:r w:rsidR="00AE454E" w:rsidRPr="00627EB2">
        <w:rPr>
          <w:rStyle w:val="Strong"/>
          <w:b/>
          <w:bCs/>
        </w:rPr>
        <w:t xml:space="preserve">, and </w:t>
      </w:r>
      <w:r w:rsidR="0076294C" w:rsidRPr="00627EB2">
        <w:rPr>
          <w:rStyle w:val="Strong"/>
          <w:b/>
          <w:bCs/>
        </w:rPr>
        <w:t>may be infeasible to be standardized.</w:t>
      </w:r>
      <w:bookmarkEnd w:id="35"/>
      <w:bookmarkEnd w:id="36"/>
    </w:p>
    <w:p w14:paraId="691C4929" w14:textId="0B68754A" w:rsidR="0076294C" w:rsidRPr="00627EB2" w:rsidRDefault="0076294C" w:rsidP="008B78FC">
      <w:pPr>
        <w:pStyle w:val="Observation"/>
        <w:rPr>
          <w:rStyle w:val="Strong"/>
          <w:b/>
          <w:bCs/>
        </w:rPr>
      </w:pPr>
      <w:bookmarkStart w:id="37" w:name="_Ref210414798"/>
      <w:r w:rsidRPr="00627EB2">
        <w:rPr>
          <w:rStyle w:val="Strong"/>
          <w:b/>
          <w:bCs/>
        </w:rPr>
        <w:t>CQI calculations options</w:t>
      </w:r>
      <w:r w:rsidR="0049521D" w:rsidRPr="00627EB2">
        <w:rPr>
          <w:rStyle w:val="Strong"/>
          <w:b/>
          <w:bCs/>
        </w:rPr>
        <w:t xml:space="preserve"> (1a/1b/2a),</w:t>
      </w:r>
      <w:r w:rsidRPr="00627EB2">
        <w:rPr>
          <w:rStyle w:val="Strong"/>
          <w:b/>
          <w:bCs/>
        </w:rPr>
        <w:t xml:space="preserve"> including based on target CSI (encoder input), reference decoder, or CQI estimator</w:t>
      </w:r>
      <w:r w:rsidR="00D314D9" w:rsidRPr="00627EB2">
        <w:rPr>
          <w:rStyle w:val="Strong"/>
          <w:b/>
          <w:bCs/>
        </w:rPr>
        <w:t>,</w:t>
      </w:r>
      <w:r w:rsidRPr="00627EB2">
        <w:rPr>
          <w:rStyle w:val="Strong"/>
          <w:b/>
          <w:bCs/>
        </w:rPr>
        <w:t xml:space="preserve"> provide a CQI estimation, not the exact CQI definition as legacy.</w:t>
      </w:r>
      <w:bookmarkEnd w:id="37"/>
    </w:p>
    <w:p w14:paraId="2C20F982" w14:textId="32A041A0" w:rsidR="00E81380" w:rsidRDefault="00627EB2" w:rsidP="00C33209">
      <w:r>
        <w:t>Based on the discussion, we propose</w:t>
      </w:r>
    </w:p>
    <w:p w14:paraId="5FBDCD41" w14:textId="0B0AAD85" w:rsidR="00EB6CF2" w:rsidRDefault="002B092C" w:rsidP="009149B4">
      <w:pPr>
        <w:pStyle w:val="Proposal"/>
      </w:pPr>
      <w:bookmarkStart w:id="38" w:name="_Ref213431620"/>
      <w:r>
        <w:t>Note</w:t>
      </w:r>
      <w:r w:rsidR="009149B4">
        <w:t xml:space="preserve"> </w:t>
      </w:r>
      <w:r w:rsidR="00240C4F">
        <w:t xml:space="preserve">CQI calculated based on precoded CSI-RS as </w:t>
      </w:r>
      <w:r>
        <w:t>being already supported</w:t>
      </w:r>
      <w:bookmarkEnd w:id="38"/>
      <w:r>
        <w:t>.</w:t>
      </w:r>
      <w:r w:rsidR="009149B4" w:rsidRPr="00FC7DB1">
        <w:t xml:space="preserve"> </w:t>
      </w:r>
    </w:p>
    <w:p w14:paraId="342DB903" w14:textId="14D2C097" w:rsidR="009149B4" w:rsidRPr="00FC7DB1" w:rsidRDefault="002B092C" w:rsidP="009149B4">
      <w:pPr>
        <w:pStyle w:val="Proposal"/>
      </w:pPr>
      <w:bookmarkStart w:id="39" w:name="_Ref213431626"/>
      <w:r>
        <w:t>For</w:t>
      </w:r>
      <w:r w:rsidR="00EB6CF2">
        <w:t xml:space="preserve"> CQI options 1a/1b/2a, </w:t>
      </w:r>
      <w:r w:rsidR="009149B4" w:rsidRPr="00FC7DB1">
        <w:t xml:space="preserve">study the spec impacts to accommodate all </w:t>
      </w:r>
      <w:r w:rsidR="004411FA">
        <w:t>imple</w:t>
      </w:r>
      <w:r w:rsidR="00E41EB8">
        <w:t>mentation</w:t>
      </w:r>
      <w:r w:rsidR="009149B4" w:rsidRPr="00FC7DB1">
        <w:t xml:space="preserve"> options.</w:t>
      </w:r>
      <w:bookmarkEnd w:id="39"/>
    </w:p>
    <w:p w14:paraId="591F703F" w14:textId="77777777" w:rsidR="009149B4" w:rsidRPr="00E81380" w:rsidRDefault="009149B4" w:rsidP="00304C8B">
      <w:pPr>
        <w:pStyle w:val="Proposal"/>
        <w:numPr>
          <w:ilvl w:val="0"/>
          <w:numId w:val="19"/>
        </w:numPr>
      </w:pPr>
      <w:r w:rsidRPr="00E81380">
        <w:t>RAN4 may define a relaxed testing requirement to accommodate various potential precoder assumptions.</w:t>
      </w:r>
    </w:p>
    <w:p w14:paraId="2621F7A8" w14:textId="6A0C5690" w:rsidR="009149B4" w:rsidRPr="00E81380" w:rsidRDefault="00E41EB8" w:rsidP="00304C8B">
      <w:pPr>
        <w:pStyle w:val="Proposal"/>
        <w:numPr>
          <w:ilvl w:val="0"/>
          <w:numId w:val="19"/>
        </w:numPr>
      </w:pPr>
      <w:r>
        <w:t>In RAN1, clarify the reported CQI by these methods are different from the legacy CQI</w:t>
      </w:r>
      <w:r w:rsidR="009149B4" w:rsidRPr="00E81380">
        <w:t>.</w:t>
      </w:r>
    </w:p>
    <w:p w14:paraId="7445A981" w14:textId="77777777" w:rsidR="000B1A32" w:rsidRPr="00C33209" w:rsidRDefault="000B1A32" w:rsidP="00C33209"/>
    <w:p w14:paraId="08B969D8" w14:textId="1A1EC68E" w:rsidR="00242D6B" w:rsidRDefault="00C33209" w:rsidP="00C33209">
      <w:pPr>
        <w:pStyle w:val="Heading1"/>
      </w:pPr>
      <w:r>
        <w:t>Processing criteria and timeline</w:t>
      </w:r>
    </w:p>
    <w:p w14:paraId="24F54FAF" w14:textId="39BACFCE" w:rsidR="00C33209" w:rsidRDefault="007F0E35" w:rsidP="00C33209">
      <w:r>
        <w:t xml:space="preserve">In Rel-19 AIML beam predication and CSI prediction, </w:t>
      </w:r>
      <w:r w:rsidR="009B75F6">
        <w:t xml:space="preserve">a framework for processing units </w:t>
      </w:r>
      <w:r w:rsidR="008148C1">
        <w:t>have been defined</w:t>
      </w:r>
      <w:r w:rsidR="00B031FC">
        <w:t xml:space="preserve">. </w:t>
      </w:r>
      <w:r w:rsidR="00FE3643">
        <w:t>Considering various potential implementation choices</w:t>
      </w:r>
      <w:r w:rsidR="00E540D4">
        <w:t>, some UEs may use legacy hardware to implement AIML models while some others may use dedicated AIML hardware. The former UE may adopt legacy CPU pool to account for the processing and memory cost. The latter</w:t>
      </w:r>
      <w:r w:rsidR="00206896">
        <w:t xml:space="preserve"> UE would need to use legacy CPU to account for the cost of pre-/post-processing and AIML processing unit pool to account for the cost of AIML model related operations. </w:t>
      </w:r>
      <w:r w:rsidR="006E7260">
        <w:t xml:space="preserve">In our view, the same principle and framework can be applied to </w:t>
      </w:r>
      <w:r w:rsidR="00C97EAC">
        <w:t>CSF via two-sided model use case</w:t>
      </w:r>
      <w:r w:rsidR="00664713">
        <w:t xml:space="preserve">. UE may report specific </w:t>
      </w:r>
      <w:r w:rsidR="00AD581B">
        <w:t>CPU an APU cost specifically for this feature.</w:t>
      </w:r>
    </w:p>
    <w:p w14:paraId="441DF977" w14:textId="445EA139" w:rsidR="00AD581B" w:rsidRDefault="00AD581B" w:rsidP="00C33209">
      <w:r>
        <w:t>Similarly, new timeline has been introduced</w:t>
      </w:r>
      <w:r w:rsidR="00EF5EAF">
        <w:t xml:space="preserve"> for AIML-based beam and CSI prediction. An additional </w:t>
      </w:r>
      <w:r w:rsidR="0057562B">
        <w:t>time requirement t has been added on top of the existing timeline {Z, Z’}. For CS</w:t>
      </w:r>
      <w:r w:rsidR="00D6728E">
        <w:t>I</w:t>
      </w:r>
      <w:r w:rsidR="0057562B">
        <w:t xml:space="preserve"> via two-sided model, UE may report specific value fo</w:t>
      </w:r>
      <w:r w:rsidR="00E40820">
        <w:t>r the additional time requirement t.</w:t>
      </w:r>
    </w:p>
    <w:p w14:paraId="13C4F323" w14:textId="16FE3AB4" w:rsidR="00830299" w:rsidRDefault="00830299" w:rsidP="00C33209">
      <w:r>
        <w:lastRenderedPageBreak/>
        <w:t>Moreover, not only the aperiodic CSI timeline, but also the timeline for se</w:t>
      </w:r>
      <w:r w:rsidR="00D6728E">
        <w:t>mi-persistent</w:t>
      </w:r>
      <w:r w:rsidR="007B0FCF">
        <w:t xml:space="preserve"> needs extension. In current spec, UE does not need to measure any CSI-RS after the CSI reference resource, and the </w:t>
      </w:r>
      <w:r w:rsidR="00262E49">
        <w:t xml:space="preserve">gap between CSI reference resource to the report is 4/5ms. However, in the extended A-CSI timeline for </w:t>
      </w:r>
      <w:r w:rsidR="00606E53">
        <w:t xml:space="preserve">AIML-based beam predication and CSI prediction, it is likely that the timeline is larger than 4/5ms. Thus, </w:t>
      </w:r>
      <w:r w:rsidR="00BF4ADB">
        <w:t>it is essential to extend the timeline for semi-persistent CSI as well.</w:t>
      </w:r>
    </w:p>
    <w:p w14:paraId="64B191CF" w14:textId="1F487667" w:rsidR="00E40820" w:rsidRDefault="00515A50" w:rsidP="00C33209">
      <w:r>
        <w:t>The legacy rule of a</w:t>
      </w:r>
      <w:r w:rsidR="00E40820">
        <w:t xml:space="preserve">ctive resource and port </w:t>
      </w:r>
      <w:r>
        <w:t>can be applied to CSI feedback two-sided model use case.</w:t>
      </w:r>
    </w:p>
    <w:p w14:paraId="3CFA05E5" w14:textId="00FAA62A" w:rsidR="00515A50" w:rsidRPr="009B5A0F" w:rsidRDefault="00515A50" w:rsidP="00B06B78">
      <w:pPr>
        <w:pStyle w:val="Proposal"/>
      </w:pPr>
      <w:bookmarkStart w:id="40" w:name="_Ref206170679"/>
      <w:r w:rsidRPr="009B5A0F">
        <w:t xml:space="preserve">Adopt </w:t>
      </w:r>
      <w:r w:rsidR="003C5D72" w:rsidRPr="009B5A0F">
        <w:t>existing frame</w:t>
      </w:r>
      <w:r w:rsidR="00F83512" w:rsidRPr="009B5A0F">
        <w:t xml:space="preserve">work </w:t>
      </w:r>
      <w:r w:rsidR="00224A8D" w:rsidRPr="009B5A0F">
        <w:t xml:space="preserve">of CPU and APU counting for </w:t>
      </w:r>
      <w:r w:rsidR="00040CE1" w:rsidRPr="009B5A0F">
        <w:t xml:space="preserve">CSF via two-sided model, UE may report dedicated </w:t>
      </w:r>
      <w:r w:rsidR="003161D2" w:rsidRPr="009B5A0F">
        <w:t>CPU and APU cost for this feature.</w:t>
      </w:r>
      <w:bookmarkEnd w:id="40"/>
    </w:p>
    <w:p w14:paraId="706DBF53" w14:textId="02B6847C" w:rsidR="003161D2" w:rsidRPr="009B5A0F" w:rsidRDefault="003161D2" w:rsidP="00B06B78">
      <w:pPr>
        <w:pStyle w:val="Proposal"/>
      </w:pPr>
      <w:bookmarkStart w:id="41" w:name="_Ref206170686"/>
      <w:r w:rsidRPr="009B5A0F">
        <w:t xml:space="preserve">Adopt existing timeline formulation for CSF via two-sided model, UE may report dedicated additional </w:t>
      </w:r>
      <w:r w:rsidR="0014334E" w:rsidRPr="009B5A0F">
        <w:t>time requirement</w:t>
      </w:r>
      <w:r w:rsidR="00B06B78" w:rsidRPr="009B5A0F">
        <w:t xml:space="preserve"> t</w:t>
      </w:r>
      <w:r w:rsidR="0014334E" w:rsidRPr="009B5A0F">
        <w:t xml:space="preserve"> for </w:t>
      </w:r>
      <w:r w:rsidR="00BF4ADB">
        <w:t>both the aperiodic CSI reporting and semi-persistent CSI reporting</w:t>
      </w:r>
      <w:r w:rsidR="00B06B78" w:rsidRPr="009B5A0F">
        <w:t>.</w:t>
      </w:r>
      <w:bookmarkEnd w:id="41"/>
    </w:p>
    <w:bookmarkEnd w:id="3"/>
    <w:p w14:paraId="7DEA9883" w14:textId="77777777" w:rsidR="00D74611" w:rsidRDefault="00D74611" w:rsidP="00D74611">
      <w:pPr>
        <w:pStyle w:val="Heading1"/>
      </w:pPr>
      <w:r>
        <w:t>Target CSI type</w:t>
      </w:r>
    </w:p>
    <w:p w14:paraId="340C8B26" w14:textId="18195116" w:rsidR="00AF4589" w:rsidRPr="00AF4589" w:rsidRDefault="0063741D" w:rsidP="00AF4589">
      <w:r>
        <w:t xml:space="preserve">Regarding target CSI type, after the discussion in the last two meetings, it has been agreed to </w:t>
      </w:r>
      <w:r w:rsidR="00F42FB0">
        <w:t xml:space="preserve">specify precoding matrix feedback in port and subband domain via two-sided model. </w:t>
      </w:r>
      <w:r w:rsidR="00700FC3">
        <w:t xml:space="preserve">There is an FFS of whether consider channel matrix as further improvement. In this section, we elaborate our views on this </w:t>
      </w:r>
      <w:r w:rsidR="002906DA">
        <w:t>aspect.</w:t>
      </w:r>
      <w:r w:rsidR="00F42FB0">
        <w:t xml:space="preserve"> </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D74611" w14:paraId="42BA5036" w14:textId="77777777" w:rsidTr="00DB1E90">
        <w:tc>
          <w:tcPr>
            <w:tcW w:w="9350" w:type="dxa"/>
          </w:tcPr>
          <w:p w14:paraId="2BE9D5E6" w14:textId="77777777" w:rsidR="00D74611" w:rsidRPr="00D47103" w:rsidRDefault="00D74611" w:rsidP="001B10F9">
            <w:pPr>
              <w:pStyle w:val="3GPPNormalText"/>
              <w:rPr>
                <w:rFonts w:eastAsia="SimSun"/>
                <w:b/>
                <w:bCs/>
                <w:lang w:val="en-US"/>
              </w:rPr>
            </w:pPr>
            <w:r w:rsidRPr="00D47103">
              <w:rPr>
                <w:b/>
                <w:bCs/>
                <w:highlight w:val="green"/>
                <w:lang w:val="en-US"/>
              </w:rPr>
              <w:t>Agreement</w:t>
            </w:r>
            <w:r>
              <w:rPr>
                <w:b/>
                <w:bCs/>
                <w:highlight w:val="green"/>
                <w:lang w:val="en-US"/>
              </w:rPr>
              <w:t xml:space="preserve"> (RAN1 #122bis)</w:t>
            </w:r>
            <w:r w:rsidRPr="00D47103">
              <w:rPr>
                <w:b/>
                <w:bCs/>
                <w:highlight w:val="green"/>
                <w:lang w:val="en-US"/>
              </w:rPr>
              <w:t>:</w:t>
            </w:r>
          </w:p>
          <w:p w14:paraId="44BF9938" w14:textId="77777777" w:rsidR="00D74611" w:rsidRPr="00F8020C" w:rsidRDefault="00D74611" w:rsidP="001B10F9">
            <w:r w:rsidRPr="00F8020C">
              <w:t>Support precoding matrix with port-subband domain representation as target CSI type.</w:t>
            </w:r>
          </w:p>
          <w:p w14:paraId="0565C9D2" w14:textId="77777777" w:rsidR="00D74611" w:rsidRDefault="00D74611" w:rsidP="00304C8B">
            <w:pPr>
              <w:pStyle w:val="ListParagraph"/>
              <w:numPr>
                <w:ilvl w:val="0"/>
                <w:numId w:val="13"/>
              </w:numPr>
              <w:suppressAutoHyphens/>
              <w:rPr>
                <w:b/>
                <w:bCs/>
                <w:i/>
                <w:iCs/>
              </w:rPr>
            </w:pPr>
            <w:r w:rsidRPr="00F8020C">
              <w:t xml:space="preserve">For a certain layer </w:t>
            </w:r>
            <m:oMath>
              <m:r>
                <m:rPr>
                  <m:sty m:val="p"/>
                </m:rPr>
                <w:rPr>
                  <w:rFonts w:ascii="Cambria Math" w:hAnsi="Cambria Math"/>
                </w:rPr>
                <m:t>l</m:t>
              </m:r>
            </m:oMath>
            <w:r w:rsidRPr="00F8020C">
              <w:t xml:space="preserve">, a precoding matrix on N_sb subband and P CSI-RS ports is </w:t>
            </w:r>
            <m:oMath>
              <m:sSubSup>
                <m:sSubSupPr>
                  <m:ctrlPr>
                    <w:rPr>
                      <w:rFonts w:ascii="Cambria Math" w:hAnsi="Cambria Math"/>
                    </w:rPr>
                  </m:ctrlPr>
                </m:sSubSupPr>
                <m:e>
                  <m:r>
                    <m:rPr>
                      <m:sty m:val="p"/>
                    </m:rPr>
                    <w:rPr>
                      <w:rFonts w:ascii="Cambria Math" w:hAnsi="Cambria Math"/>
                    </w:rPr>
                    <m:t>W</m:t>
                  </m:r>
                </m:e>
                <m:sub>
                  <m:r>
                    <m:rPr>
                      <m:sty m:val="p"/>
                    </m:rPr>
                    <w:rPr>
                      <w:rFonts w:ascii="Cambria Math" w:hAnsi="Cambria Math"/>
                    </w:rPr>
                    <m:t>in</m:t>
                  </m:r>
                </m:sub>
                <m:sup>
                  <m:r>
                    <m:rPr>
                      <m:sty m:val="p"/>
                    </m:rPr>
                    <w:rPr>
                      <w:rFonts w:ascii="Cambria Math" w:hAnsi="Cambria Math"/>
                    </w:rPr>
                    <m:t>l</m:t>
                  </m: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W</m:t>
                  </m:r>
                </m:e>
                <m:sub>
                  <m:r>
                    <m:rPr>
                      <m:sty m:val="p"/>
                    </m:rPr>
                    <w:rPr>
                      <w:rFonts w:ascii="Cambria Math" w:hAnsi="Cambria Math"/>
                    </w:rPr>
                    <m:t>in,0</m:t>
                  </m:r>
                </m:sub>
                <m:sup>
                  <m:r>
                    <m:rPr>
                      <m:sty m:val="p"/>
                    </m:rPr>
                    <w:rPr>
                      <w:rFonts w:ascii="Cambria Math" w:hAnsi="Cambria Math"/>
                    </w:rPr>
                    <m:t>l</m:t>
                  </m:r>
                </m:sup>
              </m:sSubSup>
              <m:r>
                <m:rPr>
                  <m:sty m:val="p"/>
                </m:rPr>
                <w:rPr>
                  <w:rFonts w:ascii="Cambria Math" w:hAnsi="Cambria Math"/>
                </w:rPr>
                <m:t xml:space="preserve">, </m:t>
              </m:r>
              <m:sSubSup>
                <m:sSubSupPr>
                  <m:ctrlPr>
                    <w:rPr>
                      <w:rFonts w:ascii="Cambria Math" w:hAnsi="Cambria Math"/>
                    </w:rPr>
                  </m:ctrlPr>
                </m:sSubSupPr>
                <m:e>
                  <m:r>
                    <m:rPr>
                      <m:sty m:val="p"/>
                    </m:rPr>
                    <w:rPr>
                      <w:rFonts w:ascii="Cambria Math" w:hAnsi="Cambria Math"/>
                    </w:rPr>
                    <m:t>W</m:t>
                  </m:r>
                </m:e>
                <m:sub>
                  <m:r>
                    <m:rPr>
                      <m:sty m:val="p"/>
                    </m:rPr>
                    <w:rPr>
                      <w:rFonts w:ascii="Cambria Math" w:hAnsi="Cambria Math"/>
                    </w:rPr>
                    <m:t>in,1</m:t>
                  </m:r>
                </m:sub>
                <m:sup>
                  <m:r>
                    <m:rPr>
                      <m:sty m:val="p"/>
                    </m:rPr>
                    <w:rPr>
                      <w:rFonts w:ascii="Cambria Math" w:hAnsi="Cambria Math"/>
                    </w:rPr>
                    <m:t>l</m:t>
                  </m: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W</m:t>
                  </m:r>
                </m:e>
                <m:sub>
                  <m:r>
                    <m:rPr>
                      <m:sty m:val="p"/>
                    </m:rPr>
                    <w:rPr>
                      <w:rFonts w:ascii="Cambria Math" w:hAnsi="Cambria Math"/>
                    </w:rPr>
                    <m:t xml:space="preserve">in, </m:t>
                  </m:r>
                  <m:sSub>
                    <m:sSubPr>
                      <m:ctrlPr>
                        <w:rPr>
                          <w:rFonts w:ascii="Cambria Math" w:hAnsi="Cambria Math"/>
                        </w:rPr>
                      </m:ctrlPr>
                    </m:sSubPr>
                    <m:e>
                      <m:r>
                        <m:rPr>
                          <m:sty m:val="p"/>
                        </m:rPr>
                        <w:rPr>
                          <w:rFonts w:ascii="Cambria Math" w:hAnsi="Cambria Math"/>
                        </w:rPr>
                        <m:t>N</m:t>
                      </m:r>
                    </m:e>
                    <m:sub>
                      <m:r>
                        <m:rPr>
                          <m:sty m:val="p"/>
                        </m:rPr>
                        <w:rPr>
                          <w:rFonts w:ascii="Cambria Math" w:hAnsi="Cambria Math"/>
                        </w:rPr>
                        <m:t>sb</m:t>
                      </m:r>
                    </m:sub>
                  </m:sSub>
                  <m:r>
                    <m:rPr>
                      <m:sty m:val="p"/>
                    </m:rPr>
                    <w:rPr>
                      <w:rFonts w:ascii="Cambria Math" w:hAnsi="Cambria Math"/>
                    </w:rPr>
                    <m:t>-1</m:t>
                  </m:r>
                </m:sub>
                <m:sup>
                  <m:r>
                    <m:rPr>
                      <m:sty m:val="p"/>
                    </m:rPr>
                    <w:rPr>
                      <w:rFonts w:ascii="Cambria Math" w:hAnsi="Cambria Math"/>
                    </w:rPr>
                    <m:t>l</m:t>
                  </m:r>
                </m:sup>
              </m:sSubSup>
              <m:r>
                <m:rPr>
                  <m:sty m:val="p"/>
                </m:rPr>
                <w:rPr>
                  <w:rFonts w:ascii="Cambria Math" w:hAnsi="Cambria Math"/>
                </w:rPr>
                <m:t>]</m:t>
              </m:r>
            </m:oMath>
            <w:r w:rsidRPr="00F8020C">
              <w:t xml:space="preserve"> with </w:t>
            </w:r>
            <m:oMath>
              <m:sSubSup>
                <m:sSubSupPr>
                  <m:ctrlPr>
                    <w:rPr>
                      <w:rFonts w:ascii="Cambria Math" w:hAnsi="Cambria Math"/>
                    </w:rPr>
                  </m:ctrlPr>
                </m:sSubSupPr>
                <m:e>
                  <m:r>
                    <m:rPr>
                      <m:sty m:val="p"/>
                    </m:rPr>
                    <w:rPr>
                      <w:rFonts w:ascii="Cambria Math" w:hAnsi="Cambria Math"/>
                    </w:rPr>
                    <m:t>W</m:t>
                  </m:r>
                </m:e>
                <m:sub>
                  <m:r>
                    <m:rPr>
                      <m:sty m:val="p"/>
                    </m:rPr>
                    <w:rPr>
                      <w:rFonts w:ascii="Cambria Math" w:hAnsi="Cambria Math"/>
                    </w:rPr>
                    <m:t>in,k</m:t>
                  </m:r>
                </m:sub>
                <m:sup>
                  <m:r>
                    <m:rPr>
                      <m:sty m:val="p"/>
                    </m:rPr>
                    <w:rPr>
                      <w:rFonts w:ascii="Cambria Math" w:hAnsi="Cambria Math"/>
                    </w:rPr>
                    <m:t>l</m:t>
                  </m:r>
                </m:sup>
              </m:sSubSup>
            </m:oMath>
            <w:r w:rsidRPr="00F8020C">
              <w:t xml:space="preserve"> being a </w:t>
            </w:r>
            <m:oMath>
              <m:r>
                <m:rPr>
                  <m:sty m:val="p"/>
                </m:rPr>
                <w:rPr>
                  <w:rFonts w:ascii="Cambria Math" w:hAnsi="Cambria Math"/>
                </w:rPr>
                <m:t>P×1</m:t>
              </m:r>
            </m:oMath>
            <w:r w:rsidRPr="00F8020C">
              <w:t xml:space="preserve"> vector</w:t>
            </w:r>
            <w:r>
              <w:rPr>
                <w:b/>
                <w:bCs/>
                <w:i/>
                <w:iCs/>
              </w:rPr>
              <w:t>.</w:t>
            </w:r>
          </w:p>
          <w:p w14:paraId="2CFC33EA" w14:textId="77777777" w:rsidR="00D74611" w:rsidRPr="003720D4" w:rsidRDefault="00D74611" w:rsidP="00304C8B">
            <w:pPr>
              <w:pStyle w:val="ListParagraph"/>
              <w:numPr>
                <w:ilvl w:val="0"/>
                <w:numId w:val="13"/>
              </w:numPr>
              <w:suppressAutoHyphens/>
            </w:pPr>
            <w:r>
              <w:t>Note: Only sub-band PMI reporting is supported.</w:t>
            </w:r>
          </w:p>
          <w:p w14:paraId="62605B71" w14:textId="77777777" w:rsidR="00D74611" w:rsidRDefault="00D74611" w:rsidP="001B10F9">
            <w:pPr>
              <w:rPr>
                <w:szCs w:val="20"/>
              </w:rPr>
            </w:pPr>
            <w:r w:rsidRPr="00EB4FD1">
              <w:rPr>
                <w:szCs w:val="20"/>
                <w:highlight w:val="green"/>
              </w:rPr>
              <w:t>Agreement (RAN1 #122)</w:t>
            </w:r>
          </w:p>
          <w:p w14:paraId="25A0EA2D" w14:textId="77777777" w:rsidR="00D74611" w:rsidRPr="00D56FE9" w:rsidRDefault="00D74611" w:rsidP="001B10F9">
            <w:pPr>
              <w:rPr>
                <w:szCs w:val="20"/>
              </w:rPr>
            </w:pPr>
            <w:r w:rsidRPr="00D56FE9">
              <w:rPr>
                <w:szCs w:val="20"/>
              </w:rPr>
              <w:t>For CSI feedback via two-sided model, support at least precoding matrix as target CSI type.</w:t>
            </w:r>
          </w:p>
          <w:p w14:paraId="294477F2" w14:textId="77777777" w:rsidR="00D74611" w:rsidRPr="00EB4FD1" w:rsidRDefault="00D74611" w:rsidP="00304C8B">
            <w:pPr>
              <w:pStyle w:val="ListParagraph"/>
              <w:numPr>
                <w:ilvl w:val="0"/>
                <w:numId w:val="13"/>
              </w:numPr>
              <w:suppressAutoHyphens/>
              <w:rPr>
                <w:szCs w:val="20"/>
              </w:rPr>
            </w:pPr>
            <w:r w:rsidRPr="00D56FE9">
              <w:rPr>
                <w:szCs w:val="20"/>
              </w:rPr>
              <w:t xml:space="preserve">FFS whether consider </w:t>
            </w:r>
            <w:r w:rsidRPr="00D56FE9">
              <w:rPr>
                <w:strike/>
                <w:szCs w:val="20"/>
              </w:rPr>
              <w:t>raw</w:t>
            </w:r>
            <w:r w:rsidRPr="00D56FE9">
              <w:rPr>
                <w:szCs w:val="20"/>
              </w:rPr>
              <w:t xml:space="preserve"> </w:t>
            </w:r>
            <w:r w:rsidRPr="00A03706">
              <w:rPr>
                <w:szCs w:val="20"/>
                <w:highlight w:val="yellow"/>
              </w:rPr>
              <w:t>channel matrix as further improvement</w:t>
            </w:r>
            <w:r w:rsidRPr="00D56FE9">
              <w:rPr>
                <w:szCs w:val="20"/>
              </w:rPr>
              <w:t>, starting with evaluations, e.g. potential fusion with SRS measurement (SRS period/hopping, DL/UL reciprocity), frequency granularity of channel matrix, number of Rx antennas, etc.</w:t>
            </w:r>
          </w:p>
        </w:tc>
      </w:tr>
    </w:tbl>
    <w:p w14:paraId="3D992528" w14:textId="77777777" w:rsidR="00087756" w:rsidRDefault="00087756" w:rsidP="006C2011"/>
    <w:p w14:paraId="2096A545" w14:textId="77777777" w:rsidR="000333B1" w:rsidRDefault="00087756" w:rsidP="006C2011">
      <w:r>
        <w:t>E</w:t>
      </w:r>
      <w:r w:rsidR="006C2011">
        <w:t xml:space="preserve">xplicit channel feedback is a generic CSI feedback scheme not limited to the scope of AIML. In early stage of 5G NR, it was studied but not yet adopted due to the concern of disclosing UE side proprietary implementation. Besides, it remains to study how to define the UE Rx port, frequency granularity, channel gain or eigen value feedback. </w:t>
      </w:r>
      <w:r w:rsidR="000D07E9">
        <w:t>To address this issue, covariance matrix feedback is a</w:t>
      </w:r>
      <w:r w:rsidR="001639FC">
        <w:t xml:space="preserve"> good alternative as the Rx information can be hidden by the covariance matrix calculation, and the </w:t>
      </w:r>
      <w:r w:rsidR="00337AEF">
        <w:t xml:space="preserve">frequency granularity can be the same </w:t>
      </w:r>
      <w:r w:rsidR="000333B1">
        <w:t>as precoding matrix feedback.</w:t>
      </w:r>
    </w:p>
    <w:p w14:paraId="5ED570EA" w14:textId="77777777" w:rsidR="006377F2" w:rsidRDefault="000333B1" w:rsidP="006C2011">
      <w:r>
        <w:t xml:space="preserve">Additionally, </w:t>
      </w:r>
      <w:r w:rsidR="00747A25">
        <w:t xml:space="preserve">as mentioned in our paper 6G AIML paper [4], </w:t>
      </w:r>
      <w:r>
        <w:t>if SRS fusion is</w:t>
      </w:r>
      <w:r w:rsidR="00747A25">
        <w:t xml:space="preserve"> used</w:t>
      </w:r>
      <w:r>
        <w:t xml:space="preserve"> </w:t>
      </w:r>
      <w:r w:rsidR="00FA1178">
        <w:t xml:space="preserve">by the NW as another input of the decoder, the phase coherency between the UL channel and DL channel may impact the performance. There are </w:t>
      </w:r>
      <w:r w:rsidR="002C727F">
        <w:t>multiple</w:t>
      </w:r>
      <w:r w:rsidR="00FA1178">
        <w:t xml:space="preserve"> </w:t>
      </w:r>
      <w:r w:rsidR="002C727F">
        <w:t xml:space="preserve">issues that cause the phase incoherency, such as Tx/Rx calibration error, </w:t>
      </w:r>
      <w:r w:rsidR="00560836">
        <w:t xml:space="preserve">Tx phase drift, etc. However, </w:t>
      </w:r>
      <w:r w:rsidR="0057473A">
        <w:t>these issues can be properly handled by precoding matrix feedback and covariance matrix feedback.</w:t>
      </w:r>
    </w:p>
    <w:p w14:paraId="071A2068" w14:textId="753D4ED0" w:rsidR="000F5C83" w:rsidRPr="00432792" w:rsidRDefault="000F5C83" w:rsidP="00432792">
      <w:pPr>
        <w:pStyle w:val="Observation"/>
        <w:rPr>
          <w:rStyle w:val="Strong"/>
          <w:b/>
          <w:bCs/>
        </w:rPr>
      </w:pPr>
      <w:bookmarkStart w:id="42" w:name="_Ref213431321"/>
      <w:r w:rsidRPr="00432792">
        <w:rPr>
          <w:rStyle w:val="Strong"/>
          <w:b/>
          <w:bCs/>
        </w:rPr>
        <w:t xml:space="preserve">Channel feedback has </w:t>
      </w:r>
      <w:r w:rsidR="00620550" w:rsidRPr="00432792">
        <w:rPr>
          <w:rStyle w:val="Strong"/>
          <w:b/>
          <w:bCs/>
        </w:rPr>
        <w:t xml:space="preserve">the issue of disclosing Rx port information </w:t>
      </w:r>
      <w:r w:rsidR="00D678E2" w:rsidRPr="00432792">
        <w:rPr>
          <w:rStyle w:val="Strong"/>
          <w:b/>
          <w:bCs/>
        </w:rPr>
        <w:t xml:space="preserve">and has phase coherency issue if SRS fusion is employed. </w:t>
      </w:r>
      <w:r w:rsidR="00290399" w:rsidRPr="00432792">
        <w:rPr>
          <w:rStyle w:val="Strong"/>
          <w:b/>
          <w:bCs/>
        </w:rPr>
        <w:t xml:space="preserve">The frequency granularity and channel gain </w:t>
      </w:r>
      <w:r w:rsidR="00855ACD" w:rsidRPr="00432792">
        <w:rPr>
          <w:rStyle w:val="Strong"/>
          <w:b/>
          <w:bCs/>
        </w:rPr>
        <w:lastRenderedPageBreak/>
        <w:t>information</w:t>
      </w:r>
      <w:r w:rsidR="00290399" w:rsidRPr="00432792">
        <w:rPr>
          <w:rStyle w:val="Strong"/>
          <w:b/>
          <w:bCs/>
        </w:rPr>
        <w:t xml:space="preserve"> may also </w:t>
      </w:r>
      <w:r w:rsidR="00855ACD" w:rsidRPr="00432792">
        <w:rPr>
          <w:rStyle w:val="Strong"/>
          <w:b/>
          <w:bCs/>
        </w:rPr>
        <w:t>impact the performance. To address these concerns, covariance matrix may be a good candidate for study.</w:t>
      </w:r>
      <w:bookmarkEnd w:id="42"/>
    </w:p>
    <w:p w14:paraId="7CE76AA1" w14:textId="1F0A7019" w:rsidR="006C2011" w:rsidRDefault="006377F2" w:rsidP="006C2011">
      <w:r>
        <w:t>Last but not the least</w:t>
      </w:r>
      <w:r w:rsidR="006C2011">
        <w:t xml:space="preserve">, it is more proper to </w:t>
      </w:r>
      <w:r w:rsidR="00487CC5">
        <w:t>study the explicit channel feedback</w:t>
      </w:r>
      <w:r w:rsidR="006C2011">
        <w:t xml:space="preserve"> in 6G scope</w:t>
      </w:r>
      <w:r w:rsidR="00022846">
        <w:t xml:space="preserve"> considering it </w:t>
      </w:r>
      <w:r w:rsidR="00C635A9">
        <w:t>is not supported in any type of CSI feedback of 5G</w:t>
      </w:r>
      <w:r w:rsidR="006C2011">
        <w:t>.</w:t>
      </w:r>
      <w:r w:rsidR="00C635A9">
        <w:t xml:space="preserve"> Explicit channel feedback could be a major improvement </w:t>
      </w:r>
      <w:r w:rsidR="000F5C83">
        <w:t>for 6GR if above aspects are addressed and deemed shown with performance advantages.</w:t>
      </w:r>
    </w:p>
    <w:p w14:paraId="1A06D05B" w14:textId="3FDC9B16" w:rsidR="00A32F07" w:rsidRDefault="00A32F07" w:rsidP="00FB2A68">
      <w:pPr>
        <w:pStyle w:val="Heading1"/>
      </w:pPr>
      <w:r>
        <w:t>Conclusions</w:t>
      </w:r>
    </w:p>
    <w:p w14:paraId="1C5A859E" w14:textId="16FBAD85" w:rsidR="00C33209" w:rsidRDefault="00CF7A7B" w:rsidP="00C33209">
      <w:r>
        <w:t xml:space="preserve">In this contribution, we elaborate our views on inference aspects of CSI feedback via two-sided AIML model. </w:t>
      </w:r>
      <w:r w:rsidR="00BB7CDC">
        <w:t>Target CSI type and its specification, payload determination</w:t>
      </w:r>
      <w:r w:rsidR="00922120">
        <w:t xml:space="preserve"> and quantization, CQI assumption, processing criteria and timeline are discussed. Based on the discussion, we observed</w:t>
      </w:r>
    </w:p>
    <w:p w14:paraId="3FB89696" w14:textId="6B86E5C2" w:rsidR="00535BBE" w:rsidRPr="00535BBE" w:rsidRDefault="00535BBE" w:rsidP="00C33209">
      <w:pPr>
        <w:rPr>
          <w:i/>
          <w:iCs/>
        </w:rPr>
      </w:pPr>
      <w:r w:rsidRPr="00535BBE">
        <w:rPr>
          <w:b/>
          <w:bCs/>
          <w:i/>
          <w:iCs/>
        </w:rPr>
        <w:fldChar w:fldCharType="begin"/>
      </w:r>
      <w:r w:rsidRPr="00535BBE">
        <w:rPr>
          <w:b/>
          <w:bCs/>
          <w:i/>
          <w:iCs/>
        </w:rPr>
        <w:instrText xml:space="preserve"> REF _Ref210414748 \w \h  \* MERGEFORMAT </w:instrText>
      </w:r>
      <w:r w:rsidRPr="00535BBE">
        <w:rPr>
          <w:b/>
          <w:bCs/>
          <w:i/>
          <w:iCs/>
        </w:rPr>
      </w:r>
      <w:r w:rsidRPr="00535BBE">
        <w:rPr>
          <w:b/>
          <w:bCs/>
          <w:i/>
          <w:iCs/>
        </w:rPr>
        <w:fldChar w:fldCharType="separate"/>
      </w:r>
      <w:r w:rsidRPr="00535BBE">
        <w:rPr>
          <w:b/>
          <w:bCs/>
          <w:i/>
          <w:iCs/>
        </w:rPr>
        <w:t>Observation 1:</w:t>
      </w:r>
      <w:r w:rsidRPr="00535BBE">
        <w:rPr>
          <w:b/>
          <w:bCs/>
          <w:i/>
          <w:iCs/>
        </w:rPr>
        <w:fldChar w:fldCharType="end"/>
      </w:r>
      <w:r>
        <w:rPr>
          <w:b/>
          <w:bCs/>
          <w:i/>
          <w:iCs/>
        </w:rPr>
        <w:t xml:space="preserve"> </w:t>
      </w:r>
      <w:r w:rsidRPr="00535BBE">
        <w:rPr>
          <w:i/>
          <w:iCs/>
        </w:rPr>
        <w:fldChar w:fldCharType="begin"/>
      </w:r>
      <w:r w:rsidRPr="00535BBE">
        <w:rPr>
          <w:i/>
          <w:iCs/>
        </w:rPr>
        <w:instrText xml:space="preserve"> REF _Ref210414748 \h  \* MERGEFORMAT </w:instrText>
      </w:r>
      <w:r w:rsidRPr="00535BBE">
        <w:rPr>
          <w:i/>
          <w:iCs/>
        </w:rPr>
      </w:r>
      <w:r w:rsidRPr="00535BBE">
        <w:rPr>
          <w:i/>
          <w:iCs/>
        </w:rPr>
        <w:fldChar w:fldCharType="separate"/>
      </w:r>
      <w:r w:rsidRPr="00535BBE">
        <w:rPr>
          <w:rStyle w:val="Strong"/>
          <w:i/>
          <w:iCs/>
        </w:rPr>
        <w:t>For VQ, the performance of parameter setting {L,Q}={2,4} is comparable with {L,Q}={4,8}. They both outperform {L,Q}={4,4} under the same payload size.</w:t>
      </w:r>
      <w:r w:rsidRPr="00535BBE">
        <w:rPr>
          <w:i/>
          <w:iCs/>
        </w:rPr>
        <w:fldChar w:fldCharType="end"/>
      </w:r>
    </w:p>
    <w:p w14:paraId="56A7A4E1" w14:textId="34D969E6" w:rsidR="00142F72" w:rsidRPr="00142F72" w:rsidRDefault="00395296" w:rsidP="00C33209">
      <w:pPr>
        <w:rPr>
          <w:i/>
          <w:iCs/>
        </w:rPr>
      </w:pPr>
      <w:r w:rsidRPr="00142F72">
        <w:rPr>
          <w:b/>
          <w:bCs/>
          <w:i/>
          <w:iCs/>
        </w:rPr>
        <w:fldChar w:fldCharType="begin"/>
      </w:r>
      <w:r w:rsidRPr="00142F72">
        <w:rPr>
          <w:b/>
          <w:bCs/>
          <w:i/>
          <w:iCs/>
        </w:rPr>
        <w:instrText xml:space="preserve"> REF _Ref210414756 \w \h </w:instrText>
      </w:r>
      <w:r w:rsidR="00142F72" w:rsidRPr="00142F72">
        <w:rPr>
          <w:b/>
          <w:bCs/>
          <w:i/>
          <w:iCs/>
        </w:rPr>
        <w:instrText xml:space="preserve"> \* MERGEFORMAT </w:instrText>
      </w:r>
      <w:r w:rsidRPr="00142F72">
        <w:rPr>
          <w:b/>
          <w:bCs/>
          <w:i/>
          <w:iCs/>
        </w:rPr>
      </w:r>
      <w:r w:rsidRPr="00142F72">
        <w:rPr>
          <w:b/>
          <w:bCs/>
          <w:i/>
          <w:iCs/>
        </w:rPr>
        <w:fldChar w:fldCharType="separate"/>
      </w:r>
      <w:r w:rsidR="002F77B0">
        <w:rPr>
          <w:b/>
          <w:bCs/>
          <w:i/>
          <w:iCs/>
        </w:rPr>
        <w:t>Observation 2:</w:t>
      </w:r>
      <w:r w:rsidRPr="00142F72">
        <w:rPr>
          <w:b/>
          <w:bCs/>
          <w:i/>
          <w:iCs/>
        </w:rPr>
        <w:fldChar w:fldCharType="end"/>
      </w:r>
      <w:r w:rsidR="002F77B0">
        <w:rPr>
          <w:b/>
          <w:bCs/>
          <w:i/>
          <w:iCs/>
        </w:rPr>
        <w:t xml:space="preserve"> </w:t>
      </w:r>
      <w:r w:rsidRPr="00142F72">
        <w:rPr>
          <w:i/>
          <w:iCs/>
        </w:rPr>
        <w:fldChar w:fldCharType="begin"/>
      </w:r>
      <w:r w:rsidRPr="00142F72">
        <w:rPr>
          <w:i/>
          <w:iCs/>
        </w:rPr>
        <w:instrText xml:space="preserve"> REF _Ref210414756 \h </w:instrText>
      </w:r>
      <w:r w:rsidR="00142F72" w:rsidRPr="00142F72">
        <w:rPr>
          <w:i/>
          <w:iCs/>
        </w:rPr>
        <w:instrText xml:space="preserve"> \* MERGEFORMAT </w:instrText>
      </w:r>
      <w:r w:rsidRPr="00142F72">
        <w:rPr>
          <w:i/>
          <w:iCs/>
        </w:rPr>
      </w:r>
      <w:r w:rsidRPr="00142F72">
        <w:rPr>
          <w:i/>
          <w:iCs/>
        </w:rPr>
        <w:fldChar w:fldCharType="separate"/>
      </w:r>
      <w:r w:rsidR="002F77B0" w:rsidRPr="002F77B0">
        <w:rPr>
          <w:rStyle w:val="Strong"/>
          <w:i/>
          <w:iCs/>
        </w:rPr>
        <w:t>For SQ, the best payload options are achieved by setting Q=2 bits per real entry. Different payload is achieved by setting a respective latent dimension dz.</w:t>
      </w:r>
      <w:r w:rsidRPr="00142F72">
        <w:rPr>
          <w:i/>
          <w:iCs/>
        </w:rPr>
        <w:fldChar w:fldCharType="end"/>
      </w:r>
    </w:p>
    <w:p w14:paraId="1B6FE39F" w14:textId="05EC8250" w:rsidR="00142F72" w:rsidRDefault="00395296" w:rsidP="00C33209">
      <w:pPr>
        <w:rPr>
          <w:i/>
          <w:iCs/>
        </w:rPr>
      </w:pPr>
      <w:r w:rsidRPr="00142F72">
        <w:rPr>
          <w:b/>
          <w:bCs/>
          <w:i/>
          <w:iCs/>
        </w:rPr>
        <w:fldChar w:fldCharType="begin"/>
      </w:r>
      <w:r w:rsidRPr="00142F72">
        <w:rPr>
          <w:b/>
          <w:bCs/>
          <w:i/>
          <w:iCs/>
        </w:rPr>
        <w:instrText xml:space="preserve"> REF _Ref210414768 \w \h </w:instrText>
      </w:r>
      <w:r w:rsidR="00142F72" w:rsidRPr="00142F72">
        <w:rPr>
          <w:b/>
          <w:bCs/>
          <w:i/>
          <w:iCs/>
        </w:rPr>
        <w:instrText xml:space="preserve"> \* MERGEFORMAT </w:instrText>
      </w:r>
      <w:r w:rsidRPr="00142F72">
        <w:rPr>
          <w:b/>
          <w:bCs/>
          <w:i/>
          <w:iCs/>
        </w:rPr>
      </w:r>
      <w:r w:rsidRPr="00142F72">
        <w:rPr>
          <w:b/>
          <w:bCs/>
          <w:i/>
          <w:iCs/>
        </w:rPr>
        <w:fldChar w:fldCharType="separate"/>
      </w:r>
      <w:r w:rsidR="007F7DA5">
        <w:rPr>
          <w:b/>
          <w:bCs/>
          <w:i/>
          <w:iCs/>
        </w:rPr>
        <w:t>Observation 3:</w:t>
      </w:r>
      <w:r w:rsidRPr="00142F72">
        <w:rPr>
          <w:b/>
          <w:bCs/>
          <w:i/>
          <w:iCs/>
        </w:rPr>
        <w:fldChar w:fldCharType="end"/>
      </w:r>
      <w:r w:rsidR="00142F72">
        <w:rPr>
          <w:i/>
          <w:iCs/>
        </w:rPr>
        <w:t xml:space="preserve"> </w:t>
      </w:r>
      <w:r w:rsidRPr="00142F72">
        <w:rPr>
          <w:i/>
          <w:iCs/>
        </w:rPr>
        <w:fldChar w:fldCharType="begin"/>
      </w:r>
      <w:r w:rsidRPr="00142F72">
        <w:rPr>
          <w:i/>
          <w:iCs/>
        </w:rPr>
        <w:instrText xml:space="preserve"> REF _Ref210414768 \h </w:instrText>
      </w:r>
      <w:r w:rsidR="00142F72" w:rsidRPr="00142F72">
        <w:rPr>
          <w:i/>
          <w:iCs/>
        </w:rPr>
        <w:instrText xml:space="preserve"> \* MERGEFORMAT </w:instrText>
      </w:r>
      <w:r w:rsidRPr="00142F72">
        <w:rPr>
          <w:i/>
          <w:iCs/>
        </w:rPr>
      </w:r>
      <w:r w:rsidRPr="00142F72">
        <w:rPr>
          <w:i/>
          <w:iCs/>
        </w:rPr>
        <w:fldChar w:fldCharType="separate"/>
      </w:r>
      <w:r w:rsidR="007F7DA5" w:rsidRPr="007F7DA5">
        <w:rPr>
          <w:rStyle w:val="Strong"/>
          <w:i/>
          <w:iCs/>
        </w:rPr>
        <w:t>VQ with learnable codebook provides minor to moderate gain over SQ with learnable codebook depending on the underlined dataset.</w:t>
      </w:r>
      <w:r w:rsidRPr="00142F72">
        <w:rPr>
          <w:i/>
          <w:iCs/>
        </w:rPr>
        <w:fldChar w:fldCharType="end"/>
      </w:r>
    </w:p>
    <w:p w14:paraId="2B8200F3" w14:textId="588E7561" w:rsidR="007F7DA5" w:rsidRPr="007F7DA5" w:rsidRDefault="007F7DA5" w:rsidP="00C33209">
      <w:pPr>
        <w:rPr>
          <w:i/>
          <w:iCs/>
        </w:rPr>
      </w:pPr>
      <w:r w:rsidRPr="007F7DA5">
        <w:rPr>
          <w:b/>
          <w:bCs/>
          <w:i/>
          <w:iCs/>
        </w:rPr>
        <w:fldChar w:fldCharType="begin"/>
      </w:r>
      <w:r w:rsidRPr="007F7DA5">
        <w:rPr>
          <w:b/>
          <w:bCs/>
          <w:i/>
          <w:iCs/>
        </w:rPr>
        <w:instrText xml:space="preserve"> REF _Ref213431094 \w \h  \* MERGEFORMAT </w:instrText>
      </w:r>
      <w:r w:rsidRPr="007F7DA5">
        <w:rPr>
          <w:b/>
          <w:bCs/>
          <w:i/>
          <w:iCs/>
        </w:rPr>
      </w:r>
      <w:r w:rsidRPr="007F7DA5">
        <w:rPr>
          <w:b/>
          <w:bCs/>
          <w:i/>
          <w:iCs/>
        </w:rPr>
        <w:fldChar w:fldCharType="separate"/>
      </w:r>
      <w:r w:rsidRPr="007F7DA5">
        <w:rPr>
          <w:b/>
          <w:bCs/>
          <w:i/>
          <w:iCs/>
        </w:rPr>
        <w:t>Observation 4:</w:t>
      </w:r>
      <w:r w:rsidRPr="007F7DA5">
        <w:rPr>
          <w:b/>
          <w:bCs/>
          <w:i/>
          <w:iCs/>
        </w:rPr>
        <w:fldChar w:fldCharType="end"/>
      </w:r>
      <w:r w:rsidRPr="007F7DA5">
        <w:rPr>
          <w:b/>
          <w:bCs/>
          <w:i/>
          <w:iCs/>
        </w:rPr>
        <w:t xml:space="preserve"> </w:t>
      </w:r>
      <w:r w:rsidRPr="007F7DA5">
        <w:rPr>
          <w:i/>
          <w:iCs/>
        </w:rPr>
        <w:fldChar w:fldCharType="begin"/>
      </w:r>
      <w:r w:rsidRPr="007F7DA5">
        <w:rPr>
          <w:i/>
          <w:iCs/>
        </w:rPr>
        <w:instrText xml:space="preserve"> REF _Ref213431094 \h  \* MERGEFORMAT </w:instrText>
      </w:r>
      <w:r w:rsidRPr="007F7DA5">
        <w:rPr>
          <w:i/>
          <w:iCs/>
        </w:rPr>
      </w:r>
      <w:r w:rsidRPr="007F7DA5">
        <w:rPr>
          <w:i/>
          <w:iCs/>
        </w:rPr>
        <w:fldChar w:fldCharType="separate"/>
      </w:r>
      <w:r w:rsidRPr="007F7DA5">
        <w:rPr>
          <w:rStyle w:val="Strong"/>
          <w:i/>
          <w:iCs/>
        </w:rPr>
        <w:t>Allocating more bits to higher layers is beneficial to spectral efficiency. Maintaining a good quality for layer 1 and layer 2 is also important for rank fall back or MU pairing.</w:t>
      </w:r>
      <w:r w:rsidRPr="007F7DA5">
        <w:rPr>
          <w:i/>
          <w:iCs/>
        </w:rPr>
        <w:fldChar w:fldCharType="end"/>
      </w:r>
    </w:p>
    <w:p w14:paraId="2F7B58D4" w14:textId="1C54B3F6" w:rsidR="007F7DA5" w:rsidRPr="007F7DA5" w:rsidRDefault="007F7DA5" w:rsidP="00C33209">
      <w:pPr>
        <w:rPr>
          <w:b/>
          <w:bCs/>
          <w:i/>
          <w:iCs/>
        </w:rPr>
      </w:pPr>
      <w:r w:rsidRPr="007F7DA5">
        <w:rPr>
          <w:b/>
          <w:bCs/>
          <w:i/>
          <w:iCs/>
        </w:rPr>
        <w:fldChar w:fldCharType="begin"/>
      </w:r>
      <w:r w:rsidRPr="007F7DA5">
        <w:rPr>
          <w:b/>
          <w:bCs/>
          <w:i/>
          <w:iCs/>
        </w:rPr>
        <w:instrText xml:space="preserve"> REF _Ref213431099 \w \h </w:instrText>
      </w:r>
      <w:r>
        <w:rPr>
          <w:b/>
          <w:bCs/>
          <w:i/>
          <w:iCs/>
        </w:rPr>
        <w:instrText xml:space="preserve"> \* MERGEFORMAT </w:instrText>
      </w:r>
      <w:r w:rsidRPr="007F7DA5">
        <w:rPr>
          <w:b/>
          <w:bCs/>
          <w:i/>
          <w:iCs/>
        </w:rPr>
      </w:r>
      <w:r w:rsidRPr="007F7DA5">
        <w:rPr>
          <w:b/>
          <w:bCs/>
          <w:i/>
          <w:iCs/>
        </w:rPr>
        <w:fldChar w:fldCharType="separate"/>
      </w:r>
      <w:r w:rsidRPr="007F7DA5">
        <w:rPr>
          <w:b/>
          <w:bCs/>
          <w:i/>
          <w:iCs/>
        </w:rPr>
        <w:t>Observation 5:</w:t>
      </w:r>
      <w:r w:rsidRPr="007F7DA5">
        <w:rPr>
          <w:b/>
          <w:bCs/>
          <w:i/>
          <w:iCs/>
        </w:rPr>
        <w:fldChar w:fldCharType="end"/>
      </w:r>
      <w:r w:rsidRPr="007F7DA5">
        <w:rPr>
          <w:b/>
          <w:bCs/>
          <w:i/>
          <w:iCs/>
        </w:rPr>
        <w:t xml:space="preserve"> </w:t>
      </w:r>
      <w:r w:rsidRPr="007F7DA5">
        <w:rPr>
          <w:i/>
          <w:iCs/>
        </w:rPr>
        <w:fldChar w:fldCharType="begin"/>
      </w:r>
      <w:r w:rsidRPr="007F7DA5">
        <w:rPr>
          <w:i/>
          <w:iCs/>
        </w:rPr>
        <w:instrText xml:space="preserve"> REF _Ref213431099 \h  \* MERGEFORMAT </w:instrText>
      </w:r>
      <w:r w:rsidRPr="007F7DA5">
        <w:rPr>
          <w:i/>
          <w:iCs/>
        </w:rPr>
      </w:r>
      <w:r w:rsidRPr="007F7DA5">
        <w:rPr>
          <w:i/>
          <w:iCs/>
        </w:rPr>
        <w:fldChar w:fldCharType="separate"/>
      </w:r>
      <w:r w:rsidRPr="007F7DA5">
        <w:rPr>
          <w:rStyle w:val="Strong"/>
          <w:i/>
          <w:iCs/>
        </w:rPr>
        <w:t>For each PC, at least two different parameter pairs are needed to achieve comparable payload sizes of rank 2, rank 3 and rank 4.</w:t>
      </w:r>
      <w:r w:rsidRPr="007F7DA5">
        <w:rPr>
          <w:i/>
          <w:iCs/>
        </w:rPr>
        <w:fldChar w:fldCharType="end"/>
      </w:r>
    </w:p>
    <w:p w14:paraId="69C6C991" w14:textId="64683A7A" w:rsidR="007F7DA5" w:rsidRPr="007F7DA5" w:rsidRDefault="007F7DA5" w:rsidP="00C33209">
      <w:pPr>
        <w:rPr>
          <w:b/>
          <w:bCs/>
          <w:i/>
          <w:iCs/>
        </w:rPr>
      </w:pPr>
      <w:r w:rsidRPr="007F7DA5">
        <w:rPr>
          <w:b/>
          <w:bCs/>
          <w:i/>
          <w:iCs/>
        </w:rPr>
        <w:fldChar w:fldCharType="begin"/>
      </w:r>
      <w:r w:rsidRPr="007F7DA5">
        <w:rPr>
          <w:b/>
          <w:bCs/>
          <w:i/>
          <w:iCs/>
        </w:rPr>
        <w:instrText xml:space="preserve"> REF _Ref213431108 \w \h </w:instrText>
      </w:r>
      <w:r>
        <w:rPr>
          <w:b/>
          <w:bCs/>
          <w:i/>
          <w:iCs/>
        </w:rPr>
        <w:instrText xml:space="preserve"> \* MERGEFORMAT </w:instrText>
      </w:r>
      <w:r w:rsidRPr="007F7DA5">
        <w:rPr>
          <w:b/>
          <w:bCs/>
          <w:i/>
          <w:iCs/>
        </w:rPr>
      </w:r>
      <w:r w:rsidRPr="007F7DA5">
        <w:rPr>
          <w:b/>
          <w:bCs/>
          <w:i/>
          <w:iCs/>
        </w:rPr>
        <w:fldChar w:fldCharType="separate"/>
      </w:r>
      <w:r w:rsidRPr="007F7DA5">
        <w:rPr>
          <w:b/>
          <w:bCs/>
          <w:i/>
          <w:iCs/>
        </w:rPr>
        <w:t>Observation 6:</w:t>
      </w:r>
      <w:r w:rsidRPr="007F7DA5">
        <w:rPr>
          <w:b/>
          <w:bCs/>
          <w:i/>
          <w:iCs/>
        </w:rPr>
        <w:fldChar w:fldCharType="end"/>
      </w:r>
      <w:r w:rsidRPr="007F7DA5">
        <w:rPr>
          <w:b/>
          <w:bCs/>
          <w:i/>
          <w:iCs/>
        </w:rPr>
        <w:t xml:space="preserve"> </w:t>
      </w:r>
      <w:r w:rsidRPr="007F7DA5">
        <w:rPr>
          <w:i/>
          <w:iCs/>
        </w:rPr>
        <w:fldChar w:fldCharType="begin"/>
      </w:r>
      <w:r w:rsidRPr="007F7DA5">
        <w:rPr>
          <w:i/>
          <w:iCs/>
        </w:rPr>
        <w:instrText xml:space="preserve"> REF _Ref213431108 \h  \* MERGEFORMAT </w:instrText>
      </w:r>
      <w:r w:rsidRPr="007F7DA5">
        <w:rPr>
          <w:i/>
          <w:iCs/>
        </w:rPr>
      </w:r>
      <w:r w:rsidRPr="007F7DA5">
        <w:rPr>
          <w:i/>
          <w:iCs/>
        </w:rPr>
        <w:fldChar w:fldCharType="separate"/>
      </w:r>
      <w:r w:rsidRPr="007F7DA5">
        <w:rPr>
          <w:rStyle w:val="Strong"/>
          <w:i/>
          <w:iCs/>
        </w:rPr>
        <w:t>For each PC, more than two parameter pairs ha</w:t>
      </w:r>
      <w:r w:rsidR="0002467D">
        <w:rPr>
          <w:rStyle w:val="Strong"/>
          <w:i/>
          <w:iCs/>
        </w:rPr>
        <w:t>ve</w:t>
      </w:r>
      <w:r w:rsidRPr="007F7DA5">
        <w:rPr>
          <w:rStyle w:val="Strong"/>
          <w:i/>
          <w:iCs/>
        </w:rPr>
        <w:t xml:space="preserve"> higher complexity in precoder matrix compression and rank determination.</w:t>
      </w:r>
      <w:r w:rsidRPr="007F7DA5">
        <w:rPr>
          <w:i/>
          <w:iCs/>
        </w:rPr>
        <w:fldChar w:fldCharType="end"/>
      </w:r>
    </w:p>
    <w:p w14:paraId="6972D230" w14:textId="6ADA23C9" w:rsidR="00142F72" w:rsidRPr="00142F72" w:rsidRDefault="00395296" w:rsidP="00C33209">
      <w:pPr>
        <w:rPr>
          <w:i/>
          <w:iCs/>
        </w:rPr>
      </w:pPr>
      <w:r w:rsidRPr="00142F72">
        <w:rPr>
          <w:b/>
          <w:bCs/>
          <w:i/>
          <w:iCs/>
        </w:rPr>
        <w:fldChar w:fldCharType="begin"/>
      </w:r>
      <w:r w:rsidRPr="00142F72">
        <w:rPr>
          <w:b/>
          <w:bCs/>
          <w:i/>
          <w:iCs/>
        </w:rPr>
        <w:instrText xml:space="preserve"> REF _Ref206170437 \w \h </w:instrText>
      </w:r>
      <w:r w:rsidR="00142F72" w:rsidRPr="00142F72">
        <w:rPr>
          <w:b/>
          <w:bCs/>
          <w:i/>
          <w:iCs/>
        </w:rPr>
        <w:instrText xml:space="preserve"> \* MERGEFORMAT </w:instrText>
      </w:r>
      <w:r w:rsidRPr="00142F72">
        <w:rPr>
          <w:b/>
          <w:bCs/>
          <w:i/>
          <w:iCs/>
        </w:rPr>
      </w:r>
      <w:r w:rsidRPr="00142F72">
        <w:rPr>
          <w:b/>
          <w:bCs/>
          <w:i/>
          <w:iCs/>
        </w:rPr>
        <w:fldChar w:fldCharType="separate"/>
      </w:r>
      <w:r w:rsidR="007F7DA5">
        <w:rPr>
          <w:b/>
          <w:bCs/>
          <w:i/>
          <w:iCs/>
        </w:rPr>
        <w:t>Observation 7:</w:t>
      </w:r>
      <w:r w:rsidRPr="00142F72">
        <w:rPr>
          <w:b/>
          <w:bCs/>
          <w:i/>
          <w:iCs/>
        </w:rPr>
        <w:fldChar w:fldCharType="end"/>
      </w:r>
      <w:r w:rsidR="00142F72">
        <w:rPr>
          <w:i/>
          <w:iCs/>
        </w:rPr>
        <w:t xml:space="preserve"> </w:t>
      </w:r>
      <w:r w:rsidRPr="00142F72">
        <w:rPr>
          <w:i/>
          <w:iCs/>
        </w:rPr>
        <w:fldChar w:fldCharType="begin"/>
      </w:r>
      <w:r w:rsidRPr="00142F72">
        <w:rPr>
          <w:i/>
          <w:iCs/>
        </w:rPr>
        <w:instrText xml:space="preserve"> REF _Ref206170437 \h </w:instrText>
      </w:r>
      <w:r w:rsidR="00142F72" w:rsidRPr="00142F72">
        <w:rPr>
          <w:i/>
          <w:iCs/>
        </w:rPr>
        <w:instrText xml:space="preserve"> \* MERGEFORMAT </w:instrText>
      </w:r>
      <w:r w:rsidRPr="00142F72">
        <w:rPr>
          <w:i/>
          <w:iCs/>
        </w:rPr>
      </w:r>
      <w:r w:rsidRPr="00142F72">
        <w:rPr>
          <w:i/>
          <w:iCs/>
        </w:rPr>
        <w:fldChar w:fldCharType="separate"/>
      </w:r>
      <w:r w:rsidR="007F7DA5" w:rsidRPr="007F7DA5">
        <w:rPr>
          <w:rStyle w:val="Strong"/>
          <w:i/>
          <w:iCs/>
        </w:rPr>
        <w:t>UCI mapping and omission rule based on coefficients indices are lack of technical justification, it increases processing complexity but provide no performance benefit (a significant low quality rank-4 reporting).</w:t>
      </w:r>
      <w:r w:rsidRPr="00142F72">
        <w:rPr>
          <w:i/>
          <w:iCs/>
        </w:rPr>
        <w:fldChar w:fldCharType="end"/>
      </w:r>
    </w:p>
    <w:p w14:paraId="2B7CBC15" w14:textId="5B3787A7" w:rsidR="00142F72" w:rsidRDefault="00395296" w:rsidP="00C33209">
      <w:pPr>
        <w:rPr>
          <w:i/>
        </w:rPr>
      </w:pPr>
      <w:r w:rsidRPr="00142F72">
        <w:rPr>
          <w:b/>
          <w:bCs/>
          <w:i/>
          <w:iCs/>
        </w:rPr>
        <w:fldChar w:fldCharType="begin"/>
      </w:r>
      <w:r w:rsidRPr="00142F72">
        <w:rPr>
          <w:b/>
          <w:bCs/>
          <w:i/>
          <w:iCs/>
        </w:rPr>
        <w:instrText xml:space="preserve"> REF _Ref206170443 \w \h </w:instrText>
      </w:r>
      <w:r w:rsidR="00142F72" w:rsidRPr="00142F72">
        <w:rPr>
          <w:b/>
          <w:bCs/>
          <w:i/>
          <w:iCs/>
        </w:rPr>
        <w:instrText xml:space="preserve"> \* MERGEFORMAT </w:instrText>
      </w:r>
      <w:r w:rsidRPr="00142F72">
        <w:rPr>
          <w:b/>
          <w:bCs/>
          <w:i/>
          <w:iCs/>
        </w:rPr>
      </w:r>
      <w:r w:rsidRPr="00142F72">
        <w:rPr>
          <w:b/>
          <w:bCs/>
          <w:i/>
          <w:iCs/>
        </w:rPr>
        <w:fldChar w:fldCharType="separate"/>
      </w:r>
      <w:r w:rsidR="00905154">
        <w:rPr>
          <w:b/>
          <w:bCs/>
          <w:i/>
          <w:iCs/>
        </w:rPr>
        <w:t>Observation 8:</w:t>
      </w:r>
      <w:r w:rsidRPr="00142F72">
        <w:rPr>
          <w:b/>
          <w:bCs/>
          <w:i/>
          <w:iCs/>
        </w:rPr>
        <w:fldChar w:fldCharType="end"/>
      </w:r>
      <w:r w:rsidR="00922120">
        <w:rPr>
          <w:i/>
        </w:rPr>
        <w:t xml:space="preserve"> </w:t>
      </w:r>
      <w:r w:rsidR="00922120" w:rsidRPr="00142F72">
        <w:rPr>
          <w:i/>
        </w:rPr>
        <w:fldChar w:fldCharType="begin"/>
      </w:r>
      <w:r w:rsidR="00922120" w:rsidRPr="00142F72">
        <w:rPr>
          <w:i/>
        </w:rPr>
        <w:instrText xml:space="preserve"> REF _Ref206170443 \h  \* MERGEFORMAT </w:instrText>
      </w:r>
      <w:r w:rsidR="00922120" w:rsidRPr="00142F72">
        <w:rPr>
          <w:i/>
        </w:rPr>
      </w:r>
      <w:r w:rsidR="00922120" w:rsidRPr="00142F72">
        <w:rPr>
          <w:i/>
        </w:rPr>
        <w:fldChar w:fldCharType="separate"/>
      </w:r>
      <w:r w:rsidR="00905154" w:rsidRPr="00905154">
        <w:rPr>
          <w:rStyle w:val="Strong"/>
          <w:i/>
        </w:rPr>
        <w:t>Reusing eT2 UCI mapping and omission rule will complicate training effort, increase processing complexity and may bring performance loss.</w:t>
      </w:r>
      <w:r w:rsidR="00922120" w:rsidRPr="00142F72">
        <w:rPr>
          <w:i/>
        </w:rPr>
        <w:fldChar w:fldCharType="end"/>
      </w:r>
    </w:p>
    <w:p w14:paraId="2A46A7BE" w14:textId="6EA792FA" w:rsidR="00BA2FC8" w:rsidRPr="00BA2FC8" w:rsidRDefault="00BA2FC8" w:rsidP="00C33209">
      <w:pPr>
        <w:rPr>
          <w:i/>
        </w:rPr>
      </w:pPr>
      <w:r w:rsidRPr="00BA2FC8">
        <w:rPr>
          <w:b/>
          <w:bCs/>
          <w:i/>
        </w:rPr>
        <w:fldChar w:fldCharType="begin"/>
      </w:r>
      <w:r w:rsidRPr="00BA2FC8">
        <w:rPr>
          <w:b/>
          <w:bCs/>
          <w:i/>
        </w:rPr>
        <w:instrText xml:space="preserve"> REF _Ref213431209 \w \h  \* MERGEFORMAT </w:instrText>
      </w:r>
      <w:r w:rsidRPr="00BA2FC8">
        <w:rPr>
          <w:b/>
          <w:bCs/>
          <w:i/>
        </w:rPr>
      </w:r>
      <w:r w:rsidRPr="00BA2FC8">
        <w:rPr>
          <w:b/>
          <w:bCs/>
          <w:i/>
        </w:rPr>
        <w:fldChar w:fldCharType="separate"/>
      </w:r>
      <w:r w:rsidRPr="00BA2FC8">
        <w:rPr>
          <w:b/>
          <w:bCs/>
          <w:i/>
        </w:rPr>
        <w:t>Observation 9:</w:t>
      </w:r>
      <w:r w:rsidRPr="00BA2FC8">
        <w:rPr>
          <w:b/>
          <w:bCs/>
          <w:i/>
        </w:rPr>
        <w:fldChar w:fldCharType="end"/>
      </w:r>
      <w:r w:rsidRPr="00BA2FC8">
        <w:rPr>
          <w:b/>
          <w:bCs/>
          <w:i/>
        </w:rPr>
        <w:t xml:space="preserve"> </w:t>
      </w:r>
      <w:r w:rsidRPr="00BA2FC8">
        <w:rPr>
          <w:i/>
        </w:rPr>
        <w:fldChar w:fldCharType="begin"/>
      </w:r>
      <w:r w:rsidRPr="00BA2FC8">
        <w:rPr>
          <w:i/>
        </w:rPr>
        <w:instrText xml:space="preserve"> REF _Ref213431209 \h  \* MERGEFORMAT </w:instrText>
      </w:r>
      <w:r w:rsidRPr="00BA2FC8">
        <w:rPr>
          <w:i/>
        </w:rPr>
      </w:r>
      <w:r w:rsidRPr="00BA2FC8">
        <w:rPr>
          <w:i/>
        </w:rPr>
        <w:fldChar w:fldCharType="separate"/>
      </w:r>
      <w:r w:rsidRPr="00BA2FC8">
        <w:rPr>
          <w:rStyle w:val="Strong"/>
          <w:i/>
        </w:rPr>
        <w:t>UCI mapping and omission based on truncation will introduces new parameter pairs, thus further increasing the training effort and degrade the performance of other parameter pairs.</w:t>
      </w:r>
      <w:r w:rsidRPr="00BA2FC8">
        <w:rPr>
          <w:i/>
        </w:rPr>
        <w:fldChar w:fldCharType="end"/>
      </w:r>
    </w:p>
    <w:p w14:paraId="7CD257FC" w14:textId="6544DFAC" w:rsidR="00905154" w:rsidRPr="00BA2FC8" w:rsidRDefault="00BA2FC8" w:rsidP="00C33209">
      <w:pPr>
        <w:rPr>
          <w:b/>
          <w:bCs/>
          <w:i/>
        </w:rPr>
      </w:pPr>
      <w:r w:rsidRPr="00BA2FC8">
        <w:rPr>
          <w:b/>
          <w:bCs/>
          <w:i/>
        </w:rPr>
        <w:fldChar w:fldCharType="begin"/>
      </w:r>
      <w:r w:rsidRPr="00BA2FC8">
        <w:rPr>
          <w:b/>
          <w:bCs/>
          <w:i/>
        </w:rPr>
        <w:instrText xml:space="preserve"> REF _Ref213431220 \w \h  \* MERGEFORMAT </w:instrText>
      </w:r>
      <w:r w:rsidRPr="00BA2FC8">
        <w:rPr>
          <w:b/>
          <w:bCs/>
          <w:i/>
        </w:rPr>
      </w:r>
      <w:r w:rsidRPr="00BA2FC8">
        <w:rPr>
          <w:b/>
          <w:bCs/>
          <w:i/>
        </w:rPr>
        <w:fldChar w:fldCharType="separate"/>
      </w:r>
      <w:r w:rsidRPr="00BA2FC8">
        <w:rPr>
          <w:b/>
          <w:bCs/>
          <w:i/>
        </w:rPr>
        <w:t>Observation 10:</w:t>
      </w:r>
      <w:r w:rsidRPr="00BA2FC8">
        <w:rPr>
          <w:b/>
          <w:bCs/>
          <w:i/>
        </w:rPr>
        <w:fldChar w:fldCharType="end"/>
      </w:r>
      <w:r w:rsidRPr="00BA2FC8">
        <w:rPr>
          <w:b/>
          <w:bCs/>
          <w:i/>
        </w:rPr>
        <w:t xml:space="preserve"> </w:t>
      </w:r>
      <w:r w:rsidRPr="00BA2FC8">
        <w:rPr>
          <w:i/>
        </w:rPr>
        <w:fldChar w:fldCharType="begin"/>
      </w:r>
      <w:r w:rsidRPr="00BA2FC8">
        <w:rPr>
          <w:i/>
        </w:rPr>
        <w:instrText xml:space="preserve"> REF _Ref213431220 \h  \* MERGEFORMAT </w:instrText>
      </w:r>
      <w:r w:rsidRPr="00BA2FC8">
        <w:rPr>
          <w:i/>
        </w:rPr>
      </w:r>
      <w:r w:rsidRPr="00BA2FC8">
        <w:rPr>
          <w:i/>
        </w:rPr>
        <w:fldChar w:fldCharType="separate"/>
      </w:r>
      <w:r w:rsidRPr="00BA2FC8">
        <w:rPr>
          <w:rStyle w:val="Strong"/>
          <w:i/>
        </w:rPr>
        <w:t>CQI option 1c based on legacy codebook is out of the scope, and it can be supported by a separate CSI report with the corresponding codebook</w:t>
      </w:r>
      <w:r w:rsidRPr="00BA2FC8">
        <w:rPr>
          <w:i/>
        </w:rPr>
        <w:fldChar w:fldCharType="end"/>
      </w:r>
      <w:r>
        <w:rPr>
          <w:i/>
        </w:rPr>
        <w:t>.</w:t>
      </w:r>
    </w:p>
    <w:p w14:paraId="69854EB6" w14:textId="413AE7EE" w:rsidR="00BA2FC8" w:rsidRPr="00BA2FC8" w:rsidRDefault="00142F72" w:rsidP="00BA2FC8">
      <w:pPr>
        <w:rPr>
          <w:i/>
          <w:iCs/>
        </w:rPr>
      </w:pPr>
      <w:r w:rsidRPr="00142F72">
        <w:rPr>
          <w:b/>
          <w:bCs/>
          <w:i/>
          <w:iCs/>
        </w:rPr>
        <w:fldChar w:fldCharType="begin"/>
      </w:r>
      <w:r w:rsidRPr="00142F72">
        <w:rPr>
          <w:b/>
          <w:bCs/>
          <w:i/>
          <w:iCs/>
        </w:rPr>
        <w:instrText xml:space="preserve"> REF _Ref210414793 \w \h  \* MERGEFORMAT </w:instrText>
      </w:r>
      <w:r w:rsidRPr="00142F72">
        <w:rPr>
          <w:b/>
          <w:bCs/>
          <w:i/>
          <w:iCs/>
        </w:rPr>
      </w:r>
      <w:r w:rsidRPr="00142F72">
        <w:rPr>
          <w:b/>
          <w:bCs/>
          <w:i/>
          <w:iCs/>
        </w:rPr>
        <w:fldChar w:fldCharType="separate"/>
      </w:r>
      <w:r w:rsidR="00905154">
        <w:rPr>
          <w:b/>
          <w:bCs/>
          <w:i/>
          <w:iCs/>
        </w:rPr>
        <w:t>Observation 11:</w:t>
      </w:r>
      <w:r w:rsidRPr="00142F72">
        <w:rPr>
          <w:b/>
          <w:bCs/>
          <w:i/>
          <w:iCs/>
        </w:rPr>
        <w:fldChar w:fldCharType="end"/>
      </w:r>
      <w:r>
        <w:rPr>
          <w:i/>
          <w:iCs/>
        </w:rPr>
        <w:t xml:space="preserve"> </w:t>
      </w:r>
      <w:r w:rsidR="00BA2FC8" w:rsidRPr="00BA2FC8">
        <w:rPr>
          <w:i/>
          <w:iCs/>
        </w:rPr>
        <w:fldChar w:fldCharType="begin"/>
      </w:r>
      <w:r w:rsidR="00BA2FC8" w:rsidRPr="00BA2FC8">
        <w:rPr>
          <w:i/>
          <w:iCs/>
        </w:rPr>
        <w:instrText xml:space="preserve"> REF _Ref213431297 \h  \* MERGEFORMAT </w:instrText>
      </w:r>
      <w:r w:rsidR="00BA2FC8" w:rsidRPr="00BA2FC8">
        <w:rPr>
          <w:i/>
          <w:iCs/>
        </w:rPr>
      </w:r>
      <w:r w:rsidR="00BA2FC8" w:rsidRPr="00BA2FC8">
        <w:rPr>
          <w:i/>
          <w:iCs/>
        </w:rPr>
        <w:fldChar w:fldCharType="separate"/>
      </w:r>
      <w:r w:rsidR="00BA2FC8" w:rsidRPr="00BA2FC8">
        <w:rPr>
          <w:rStyle w:val="Strong"/>
          <w:i/>
          <w:iCs/>
        </w:rPr>
        <w:t>CQI calculations options (1a/1b/2a), including based on target CSI (encoder input), reference decoder, or CQI estimator, need a clear justification from performance gain over CQI option based on precoded CSI-RS, considering that it may have impact to future releases in 6G.</w:t>
      </w:r>
      <w:r w:rsidR="00BA2FC8" w:rsidRPr="00BA2FC8">
        <w:rPr>
          <w:i/>
          <w:iCs/>
        </w:rPr>
        <w:fldChar w:fldCharType="end"/>
      </w:r>
    </w:p>
    <w:p w14:paraId="64633E51" w14:textId="3A770187" w:rsidR="00BA2FC8" w:rsidRPr="00BA2FC8" w:rsidRDefault="00BA2FC8" w:rsidP="00BA2FC8">
      <w:pPr>
        <w:rPr>
          <w:i/>
          <w:iCs/>
        </w:rPr>
      </w:pPr>
      <w:r w:rsidRPr="00BA2FC8">
        <w:rPr>
          <w:b/>
          <w:bCs/>
          <w:i/>
          <w:iCs/>
        </w:rPr>
        <w:fldChar w:fldCharType="begin"/>
      </w:r>
      <w:r w:rsidRPr="00BA2FC8">
        <w:rPr>
          <w:b/>
          <w:bCs/>
          <w:i/>
          <w:iCs/>
        </w:rPr>
        <w:instrText xml:space="preserve"> REF _Ref213431304 \w \h  \* MERGEFORMAT </w:instrText>
      </w:r>
      <w:r w:rsidRPr="00BA2FC8">
        <w:rPr>
          <w:b/>
          <w:bCs/>
          <w:i/>
          <w:iCs/>
        </w:rPr>
      </w:r>
      <w:r w:rsidRPr="00BA2FC8">
        <w:rPr>
          <w:b/>
          <w:bCs/>
          <w:i/>
          <w:iCs/>
        </w:rPr>
        <w:fldChar w:fldCharType="separate"/>
      </w:r>
      <w:r w:rsidRPr="00BA2FC8">
        <w:rPr>
          <w:b/>
          <w:bCs/>
          <w:i/>
          <w:iCs/>
        </w:rPr>
        <w:t>Observation 12:</w:t>
      </w:r>
      <w:r w:rsidRPr="00BA2FC8">
        <w:rPr>
          <w:b/>
          <w:bCs/>
          <w:i/>
          <w:iCs/>
        </w:rPr>
        <w:fldChar w:fldCharType="end"/>
      </w:r>
      <w:r w:rsidRPr="00BA2FC8">
        <w:rPr>
          <w:i/>
          <w:iCs/>
        </w:rPr>
        <w:t xml:space="preserve"> </w:t>
      </w:r>
      <w:r w:rsidRPr="00BA2FC8">
        <w:rPr>
          <w:i/>
          <w:iCs/>
        </w:rPr>
        <w:fldChar w:fldCharType="begin"/>
      </w:r>
      <w:r w:rsidRPr="00BA2FC8">
        <w:rPr>
          <w:i/>
          <w:iCs/>
        </w:rPr>
        <w:instrText xml:space="preserve"> REF _Ref213431304 \h  \* MERGEFORMAT </w:instrText>
      </w:r>
      <w:r w:rsidRPr="00BA2FC8">
        <w:rPr>
          <w:i/>
          <w:iCs/>
        </w:rPr>
      </w:r>
      <w:r w:rsidRPr="00BA2FC8">
        <w:rPr>
          <w:i/>
          <w:iCs/>
        </w:rPr>
        <w:fldChar w:fldCharType="separate"/>
      </w:r>
      <w:r w:rsidRPr="00BA2FC8">
        <w:rPr>
          <w:rStyle w:val="Strong"/>
          <w:i/>
          <w:iCs/>
        </w:rPr>
        <w:t>CQI calculation options (1a/1b/2a), including based on target CSI (encoder input), reference decoder, or CQI estimator are related to implementation aspects, and may be infeasible to be standardized.</w:t>
      </w:r>
      <w:r w:rsidRPr="00BA2FC8">
        <w:rPr>
          <w:i/>
          <w:iCs/>
        </w:rPr>
        <w:fldChar w:fldCharType="end"/>
      </w:r>
    </w:p>
    <w:p w14:paraId="6B3A9389" w14:textId="5F74D280" w:rsidR="00BA2FC8" w:rsidRPr="00BA2FC8" w:rsidRDefault="00BA2FC8" w:rsidP="00BA2FC8">
      <w:pPr>
        <w:rPr>
          <w:i/>
          <w:iCs/>
        </w:rPr>
      </w:pPr>
      <w:r w:rsidRPr="00BA2FC8">
        <w:rPr>
          <w:b/>
          <w:bCs/>
          <w:i/>
          <w:iCs/>
        </w:rPr>
        <w:fldChar w:fldCharType="begin"/>
      </w:r>
      <w:r w:rsidRPr="00BA2FC8">
        <w:rPr>
          <w:b/>
          <w:bCs/>
          <w:i/>
          <w:iCs/>
        </w:rPr>
        <w:instrText xml:space="preserve"> REF _Ref210414798 \w \h  \* MERGEFORMAT </w:instrText>
      </w:r>
      <w:r w:rsidRPr="00BA2FC8">
        <w:rPr>
          <w:b/>
          <w:bCs/>
          <w:i/>
          <w:iCs/>
        </w:rPr>
      </w:r>
      <w:r w:rsidRPr="00BA2FC8">
        <w:rPr>
          <w:b/>
          <w:bCs/>
          <w:i/>
          <w:iCs/>
        </w:rPr>
        <w:fldChar w:fldCharType="separate"/>
      </w:r>
      <w:r w:rsidRPr="00BA2FC8">
        <w:rPr>
          <w:b/>
          <w:bCs/>
          <w:i/>
          <w:iCs/>
        </w:rPr>
        <w:t>Observation 13:</w:t>
      </w:r>
      <w:r w:rsidRPr="00BA2FC8">
        <w:rPr>
          <w:b/>
          <w:bCs/>
          <w:i/>
          <w:iCs/>
        </w:rPr>
        <w:fldChar w:fldCharType="end"/>
      </w:r>
      <w:r w:rsidRPr="00BA2FC8">
        <w:rPr>
          <w:b/>
          <w:bCs/>
          <w:i/>
          <w:iCs/>
        </w:rPr>
        <w:t xml:space="preserve"> </w:t>
      </w:r>
      <w:r w:rsidRPr="00BA2FC8">
        <w:rPr>
          <w:i/>
          <w:iCs/>
        </w:rPr>
        <w:fldChar w:fldCharType="begin"/>
      </w:r>
      <w:r w:rsidRPr="00BA2FC8">
        <w:rPr>
          <w:i/>
          <w:iCs/>
        </w:rPr>
        <w:instrText xml:space="preserve"> REF _Ref210414798 \h  \* MERGEFORMAT </w:instrText>
      </w:r>
      <w:r w:rsidRPr="00BA2FC8">
        <w:rPr>
          <w:i/>
          <w:iCs/>
        </w:rPr>
      </w:r>
      <w:r w:rsidRPr="00BA2FC8">
        <w:rPr>
          <w:i/>
          <w:iCs/>
        </w:rPr>
        <w:fldChar w:fldCharType="separate"/>
      </w:r>
      <w:r w:rsidRPr="00BA2FC8">
        <w:rPr>
          <w:rStyle w:val="Strong"/>
          <w:i/>
          <w:iCs/>
        </w:rPr>
        <w:t>CQI calculations options (1a/1b/2a), including based on target CSI (encoder input), reference decoder, or CQI estimator, provide a CQI estimation, not the exact CQI definition as legacy.</w:t>
      </w:r>
      <w:r w:rsidRPr="00BA2FC8">
        <w:rPr>
          <w:i/>
          <w:iCs/>
        </w:rPr>
        <w:fldChar w:fldCharType="end"/>
      </w:r>
    </w:p>
    <w:p w14:paraId="4FF70718" w14:textId="2FCA5883" w:rsidR="00142F72" w:rsidRPr="00142F72" w:rsidRDefault="00BA2FC8" w:rsidP="00BA2FC8">
      <w:pPr>
        <w:rPr>
          <w:i/>
          <w:iCs/>
        </w:rPr>
      </w:pPr>
      <w:r w:rsidRPr="00BA2FC8">
        <w:rPr>
          <w:i/>
          <w:iCs/>
        </w:rPr>
        <w:lastRenderedPageBreak/>
        <w:fldChar w:fldCharType="begin"/>
      </w:r>
      <w:r w:rsidRPr="00BA2FC8">
        <w:rPr>
          <w:i/>
          <w:iCs/>
        </w:rPr>
        <w:instrText xml:space="preserve"> REF _Ref213431321 \w \h  \* MERGEFORMAT </w:instrText>
      </w:r>
      <w:r w:rsidRPr="00BA2FC8">
        <w:rPr>
          <w:i/>
          <w:iCs/>
        </w:rPr>
      </w:r>
      <w:r w:rsidRPr="00BA2FC8">
        <w:rPr>
          <w:i/>
          <w:iCs/>
        </w:rPr>
        <w:fldChar w:fldCharType="separate"/>
      </w:r>
      <w:r w:rsidRPr="00BA2FC8">
        <w:rPr>
          <w:b/>
          <w:bCs/>
          <w:i/>
          <w:iCs/>
        </w:rPr>
        <w:t>Observation 14</w:t>
      </w:r>
      <w:r w:rsidRPr="00BA2FC8">
        <w:rPr>
          <w:i/>
          <w:iCs/>
        </w:rPr>
        <w:t>:</w:t>
      </w:r>
      <w:r w:rsidRPr="00BA2FC8">
        <w:rPr>
          <w:i/>
          <w:iCs/>
        </w:rPr>
        <w:fldChar w:fldCharType="end"/>
      </w:r>
      <w:r>
        <w:rPr>
          <w:i/>
          <w:iCs/>
        </w:rPr>
        <w:t xml:space="preserve"> </w:t>
      </w:r>
      <w:r w:rsidRPr="00BA2FC8">
        <w:rPr>
          <w:i/>
          <w:iCs/>
        </w:rPr>
        <w:fldChar w:fldCharType="begin"/>
      </w:r>
      <w:r w:rsidRPr="00BA2FC8">
        <w:rPr>
          <w:i/>
          <w:iCs/>
        </w:rPr>
        <w:instrText xml:space="preserve"> REF _Ref213431321 \h  \* MERGEFORMAT </w:instrText>
      </w:r>
      <w:r w:rsidRPr="00BA2FC8">
        <w:rPr>
          <w:i/>
          <w:iCs/>
        </w:rPr>
      </w:r>
      <w:r w:rsidRPr="00BA2FC8">
        <w:rPr>
          <w:i/>
          <w:iCs/>
        </w:rPr>
        <w:fldChar w:fldCharType="separate"/>
      </w:r>
      <w:r w:rsidRPr="00BA2FC8">
        <w:rPr>
          <w:rStyle w:val="Strong"/>
          <w:i/>
          <w:iCs/>
        </w:rPr>
        <w:t>Channel feedback has the issue of disclosing Rx port information and has phase coherency issue if SRS fusion is employed. The frequency granularity and channel gain information may also impact the performance. To address these concerns, covariance matrix may be a good candidate for study.</w:t>
      </w:r>
      <w:r w:rsidRPr="00BA2FC8">
        <w:rPr>
          <w:i/>
          <w:iCs/>
        </w:rPr>
        <w:fldChar w:fldCharType="end"/>
      </w:r>
    </w:p>
    <w:p w14:paraId="53915B4F" w14:textId="5DD19139" w:rsidR="00C1705D" w:rsidRDefault="00C1705D" w:rsidP="00C33209">
      <w:r>
        <w:t>We propose</w:t>
      </w:r>
    </w:p>
    <w:p w14:paraId="22FFD935" w14:textId="43A50A11" w:rsidR="00263F40" w:rsidRPr="00F72474" w:rsidRDefault="00263F40" w:rsidP="00C33209">
      <w:pPr>
        <w:rPr>
          <w:b/>
          <w:bCs/>
          <w:i/>
          <w:iCs/>
        </w:rPr>
      </w:pPr>
      <w:r w:rsidRPr="00F72474">
        <w:rPr>
          <w:b/>
          <w:bCs/>
          <w:i/>
          <w:iCs/>
        </w:rPr>
        <w:fldChar w:fldCharType="begin"/>
      </w:r>
      <w:r w:rsidRPr="00F72474">
        <w:rPr>
          <w:b/>
          <w:bCs/>
          <w:i/>
          <w:iCs/>
        </w:rPr>
        <w:instrText xml:space="preserve"> REF _Ref210387411 \w \h </w:instrText>
      </w:r>
      <w:r w:rsidR="00F72474" w:rsidRPr="00F72474">
        <w:rPr>
          <w:b/>
          <w:bCs/>
          <w:i/>
          <w:iCs/>
        </w:rPr>
        <w:instrText xml:space="preserve"> \* MERGEFORMAT </w:instrText>
      </w:r>
      <w:r w:rsidRPr="00F72474">
        <w:rPr>
          <w:b/>
          <w:bCs/>
          <w:i/>
          <w:iCs/>
        </w:rPr>
      </w:r>
      <w:r w:rsidRPr="00F72474">
        <w:rPr>
          <w:b/>
          <w:bCs/>
          <w:i/>
          <w:iCs/>
        </w:rPr>
        <w:fldChar w:fldCharType="separate"/>
      </w:r>
      <w:r w:rsidR="008C47BB">
        <w:rPr>
          <w:b/>
          <w:bCs/>
          <w:i/>
          <w:iCs/>
        </w:rPr>
        <w:t>Proposal 1:</w:t>
      </w:r>
      <w:r w:rsidRPr="00F72474">
        <w:rPr>
          <w:b/>
          <w:bCs/>
          <w:i/>
          <w:iCs/>
        </w:rPr>
        <w:fldChar w:fldCharType="end"/>
      </w:r>
      <w:r w:rsidRPr="00F72474">
        <w:rPr>
          <w:b/>
          <w:bCs/>
          <w:i/>
          <w:iCs/>
        </w:rPr>
        <w:t xml:space="preserve"> </w:t>
      </w:r>
      <w:r w:rsidRPr="00F72474">
        <w:rPr>
          <w:b/>
          <w:bCs/>
          <w:i/>
          <w:iCs/>
        </w:rPr>
        <w:fldChar w:fldCharType="begin"/>
      </w:r>
      <w:r w:rsidRPr="00F72474">
        <w:rPr>
          <w:b/>
          <w:bCs/>
          <w:i/>
          <w:iCs/>
        </w:rPr>
        <w:instrText xml:space="preserve"> REF _Ref210387411 \h </w:instrText>
      </w:r>
      <w:r w:rsidR="00F72474" w:rsidRPr="00F72474">
        <w:rPr>
          <w:b/>
          <w:bCs/>
          <w:i/>
          <w:iCs/>
        </w:rPr>
        <w:instrText xml:space="preserve"> \* MERGEFORMAT </w:instrText>
      </w:r>
      <w:r w:rsidRPr="00F72474">
        <w:rPr>
          <w:b/>
          <w:bCs/>
          <w:i/>
          <w:iCs/>
        </w:rPr>
      </w:r>
      <w:r w:rsidRPr="00F72474">
        <w:rPr>
          <w:b/>
          <w:bCs/>
          <w:i/>
          <w:iCs/>
        </w:rPr>
        <w:fldChar w:fldCharType="separate"/>
      </w:r>
      <w:r w:rsidR="008C47BB" w:rsidRPr="008C47BB">
        <w:rPr>
          <w:b/>
          <w:bCs/>
          <w:i/>
          <w:iCs/>
        </w:rPr>
        <w:t>Support both VQ and SQ with exchanged codebook and SQ with</w:t>
      </w:r>
      <w:r w:rsidR="008C47BB">
        <w:t xml:space="preserve"> </w:t>
      </w:r>
      <w:r w:rsidR="008C47BB" w:rsidRPr="008C47BB">
        <w:rPr>
          <w:b/>
          <w:bCs/>
          <w:i/>
          <w:iCs/>
        </w:rPr>
        <w:t>standardized codebook</w:t>
      </w:r>
      <w:r w:rsidRPr="00F72474">
        <w:rPr>
          <w:b/>
          <w:bCs/>
          <w:i/>
          <w:iCs/>
        </w:rPr>
        <w:fldChar w:fldCharType="end"/>
      </w:r>
    </w:p>
    <w:p w14:paraId="7D827983" w14:textId="77777777" w:rsidR="008C47BB" w:rsidRDefault="008C47BB" w:rsidP="00304C8B">
      <w:pPr>
        <w:pStyle w:val="Proposal"/>
        <w:numPr>
          <w:ilvl w:val="0"/>
          <w:numId w:val="14"/>
        </w:numPr>
      </w:pPr>
      <w:r>
        <w:t>For a certain pairing ID, only SQ or VQ is supported, but not both</w:t>
      </w:r>
    </w:p>
    <w:p w14:paraId="117C8C01" w14:textId="77777777" w:rsidR="008C47BB" w:rsidRDefault="008C47BB" w:rsidP="00304C8B">
      <w:pPr>
        <w:pStyle w:val="Proposal"/>
        <w:numPr>
          <w:ilvl w:val="0"/>
          <w:numId w:val="14"/>
        </w:numPr>
      </w:pPr>
      <w:r>
        <w:t>For a certain pairing ID, NW exchanges the codebook of either SQ or VQ; if NW does not exchange any codebook,</w:t>
      </w:r>
      <w:r w:rsidRPr="00B67B63">
        <w:t xml:space="preserve"> </w:t>
      </w:r>
      <w:r>
        <w:t xml:space="preserve">the standardized SQ codebook is used </w:t>
      </w:r>
    </w:p>
    <w:p w14:paraId="0F636659" w14:textId="22BF226E" w:rsidR="00263F40" w:rsidRPr="00F72474" w:rsidRDefault="00263F40" w:rsidP="00C33209">
      <w:pPr>
        <w:rPr>
          <w:b/>
          <w:bCs/>
          <w:i/>
          <w:iCs/>
        </w:rPr>
      </w:pPr>
      <w:r w:rsidRPr="00F72474">
        <w:rPr>
          <w:b/>
          <w:bCs/>
          <w:i/>
          <w:iCs/>
        </w:rPr>
        <w:fldChar w:fldCharType="begin"/>
      </w:r>
      <w:r w:rsidRPr="00F72474">
        <w:rPr>
          <w:b/>
          <w:bCs/>
          <w:i/>
          <w:iCs/>
        </w:rPr>
        <w:instrText xml:space="preserve"> REF _Ref210387417 \w \h </w:instrText>
      </w:r>
      <w:r w:rsidR="00F72474" w:rsidRPr="00F72474">
        <w:rPr>
          <w:b/>
          <w:bCs/>
          <w:i/>
          <w:iCs/>
        </w:rPr>
        <w:instrText xml:space="preserve"> \* MERGEFORMAT </w:instrText>
      </w:r>
      <w:r w:rsidRPr="00F72474">
        <w:rPr>
          <w:b/>
          <w:bCs/>
          <w:i/>
          <w:iCs/>
        </w:rPr>
      </w:r>
      <w:r w:rsidRPr="00F72474">
        <w:rPr>
          <w:b/>
          <w:bCs/>
          <w:i/>
          <w:iCs/>
        </w:rPr>
        <w:fldChar w:fldCharType="separate"/>
      </w:r>
      <w:r w:rsidR="008C47BB">
        <w:rPr>
          <w:b/>
          <w:bCs/>
          <w:i/>
          <w:iCs/>
        </w:rPr>
        <w:t>Proposal 2:</w:t>
      </w:r>
      <w:r w:rsidRPr="00F72474">
        <w:rPr>
          <w:b/>
          <w:bCs/>
          <w:i/>
          <w:iCs/>
        </w:rPr>
        <w:fldChar w:fldCharType="end"/>
      </w:r>
      <w:r w:rsidRPr="00F72474">
        <w:rPr>
          <w:b/>
          <w:bCs/>
          <w:i/>
          <w:iCs/>
        </w:rPr>
        <w:t xml:space="preserve"> </w:t>
      </w:r>
      <w:r w:rsidRPr="00F72474">
        <w:rPr>
          <w:b/>
          <w:bCs/>
          <w:i/>
          <w:iCs/>
        </w:rPr>
        <w:fldChar w:fldCharType="begin"/>
      </w:r>
      <w:r w:rsidRPr="00F72474">
        <w:rPr>
          <w:b/>
          <w:bCs/>
          <w:i/>
          <w:iCs/>
        </w:rPr>
        <w:instrText xml:space="preserve"> REF _Ref210387417 \h </w:instrText>
      </w:r>
      <w:r w:rsidR="00F72474" w:rsidRPr="00F72474">
        <w:rPr>
          <w:b/>
          <w:bCs/>
          <w:i/>
          <w:iCs/>
        </w:rPr>
        <w:instrText xml:space="preserve"> \* MERGEFORMAT </w:instrText>
      </w:r>
      <w:r w:rsidRPr="00F72474">
        <w:rPr>
          <w:b/>
          <w:bCs/>
          <w:i/>
          <w:iCs/>
        </w:rPr>
      </w:r>
      <w:r w:rsidRPr="00F72474">
        <w:rPr>
          <w:b/>
          <w:bCs/>
          <w:i/>
          <w:iCs/>
        </w:rPr>
        <w:fldChar w:fldCharType="separate"/>
      </w:r>
      <w:r w:rsidR="008C47BB" w:rsidRPr="008C47BB">
        <w:rPr>
          <w:b/>
          <w:bCs/>
          <w:i/>
          <w:iCs/>
        </w:rPr>
        <w:t>For the payload configurations for VQ and SQ</w:t>
      </w:r>
      <w:r w:rsidRPr="00F72474">
        <w:rPr>
          <w:b/>
          <w:bCs/>
          <w:i/>
          <w:iCs/>
        </w:rPr>
        <w:fldChar w:fldCharType="end"/>
      </w:r>
    </w:p>
    <w:p w14:paraId="0727C9F0" w14:textId="77777777" w:rsidR="008C47BB" w:rsidRDefault="008C47BB" w:rsidP="00304C8B">
      <w:pPr>
        <w:pStyle w:val="Proposal"/>
        <w:numPr>
          <w:ilvl w:val="0"/>
          <w:numId w:val="11"/>
        </w:numPr>
      </w:pPr>
      <w:r>
        <w:t xml:space="preserve">For VQ, support fixed segment size </w:t>
      </w:r>
      <m:oMath>
        <m:r>
          <m:rPr>
            <m:sty m:val="bi"/>
          </m:rPr>
          <w:rPr>
            <w:rFonts w:ascii="Cambria Math" w:hAnsi="Cambria Math"/>
          </w:rPr>
          <m:t>L=2</m:t>
        </m:r>
      </m:oMath>
      <w:r>
        <w:t xml:space="preserve"> and codebook size with </w:t>
      </w:r>
      <m:oMath>
        <m:r>
          <m:rPr>
            <m:sty m:val="bi"/>
          </m:rPr>
          <w:rPr>
            <w:rFonts w:ascii="Cambria Math" w:hAnsi="Cambria Math"/>
          </w:rPr>
          <m:t>Q=4</m:t>
        </m:r>
      </m:oMath>
      <w:r>
        <w:t xml:space="preserve"> bits per segment. </w:t>
      </w:r>
    </w:p>
    <w:p w14:paraId="1C7AB3F0" w14:textId="77777777" w:rsidR="008C47BB" w:rsidRDefault="008C47BB" w:rsidP="00304C8B">
      <w:pPr>
        <w:pStyle w:val="Proposal"/>
        <w:numPr>
          <w:ilvl w:val="0"/>
          <w:numId w:val="11"/>
        </w:numPr>
      </w:pPr>
      <w:r>
        <w:t xml:space="preserve">For SQ, support </w:t>
      </w:r>
      <m:oMath>
        <m:r>
          <m:rPr>
            <m:sty m:val="bi"/>
          </m:rPr>
          <w:rPr>
            <w:rFonts w:ascii="Cambria Math" w:hAnsi="Cambria Math"/>
          </w:rPr>
          <m:t>Q=2</m:t>
        </m:r>
      </m:oMath>
      <w:r>
        <w:t xml:space="preserve"> per scalar.</w:t>
      </w:r>
    </w:p>
    <w:p w14:paraId="2A55B70F" w14:textId="77777777" w:rsidR="008C47BB" w:rsidRDefault="008C47BB" w:rsidP="00304C8B">
      <w:pPr>
        <w:pStyle w:val="Proposal"/>
        <w:numPr>
          <w:ilvl w:val="0"/>
          <w:numId w:val="11"/>
        </w:numPr>
      </w:pPr>
      <w:r>
        <w:t>Support common codebooks for all segments / scalars and for all payload options.</w:t>
      </w:r>
    </w:p>
    <w:p w14:paraId="23BC714B" w14:textId="461DA3D6" w:rsidR="00C476DE" w:rsidRPr="00C476DE" w:rsidRDefault="008C47BB" w:rsidP="00C33209">
      <w:pPr>
        <w:rPr>
          <w:b/>
          <w:bCs/>
          <w:i/>
          <w:iCs/>
        </w:rPr>
      </w:pPr>
      <w:r>
        <w:rPr>
          <w:b/>
          <w:bCs/>
          <w:i/>
          <w:iCs/>
        </w:rPr>
        <w:fldChar w:fldCharType="begin"/>
      </w:r>
      <w:r>
        <w:rPr>
          <w:b/>
          <w:bCs/>
          <w:i/>
          <w:iCs/>
        </w:rPr>
        <w:instrText xml:space="preserve"> REF _Ref213431484 \w \h </w:instrText>
      </w:r>
      <w:r>
        <w:rPr>
          <w:b/>
          <w:bCs/>
          <w:i/>
          <w:iCs/>
        </w:rPr>
      </w:r>
      <w:r>
        <w:rPr>
          <w:b/>
          <w:bCs/>
          <w:i/>
          <w:iCs/>
        </w:rPr>
        <w:fldChar w:fldCharType="separate"/>
      </w:r>
      <w:r>
        <w:rPr>
          <w:b/>
          <w:bCs/>
          <w:i/>
          <w:iCs/>
        </w:rPr>
        <w:t>Proposal 3:</w:t>
      </w:r>
      <w:r>
        <w:rPr>
          <w:b/>
          <w:bCs/>
          <w:i/>
          <w:iCs/>
        </w:rPr>
        <w:fldChar w:fldCharType="end"/>
      </w:r>
      <w:r w:rsidR="00C476DE">
        <w:rPr>
          <w:b/>
          <w:bCs/>
          <w:i/>
          <w:iCs/>
        </w:rPr>
        <w:t xml:space="preserve"> </w:t>
      </w:r>
      <w:r w:rsidRPr="00C476DE">
        <w:rPr>
          <w:b/>
          <w:bCs/>
          <w:i/>
          <w:iCs/>
        </w:rPr>
        <w:fldChar w:fldCharType="begin"/>
      </w:r>
      <w:r w:rsidRPr="00C476DE">
        <w:rPr>
          <w:b/>
          <w:bCs/>
          <w:i/>
          <w:iCs/>
        </w:rPr>
        <w:instrText xml:space="preserve"> REF _Ref213431484 \h </w:instrText>
      </w:r>
      <w:r w:rsidR="00C476DE" w:rsidRPr="00C476DE">
        <w:rPr>
          <w:b/>
          <w:bCs/>
          <w:i/>
          <w:iCs/>
        </w:rPr>
        <w:instrText xml:space="preserve"> \* MERGEFORMAT </w:instrText>
      </w:r>
      <w:r w:rsidRPr="00C476DE">
        <w:rPr>
          <w:b/>
          <w:bCs/>
          <w:i/>
          <w:iCs/>
        </w:rPr>
      </w:r>
      <w:r w:rsidRPr="00C476DE">
        <w:rPr>
          <w:b/>
          <w:bCs/>
          <w:i/>
          <w:iCs/>
        </w:rPr>
        <w:fldChar w:fldCharType="separate"/>
      </w:r>
      <w:r w:rsidRPr="00C476DE">
        <w:rPr>
          <w:b/>
          <w:bCs/>
          <w:i/>
          <w:iCs/>
        </w:rPr>
        <w:t xml:space="preserve">Support N=4 or 5 per-layer pairs / triplets </w:t>
      </w:r>
      <m:oMath>
        <m:r>
          <m:rPr>
            <m:sty m:val="p"/>
          </m:rPr>
          <w:rPr>
            <w:rFonts w:ascii="Cambria Math" w:hAnsi="Cambria Math"/>
          </w:rPr>
          <m:t>d={32,64,96,128,192}</m:t>
        </m:r>
      </m:oMath>
      <w:r w:rsidRPr="00C476DE">
        <w:rPr>
          <w:b/>
          <w:bCs/>
          <w:i/>
          <w:iCs/>
        </w:rPr>
        <w:t xml:space="preserve"> as candidates for determining the parameter combinations across layers and ranks.</w:t>
      </w:r>
      <w:r w:rsidRPr="00C476DE">
        <w:rPr>
          <w:b/>
          <w:bCs/>
          <w:i/>
          <w:iCs/>
        </w:rPr>
        <w:fldChar w:fldCharType="end"/>
      </w:r>
    </w:p>
    <w:p w14:paraId="28542858" w14:textId="7A233430" w:rsidR="00C476DE" w:rsidRDefault="008C47BB" w:rsidP="00C33209">
      <w:pPr>
        <w:rPr>
          <w:b/>
          <w:bCs/>
          <w:i/>
          <w:iCs/>
        </w:rPr>
      </w:pPr>
      <w:r>
        <w:rPr>
          <w:b/>
          <w:bCs/>
          <w:i/>
          <w:iCs/>
        </w:rPr>
        <w:fldChar w:fldCharType="begin"/>
      </w:r>
      <w:r>
        <w:rPr>
          <w:b/>
          <w:bCs/>
          <w:i/>
          <w:iCs/>
        </w:rPr>
        <w:instrText xml:space="preserve"> REF _Ref213424929 \w \h </w:instrText>
      </w:r>
      <w:r>
        <w:rPr>
          <w:b/>
          <w:bCs/>
          <w:i/>
          <w:iCs/>
        </w:rPr>
      </w:r>
      <w:r>
        <w:rPr>
          <w:b/>
          <w:bCs/>
          <w:i/>
          <w:iCs/>
        </w:rPr>
        <w:fldChar w:fldCharType="separate"/>
      </w:r>
      <w:r>
        <w:rPr>
          <w:b/>
          <w:bCs/>
          <w:i/>
          <w:iCs/>
        </w:rPr>
        <w:t>Proposal 4:</w:t>
      </w:r>
      <w:r>
        <w:rPr>
          <w:b/>
          <w:bCs/>
          <w:i/>
          <w:iCs/>
        </w:rPr>
        <w:fldChar w:fldCharType="end"/>
      </w:r>
      <w:r w:rsidR="00C476DE">
        <w:rPr>
          <w:b/>
          <w:bCs/>
          <w:i/>
          <w:iCs/>
        </w:rPr>
        <w:t xml:space="preserve"> </w:t>
      </w:r>
      <w:r w:rsidRPr="00C476DE">
        <w:rPr>
          <w:b/>
          <w:bCs/>
          <w:i/>
          <w:iCs/>
        </w:rPr>
        <w:fldChar w:fldCharType="begin"/>
      </w:r>
      <w:r w:rsidRPr="00C476DE">
        <w:rPr>
          <w:b/>
          <w:bCs/>
          <w:i/>
          <w:iCs/>
        </w:rPr>
        <w:instrText xml:space="preserve"> REF _Ref213424929 \h </w:instrText>
      </w:r>
      <w:r w:rsidR="00C476DE" w:rsidRPr="00C476DE">
        <w:rPr>
          <w:b/>
          <w:bCs/>
          <w:i/>
          <w:iCs/>
        </w:rPr>
        <w:instrText xml:space="preserve"> \* MERGEFORMAT </w:instrText>
      </w:r>
      <w:r w:rsidRPr="00C476DE">
        <w:rPr>
          <w:b/>
          <w:bCs/>
          <w:i/>
          <w:iCs/>
        </w:rPr>
      </w:r>
      <w:r w:rsidRPr="00C476DE">
        <w:rPr>
          <w:b/>
          <w:bCs/>
          <w:i/>
          <w:iCs/>
        </w:rPr>
        <w:fldChar w:fldCharType="separate"/>
      </w:r>
      <w:r w:rsidRPr="00C476DE">
        <w:rPr>
          <w:b/>
          <w:bCs/>
          <w:i/>
          <w:iCs/>
        </w:rPr>
        <w:t>Consider following principles for allocating payload across layers:</w:t>
      </w:r>
      <w:r w:rsidRPr="00C476DE">
        <w:rPr>
          <w:b/>
          <w:bCs/>
          <w:i/>
          <w:iCs/>
        </w:rPr>
        <w:fldChar w:fldCharType="end"/>
      </w:r>
    </w:p>
    <w:p w14:paraId="5B70B476" w14:textId="77777777" w:rsidR="00C476DE" w:rsidRDefault="00C476DE" w:rsidP="00304C8B">
      <w:pPr>
        <w:pStyle w:val="Proposal"/>
        <w:numPr>
          <w:ilvl w:val="0"/>
          <w:numId w:val="19"/>
        </w:numPr>
      </w:pPr>
      <w:r>
        <w:t>Even allocation across layers if feasible; otherwise, more bits can be allocated to higher layers.</w:t>
      </w:r>
    </w:p>
    <w:p w14:paraId="0DC7FE78" w14:textId="77777777" w:rsidR="00C476DE" w:rsidRDefault="00C476DE" w:rsidP="00304C8B">
      <w:pPr>
        <w:pStyle w:val="Proposal"/>
        <w:numPr>
          <w:ilvl w:val="0"/>
          <w:numId w:val="19"/>
        </w:numPr>
      </w:pPr>
      <w:r>
        <w:t>For a PC, total number of parameter pairs for a certain layer across all ranks is no more than 2.</w:t>
      </w:r>
    </w:p>
    <w:p w14:paraId="4C79EEC6" w14:textId="77777777" w:rsidR="00C476DE" w:rsidRDefault="00C476DE" w:rsidP="00304C8B">
      <w:pPr>
        <w:pStyle w:val="Proposal"/>
        <w:numPr>
          <w:ilvl w:val="0"/>
          <w:numId w:val="19"/>
        </w:numPr>
      </w:pPr>
      <w:r>
        <w:t>The per-layer parameter pair is chosen from the identified options, i.e., {32, 2}, {64, 2}, {96, 2}, {128, 2} and {192, 2}.</w:t>
      </w:r>
    </w:p>
    <w:p w14:paraId="79F5EABA" w14:textId="45D55955" w:rsidR="008C47BB" w:rsidRDefault="00C476DE" w:rsidP="00C33209">
      <w:pPr>
        <w:rPr>
          <w:b/>
          <w:bCs/>
          <w:i/>
          <w:iCs/>
        </w:rPr>
      </w:pPr>
      <w:r>
        <w:rPr>
          <w:b/>
          <w:bCs/>
          <w:i/>
          <w:iCs/>
        </w:rPr>
        <w:fldChar w:fldCharType="begin"/>
      </w:r>
      <w:r>
        <w:rPr>
          <w:b/>
          <w:bCs/>
          <w:i/>
          <w:iCs/>
        </w:rPr>
        <w:instrText xml:space="preserve"> REF _Ref213431512 \w \h </w:instrText>
      </w:r>
      <w:r>
        <w:rPr>
          <w:b/>
          <w:bCs/>
          <w:i/>
          <w:iCs/>
        </w:rPr>
      </w:r>
      <w:r>
        <w:rPr>
          <w:b/>
          <w:bCs/>
          <w:i/>
          <w:iCs/>
        </w:rPr>
        <w:fldChar w:fldCharType="separate"/>
      </w:r>
      <w:r>
        <w:rPr>
          <w:b/>
          <w:bCs/>
          <w:i/>
          <w:iCs/>
        </w:rPr>
        <w:t>Proposal 5:</w:t>
      </w:r>
      <w:r>
        <w:rPr>
          <w:b/>
          <w:bCs/>
          <w:i/>
          <w:iCs/>
        </w:rPr>
        <w:fldChar w:fldCharType="end"/>
      </w:r>
      <w:r>
        <w:rPr>
          <w:b/>
          <w:bCs/>
          <w:i/>
          <w:iCs/>
        </w:rPr>
        <w:t xml:space="preserve"> </w:t>
      </w:r>
      <w:r w:rsidRPr="00C476DE">
        <w:rPr>
          <w:b/>
          <w:bCs/>
          <w:i/>
          <w:iCs/>
        </w:rPr>
        <w:fldChar w:fldCharType="begin"/>
      </w:r>
      <w:r w:rsidRPr="00C476DE">
        <w:rPr>
          <w:b/>
          <w:bCs/>
          <w:i/>
          <w:iCs/>
        </w:rPr>
        <w:instrText xml:space="preserve"> REF _Ref213431512 \h  \* MERGEFORMAT </w:instrText>
      </w:r>
      <w:r w:rsidRPr="00C476DE">
        <w:rPr>
          <w:b/>
          <w:bCs/>
          <w:i/>
          <w:iCs/>
        </w:rPr>
      </w:r>
      <w:r w:rsidRPr="00C476DE">
        <w:rPr>
          <w:b/>
          <w:bCs/>
          <w:i/>
          <w:iCs/>
        </w:rPr>
        <w:fldChar w:fldCharType="separate"/>
      </w:r>
      <w:r w:rsidRPr="00C476DE">
        <w:rPr>
          <w:b/>
          <w:bCs/>
          <w:i/>
          <w:iCs/>
        </w:rPr>
        <w:t xml:space="preserve">Support Y=4 parameter combinations as in Table </w:t>
      </w:r>
      <w:r w:rsidRPr="00C476DE">
        <w:rPr>
          <w:b/>
          <w:bCs/>
          <w:i/>
          <w:iCs/>
          <w:noProof/>
        </w:rPr>
        <w:t>2</w:t>
      </w:r>
      <w:r w:rsidRPr="00C476DE">
        <w:rPr>
          <w:b/>
          <w:bCs/>
          <w:i/>
          <w:iCs/>
        </w:rPr>
        <w:noBreakHyphen/>
      </w:r>
      <w:r w:rsidRPr="00C476DE">
        <w:rPr>
          <w:b/>
          <w:bCs/>
          <w:i/>
          <w:iCs/>
          <w:noProof/>
        </w:rPr>
        <w:t>5</w:t>
      </w:r>
      <w:r w:rsidRPr="00C476DE">
        <w:rPr>
          <w:b/>
          <w:bCs/>
          <w:i/>
          <w:iCs/>
        </w:rPr>
        <w:t>.</w:t>
      </w:r>
      <w:r w:rsidRPr="00C476DE">
        <w:rPr>
          <w:b/>
          <w:bCs/>
          <w:i/>
          <w:iCs/>
        </w:rPr>
        <w:fldChar w:fldCharType="end"/>
      </w:r>
    </w:p>
    <w:p w14:paraId="34738610" w14:textId="30520616" w:rsidR="009C3807" w:rsidRPr="00F72474" w:rsidRDefault="00263F40" w:rsidP="00C33209">
      <w:pPr>
        <w:rPr>
          <w:b/>
          <w:bCs/>
          <w:i/>
          <w:iCs/>
        </w:rPr>
      </w:pPr>
      <w:r w:rsidRPr="00F72474">
        <w:rPr>
          <w:b/>
          <w:bCs/>
          <w:i/>
          <w:iCs/>
        </w:rPr>
        <w:fldChar w:fldCharType="begin"/>
      </w:r>
      <w:r w:rsidRPr="00F72474">
        <w:rPr>
          <w:b/>
          <w:bCs/>
          <w:i/>
          <w:iCs/>
        </w:rPr>
        <w:instrText xml:space="preserve"> REF _Ref206170643 \w \h </w:instrText>
      </w:r>
      <w:r w:rsidR="00F72474" w:rsidRPr="00F72474">
        <w:rPr>
          <w:b/>
          <w:bCs/>
          <w:i/>
          <w:iCs/>
        </w:rPr>
        <w:instrText xml:space="preserve"> \* MERGEFORMAT </w:instrText>
      </w:r>
      <w:r w:rsidRPr="00F72474">
        <w:rPr>
          <w:b/>
          <w:bCs/>
          <w:i/>
          <w:iCs/>
        </w:rPr>
      </w:r>
      <w:r w:rsidRPr="00F72474">
        <w:rPr>
          <w:b/>
          <w:bCs/>
          <w:i/>
          <w:iCs/>
        </w:rPr>
        <w:fldChar w:fldCharType="separate"/>
      </w:r>
      <w:r w:rsidR="008C47BB">
        <w:rPr>
          <w:b/>
          <w:bCs/>
          <w:i/>
          <w:iCs/>
        </w:rPr>
        <w:t>Proposal 6:</w:t>
      </w:r>
      <w:r w:rsidRPr="00F72474">
        <w:rPr>
          <w:b/>
          <w:bCs/>
          <w:i/>
          <w:iCs/>
        </w:rPr>
        <w:fldChar w:fldCharType="end"/>
      </w:r>
      <w:r w:rsidR="009C3807" w:rsidRPr="00F72474">
        <w:rPr>
          <w:b/>
          <w:bCs/>
          <w:i/>
          <w:iCs/>
        </w:rPr>
        <w:t xml:space="preserve"> </w:t>
      </w:r>
      <w:r w:rsidRPr="00F72474">
        <w:rPr>
          <w:b/>
          <w:bCs/>
          <w:i/>
          <w:iCs/>
        </w:rPr>
        <w:fldChar w:fldCharType="begin"/>
      </w:r>
      <w:r w:rsidRPr="00F72474">
        <w:rPr>
          <w:b/>
          <w:bCs/>
          <w:i/>
          <w:iCs/>
        </w:rPr>
        <w:instrText xml:space="preserve"> REF _Ref206170643 \h </w:instrText>
      </w:r>
      <w:r w:rsidR="00F72474" w:rsidRPr="00F72474">
        <w:rPr>
          <w:b/>
          <w:bCs/>
          <w:i/>
          <w:iCs/>
        </w:rPr>
        <w:instrText xml:space="preserve"> \* MERGEFORMAT </w:instrText>
      </w:r>
      <w:r w:rsidRPr="00F72474">
        <w:rPr>
          <w:b/>
          <w:bCs/>
          <w:i/>
          <w:iCs/>
        </w:rPr>
      </w:r>
      <w:r w:rsidRPr="00F72474">
        <w:rPr>
          <w:b/>
          <w:bCs/>
          <w:i/>
          <w:iCs/>
        </w:rPr>
        <w:fldChar w:fldCharType="separate"/>
      </w:r>
      <w:r w:rsidR="00C476DE" w:rsidRPr="00C476DE">
        <w:rPr>
          <w:b/>
          <w:bCs/>
          <w:i/>
          <w:iCs/>
        </w:rPr>
        <w:t>For Rel-20 NR CSI feedback via two-sided model, RAN1 consider further define the applicability of each payload configuration to a certain range of subband / port configurations. E.g., 64 / 128 bits per layer are only applied to &lt;=32 ports, 384 bit per layer is only applied for &gt;32 ports.</w:t>
      </w:r>
      <w:r w:rsidRPr="00F72474">
        <w:rPr>
          <w:b/>
          <w:bCs/>
          <w:i/>
          <w:iCs/>
        </w:rPr>
        <w:fldChar w:fldCharType="end"/>
      </w:r>
    </w:p>
    <w:p w14:paraId="4306338C" w14:textId="1E61C320" w:rsidR="009C3807" w:rsidRPr="00F72474" w:rsidRDefault="00263F40" w:rsidP="00C33209">
      <w:pPr>
        <w:rPr>
          <w:b/>
          <w:bCs/>
          <w:i/>
          <w:iCs/>
        </w:rPr>
      </w:pPr>
      <w:r w:rsidRPr="00F72474">
        <w:rPr>
          <w:b/>
          <w:bCs/>
          <w:i/>
          <w:iCs/>
        </w:rPr>
        <w:fldChar w:fldCharType="begin"/>
      </w:r>
      <w:r w:rsidRPr="00F72474">
        <w:rPr>
          <w:b/>
          <w:bCs/>
          <w:i/>
          <w:iCs/>
        </w:rPr>
        <w:instrText xml:space="preserve"> REF _Ref206170649 \w \h </w:instrText>
      </w:r>
      <w:r w:rsidR="00F72474" w:rsidRPr="00F72474">
        <w:rPr>
          <w:b/>
          <w:bCs/>
          <w:i/>
          <w:iCs/>
        </w:rPr>
        <w:instrText xml:space="preserve"> \* MERGEFORMAT </w:instrText>
      </w:r>
      <w:r w:rsidRPr="00F72474">
        <w:rPr>
          <w:b/>
          <w:bCs/>
          <w:i/>
          <w:iCs/>
        </w:rPr>
      </w:r>
      <w:r w:rsidRPr="00F72474">
        <w:rPr>
          <w:b/>
          <w:bCs/>
          <w:i/>
          <w:iCs/>
        </w:rPr>
        <w:fldChar w:fldCharType="separate"/>
      </w:r>
      <w:r w:rsidR="00FA2875">
        <w:rPr>
          <w:b/>
          <w:bCs/>
          <w:i/>
          <w:iCs/>
        </w:rPr>
        <w:t>Proposal 7:</w:t>
      </w:r>
      <w:r w:rsidRPr="00F72474">
        <w:rPr>
          <w:b/>
          <w:bCs/>
          <w:i/>
          <w:iCs/>
        </w:rPr>
        <w:fldChar w:fldCharType="end"/>
      </w:r>
      <w:r w:rsidR="009C3807" w:rsidRPr="00F72474">
        <w:rPr>
          <w:b/>
          <w:bCs/>
          <w:i/>
          <w:iCs/>
        </w:rPr>
        <w:t xml:space="preserve"> </w:t>
      </w:r>
      <w:r w:rsidRPr="00F72474">
        <w:rPr>
          <w:b/>
          <w:bCs/>
          <w:i/>
          <w:iCs/>
        </w:rPr>
        <w:fldChar w:fldCharType="begin"/>
      </w:r>
      <w:r w:rsidRPr="00F72474">
        <w:rPr>
          <w:b/>
          <w:bCs/>
          <w:i/>
          <w:iCs/>
        </w:rPr>
        <w:instrText xml:space="preserve"> REF _Ref206170649 \h </w:instrText>
      </w:r>
      <w:r w:rsidR="00F72474" w:rsidRPr="00F72474">
        <w:rPr>
          <w:b/>
          <w:bCs/>
          <w:i/>
          <w:iCs/>
        </w:rPr>
        <w:instrText xml:space="preserve"> \* MERGEFORMAT </w:instrText>
      </w:r>
      <w:r w:rsidRPr="00F72474">
        <w:rPr>
          <w:b/>
          <w:bCs/>
          <w:i/>
          <w:iCs/>
        </w:rPr>
      </w:r>
      <w:r w:rsidRPr="00F72474">
        <w:rPr>
          <w:b/>
          <w:bCs/>
          <w:i/>
          <w:iCs/>
        </w:rPr>
        <w:fldChar w:fldCharType="separate"/>
      </w:r>
      <w:r w:rsidR="00FA2875" w:rsidRPr="00FA2875">
        <w:rPr>
          <w:b/>
          <w:bCs/>
          <w:i/>
          <w:iCs/>
        </w:rPr>
        <w:t>Further model applicability on subband, port and payload configuration can be aligned during applicability enquiry phase.</w:t>
      </w:r>
      <w:r w:rsidRPr="00F72474">
        <w:rPr>
          <w:b/>
          <w:bCs/>
          <w:i/>
          <w:iCs/>
        </w:rPr>
        <w:fldChar w:fldCharType="end"/>
      </w:r>
    </w:p>
    <w:p w14:paraId="1D38C031" w14:textId="17292AAD" w:rsidR="009C3807" w:rsidRPr="00F72474" w:rsidRDefault="00263F40" w:rsidP="00C33209">
      <w:pPr>
        <w:rPr>
          <w:b/>
          <w:bCs/>
          <w:i/>
          <w:iCs/>
        </w:rPr>
      </w:pPr>
      <w:r w:rsidRPr="00F72474">
        <w:rPr>
          <w:b/>
          <w:bCs/>
          <w:i/>
          <w:iCs/>
        </w:rPr>
        <w:fldChar w:fldCharType="begin"/>
      </w:r>
      <w:r w:rsidRPr="00F72474">
        <w:rPr>
          <w:b/>
          <w:bCs/>
          <w:i/>
          <w:iCs/>
        </w:rPr>
        <w:instrText xml:space="preserve"> REF _Ref206170657 \w \h </w:instrText>
      </w:r>
      <w:r w:rsidR="00F72474" w:rsidRPr="00F72474">
        <w:rPr>
          <w:b/>
          <w:bCs/>
          <w:i/>
          <w:iCs/>
        </w:rPr>
        <w:instrText xml:space="preserve"> \* MERGEFORMAT </w:instrText>
      </w:r>
      <w:r w:rsidRPr="00F72474">
        <w:rPr>
          <w:b/>
          <w:bCs/>
          <w:i/>
          <w:iCs/>
        </w:rPr>
      </w:r>
      <w:r w:rsidRPr="00F72474">
        <w:rPr>
          <w:b/>
          <w:bCs/>
          <w:i/>
          <w:iCs/>
        </w:rPr>
        <w:fldChar w:fldCharType="separate"/>
      </w:r>
      <w:r w:rsidR="00FA2875">
        <w:rPr>
          <w:b/>
          <w:bCs/>
          <w:i/>
          <w:iCs/>
        </w:rPr>
        <w:t>Proposal 8:</w:t>
      </w:r>
      <w:r w:rsidRPr="00F72474">
        <w:rPr>
          <w:b/>
          <w:bCs/>
          <w:i/>
          <w:iCs/>
        </w:rPr>
        <w:fldChar w:fldCharType="end"/>
      </w:r>
      <w:r w:rsidR="009C3807" w:rsidRPr="00F72474">
        <w:rPr>
          <w:b/>
          <w:bCs/>
          <w:i/>
          <w:iCs/>
        </w:rPr>
        <w:t xml:space="preserve"> </w:t>
      </w:r>
      <w:r w:rsidRPr="00F72474">
        <w:rPr>
          <w:b/>
          <w:bCs/>
          <w:i/>
          <w:iCs/>
        </w:rPr>
        <w:fldChar w:fldCharType="begin"/>
      </w:r>
      <w:r w:rsidRPr="00F72474">
        <w:rPr>
          <w:b/>
          <w:bCs/>
          <w:i/>
          <w:iCs/>
        </w:rPr>
        <w:instrText xml:space="preserve"> REF _Ref206170657 \h </w:instrText>
      </w:r>
      <w:r w:rsidR="00F72474" w:rsidRPr="00F72474">
        <w:rPr>
          <w:b/>
          <w:bCs/>
          <w:i/>
          <w:iCs/>
        </w:rPr>
        <w:instrText xml:space="preserve"> \* MERGEFORMAT </w:instrText>
      </w:r>
      <w:r w:rsidRPr="00F72474">
        <w:rPr>
          <w:b/>
          <w:bCs/>
          <w:i/>
          <w:iCs/>
        </w:rPr>
      </w:r>
      <w:r w:rsidRPr="00F72474">
        <w:rPr>
          <w:b/>
          <w:bCs/>
          <w:i/>
          <w:iCs/>
        </w:rPr>
        <w:fldChar w:fldCharType="separate"/>
      </w:r>
      <w:r w:rsidR="00FA2875" w:rsidRPr="00FA2875">
        <w:rPr>
          <w:b/>
          <w:bCs/>
          <w:i/>
          <w:iCs/>
        </w:rPr>
        <w:t>UCI omission is a corner case, RAN1 should adopt the simplest solution.</w:t>
      </w:r>
      <w:r w:rsidRPr="00F72474">
        <w:rPr>
          <w:b/>
          <w:bCs/>
          <w:i/>
          <w:iCs/>
        </w:rPr>
        <w:fldChar w:fldCharType="end"/>
      </w:r>
    </w:p>
    <w:p w14:paraId="24EBED67" w14:textId="137B40B8" w:rsidR="009C3807" w:rsidRDefault="00263F40" w:rsidP="00C33209">
      <w:pPr>
        <w:rPr>
          <w:b/>
          <w:bCs/>
          <w:i/>
          <w:iCs/>
        </w:rPr>
      </w:pPr>
      <w:r w:rsidRPr="00F72474">
        <w:rPr>
          <w:b/>
          <w:bCs/>
          <w:i/>
          <w:iCs/>
        </w:rPr>
        <w:fldChar w:fldCharType="begin"/>
      </w:r>
      <w:r w:rsidRPr="00F72474">
        <w:rPr>
          <w:b/>
          <w:bCs/>
          <w:i/>
          <w:iCs/>
        </w:rPr>
        <w:instrText xml:space="preserve"> REF _Ref206170663 \w \h </w:instrText>
      </w:r>
      <w:r w:rsidR="00F72474" w:rsidRPr="00F72474">
        <w:rPr>
          <w:b/>
          <w:bCs/>
          <w:i/>
          <w:iCs/>
        </w:rPr>
        <w:instrText xml:space="preserve"> \* MERGEFORMAT </w:instrText>
      </w:r>
      <w:r w:rsidRPr="00F72474">
        <w:rPr>
          <w:b/>
          <w:bCs/>
          <w:i/>
          <w:iCs/>
        </w:rPr>
      </w:r>
      <w:r w:rsidRPr="00F72474">
        <w:rPr>
          <w:b/>
          <w:bCs/>
          <w:i/>
          <w:iCs/>
        </w:rPr>
        <w:fldChar w:fldCharType="separate"/>
      </w:r>
      <w:r w:rsidR="00FA2875">
        <w:rPr>
          <w:b/>
          <w:bCs/>
          <w:i/>
          <w:iCs/>
        </w:rPr>
        <w:t>Proposal 9:</w:t>
      </w:r>
      <w:r w:rsidRPr="00F72474">
        <w:rPr>
          <w:b/>
          <w:bCs/>
          <w:i/>
          <w:iCs/>
        </w:rPr>
        <w:fldChar w:fldCharType="end"/>
      </w:r>
      <w:r w:rsidR="009C3807" w:rsidRPr="00F72474">
        <w:rPr>
          <w:b/>
          <w:bCs/>
          <w:i/>
          <w:iCs/>
        </w:rPr>
        <w:t xml:space="preserve"> </w:t>
      </w:r>
      <w:r w:rsidRPr="00F72474">
        <w:rPr>
          <w:b/>
          <w:bCs/>
          <w:i/>
          <w:iCs/>
        </w:rPr>
        <w:fldChar w:fldCharType="begin"/>
      </w:r>
      <w:r w:rsidRPr="00F72474">
        <w:rPr>
          <w:b/>
          <w:bCs/>
          <w:i/>
          <w:iCs/>
        </w:rPr>
        <w:instrText xml:space="preserve"> REF _Ref206170663 \h </w:instrText>
      </w:r>
      <w:r w:rsidR="00F72474" w:rsidRPr="00F72474">
        <w:rPr>
          <w:b/>
          <w:bCs/>
          <w:i/>
          <w:iCs/>
        </w:rPr>
        <w:instrText xml:space="preserve"> \* MERGEFORMAT </w:instrText>
      </w:r>
      <w:r w:rsidRPr="00F72474">
        <w:rPr>
          <w:b/>
          <w:bCs/>
          <w:i/>
          <w:iCs/>
        </w:rPr>
      </w:r>
      <w:r w:rsidRPr="00F72474">
        <w:rPr>
          <w:b/>
          <w:bCs/>
          <w:i/>
          <w:iCs/>
        </w:rPr>
        <w:fldChar w:fldCharType="separate"/>
      </w:r>
      <w:r w:rsidR="00FA2875" w:rsidRPr="00FA2875">
        <w:rPr>
          <w:b/>
          <w:bCs/>
          <w:i/>
          <w:iCs/>
        </w:rPr>
        <w:t>For Rel-20 NR CSI feedback via two-sided model, adopt UCI mapping and omission based on layer indices.</w:t>
      </w:r>
      <w:r w:rsidRPr="00F72474">
        <w:rPr>
          <w:b/>
          <w:bCs/>
          <w:i/>
          <w:iCs/>
        </w:rPr>
        <w:fldChar w:fldCharType="end"/>
      </w:r>
    </w:p>
    <w:p w14:paraId="0E2DF00A" w14:textId="7C915543" w:rsidR="00FA2875" w:rsidRDefault="00FA2875" w:rsidP="00C33209">
      <w:pPr>
        <w:rPr>
          <w:b/>
          <w:bCs/>
          <w:i/>
          <w:iCs/>
        </w:rPr>
      </w:pPr>
      <w:r>
        <w:rPr>
          <w:b/>
          <w:bCs/>
          <w:i/>
          <w:iCs/>
        </w:rPr>
        <w:fldChar w:fldCharType="begin"/>
      </w:r>
      <w:r>
        <w:rPr>
          <w:b/>
          <w:bCs/>
          <w:i/>
          <w:iCs/>
        </w:rPr>
        <w:instrText xml:space="preserve"> REF _Ref213431620 \w \h </w:instrText>
      </w:r>
      <w:r>
        <w:rPr>
          <w:b/>
          <w:bCs/>
          <w:i/>
          <w:iCs/>
        </w:rPr>
      </w:r>
      <w:r>
        <w:rPr>
          <w:b/>
          <w:bCs/>
          <w:i/>
          <w:iCs/>
        </w:rPr>
        <w:fldChar w:fldCharType="separate"/>
      </w:r>
      <w:r>
        <w:rPr>
          <w:b/>
          <w:bCs/>
          <w:i/>
          <w:iCs/>
        </w:rPr>
        <w:t>Proposal 10:</w:t>
      </w:r>
      <w:r>
        <w:rPr>
          <w:b/>
          <w:bCs/>
          <w:i/>
          <w:iCs/>
        </w:rPr>
        <w:fldChar w:fldCharType="end"/>
      </w:r>
      <w:r>
        <w:rPr>
          <w:b/>
          <w:bCs/>
          <w:i/>
          <w:iCs/>
        </w:rPr>
        <w:t xml:space="preserve"> </w:t>
      </w:r>
      <w:r w:rsidRPr="00657BE9">
        <w:rPr>
          <w:b/>
          <w:bCs/>
          <w:i/>
          <w:iCs/>
        </w:rPr>
        <w:fldChar w:fldCharType="begin"/>
      </w:r>
      <w:r w:rsidRPr="00657BE9">
        <w:rPr>
          <w:b/>
          <w:bCs/>
          <w:i/>
          <w:iCs/>
        </w:rPr>
        <w:instrText xml:space="preserve"> REF _Ref213431620 \h </w:instrText>
      </w:r>
      <w:r w:rsidR="00657BE9" w:rsidRPr="00657BE9">
        <w:rPr>
          <w:b/>
          <w:bCs/>
          <w:i/>
          <w:iCs/>
        </w:rPr>
        <w:instrText xml:space="preserve"> \* MERGEFORMAT </w:instrText>
      </w:r>
      <w:r w:rsidRPr="00657BE9">
        <w:rPr>
          <w:b/>
          <w:bCs/>
          <w:i/>
          <w:iCs/>
        </w:rPr>
      </w:r>
      <w:r w:rsidRPr="00657BE9">
        <w:rPr>
          <w:b/>
          <w:bCs/>
          <w:i/>
          <w:iCs/>
        </w:rPr>
        <w:fldChar w:fldCharType="separate"/>
      </w:r>
      <w:r w:rsidRPr="00657BE9">
        <w:rPr>
          <w:b/>
          <w:bCs/>
          <w:i/>
          <w:iCs/>
        </w:rPr>
        <w:t>Consider CQI calculated based on precoded CSI-RS as a baseline, study the performance benefit offered CQI option 1a/1b/2a.</w:t>
      </w:r>
      <w:r w:rsidRPr="00657BE9">
        <w:rPr>
          <w:b/>
          <w:bCs/>
          <w:i/>
          <w:iCs/>
        </w:rPr>
        <w:fldChar w:fldCharType="end"/>
      </w:r>
    </w:p>
    <w:p w14:paraId="11343A9C" w14:textId="6E80D343" w:rsidR="00FA2875" w:rsidRDefault="00FA2875" w:rsidP="00C33209">
      <w:pPr>
        <w:rPr>
          <w:b/>
          <w:bCs/>
          <w:i/>
          <w:iCs/>
        </w:rPr>
      </w:pPr>
      <w:r>
        <w:rPr>
          <w:b/>
          <w:bCs/>
          <w:i/>
          <w:iCs/>
        </w:rPr>
        <w:fldChar w:fldCharType="begin"/>
      </w:r>
      <w:r>
        <w:rPr>
          <w:b/>
          <w:bCs/>
          <w:i/>
          <w:iCs/>
        </w:rPr>
        <w:instrText xml:space="preserve"> REF _Ref213431626 \w \h </w:instrText>
      </w:r>
      <w:r>
        <w:rPr>
          <w:b/>
          <w:bCs/>
          <w:i/>
          <w:iCs/>
        </w:rPr>
      </w:r>
      <w:r>
        <w:rPr>
          <w:b/>
          <w:bCs/>
          <w:i/>
          <w:iCs/>
        </w:rPr>
        <w:fldChar w:fldCharType="separate"/>
      </w:r>
      <w:r>
        <w:rPr>
          <w:b/>
          <w:bCs/>
          <w:i/>
          <w:iCs/>
        </w:rPr>
        <w:t>Proposal 11:</w:t>
      </w:r>
      <w:r>
        <w:rPr>
          <w:b/>
          <w:bCs/>
          <w:i/>
          <w:iCs/>
        </w:rPr>
        <w:fldChar w:fldCharType="end"/>
      </w:r>
      <w:r>
        <w:rPr>
          <w:b/>
          <w:bCs/>
          <w:i/>
          <w:iCs/>
        </w:rPr>
        <w:t xml:space="preserve"> </w:t>
      </w:r>
      <w:r w:rsidRPr="00657BE9">
        <w:rPr>
          <w:b/>
          <w:bCs/>
          <w:i/>
          <w:iCs/>
        </w:rPr>
        <w:fldChar w:fldCharType="begin"/>
      </w:r>
      <w:r w:rsidRPr="00657BE9">
        <w:rPr>
          <w:b/>
          <w:bCs/>
          <w:i/>
          <w:iCs/>
        </w:rPr>
        <w:instrText xml:space="preserve"> REF _Ref213431626 \h </w:instrText>
      </w:r>
      <w:r w:rsidR="00657BE9" w:rsidRPr="00657BE9">
        <w:rPr>
          <w:b/>
          <w:bCs/>
          <w:i/>
          <w:iCs/>
        </w:rPr>
        <w:instrText xml:space="preserve"> \* MERGEFORMAT </w:instrText>
      </w:r>
      <w:r w:rsidRPr="00657BE9">
        <w:rPr>
          <w:b/>
          <w:bCs/>
          <w:i/>
          <w:iCs/>
        </w:rPr>
      </w:r>
      <w:r w:rsidRPr="00657BE9">
        <w:rPr>
          <w:b/>
          <w:bCs/>
          <w:i/>
          <w:iCs/>
        </w:rPr>
        <w:fldChar w:fldCharType="separate"/>
      </w:r>
      <w:r w:rsidRPr="00657BE9">
        <w:rPr>
          <w:b/>
          <w:bCs/>
          <w:i/>
          <w:iCs/>
        </w:rPr>
        <w:t>If CQI options 1a/1b/2a are deemed beneficial, study the spec impacts to accommodate all implementation options.</w:t>
      </w:r>
      <w:r w:rsidRPr="00657BE9">
        <w:rPr>
          <w:b/>
          <w:bCs/>
          <w:i/>
          <w:iCs/>
        </w:rPr>
        <w:fldChar w:fldCharType="end"/>
      </w:r>
    </w:p>
    <w:p w14:paraId="76A1E753" w14:textId="77777777" w:rsidR="00FC62EE" w:rsidRPr="00E81380" w:rsidRDefault="00FC62EE" w:rsidP="00304C8B">
      <w:pPr>
        <w:pStyle w:val="Proposal"/>
        <w:numPr>
          <w:ilvl w:val="0"/>
          <w:numId w:val="19"/>
        </w:numPr>
      </w:pPr>
      <w:r w:rsidRPr="00E81380">
        <w:lastRenderedPageBreak/>
        <w:t>RAN4 may define a relaxed testing requirement to accommodate various potential precoder assumptions.</w:t>
      </w:r>
    </w:p>
    <w:p w14:paraId="3C345EA7" w14:textId="77777777" w:rsidR="00FC62EE" w:rsidRPr="00E81380" w:rsidRDefault="00FC62EE" w:rsidP="00304C8B">
      <w:pPr>
        <w:pStyle w:val="Proposal"/>
        <w:numPr>
          <w:ilvl w:val="0"/>
          <w:numId w:val="19"/>
        </w:numPr>
      </w:pPr>
      <w:r>
        <w:t>In RAN1, clarify the reported CQI by these methods are different from the legacy CQI</w:t>
      </w:r>
      <w:r w:rsidRPr="00E81380">
        <w:t>.</w:t>
      </w:r>
    </w:p>
    <w:p w14:paraId="2D7FFFB7" w14:textId="1E5012D7" w:rsidR="009C3807" w:rsidRPr="00F72474" w:rsidRDefault="00263F40" w:rsidP="00C33209">
      <w:pPr>
        <w:rPr>
          <w:b/>
          <w:bCs/>
          <w:i/>
          <w:iCs/>
        </w:rPr>
      </w:pPr>
      <w:r w:rsidRPr="00F72474">
        <w:rPr>
          <w:b/>
          <w:bCs/>
          <w:i/>
          <w:iCs/>
        </w:rPr>
        <w:fldChar w:fldCharType="begin"/>
      </w:r>
      <w:r w:rsidRPr="00324AF5">
        <w:rPr>
          <w:b/>
        </w:rPr>
        <w:instrText xml:space="preserve"> REF _Ref206170679 \w \h </w:instrText>
      </w:r>
      <w:r w:rsidR="00F72474">
        <w:rPr>
          <w:b/>
        </w:rPr>
        <w:instrText xml:space="preserve"> \* MERGEFORMAT </w:instrText>
      </w:r>
      <w:r w:rsidRPr="00F72474">
        <w:rPr>
          <w:b/>
          <w:bCs/>
          <w:i/>
          <w:iCs/>
        </w:rPr>
      </w:r>
      <w:r w:rsidRPr="00F72474">
        <w:rPr>
          <w:b/>
          <w:bCs/>
          <w:i/>
          <w:iCs/>
        </w:rPr>
        <w:fldChar w:fldCharType="separate"/>
      </w:r>
      <w:r w:rsidR="00FA2875" w:rsidRPr="00FA2875">
        <w:rPr>
          <w:b/>
          <w:bCs/>
          <w:i/>
          <w:iCs/>
        </w:rPr>
        <w:t>Proposal 12:</w:t>
      </w:r>
      <w:r w:rsidRPr="00F72474">
        <w:rPr>
          <w:b/>
          <w:bCs/>
          <w:i/>
          <w:iCs/>
        </w:rPr>
        <w:fldChar w:fldCharType="end"/>
      </w:r>
      <w:r w:rsidR="009C3807" w:rsidRPr="00F72474">
        <w:rPr>
          <w:b/>
          <w:bCs/>
          <w:i/>
          <w:iCs/>
        </w:rPr>
        <w:t xml:space="preserve"> </w:t>
      </w:r>
      <w:r w:rsidRPr="00F72474">
        <w:rPr>
          <w:b/>
          <w:bCs/>
          <w:i/>
          <w:iCs/>
        </w:rPr>
        <w:fldChar w:fldCharType="begin"/>
      </w:r>
      <w:r w:rsidRPr="00F72474">
        <w:rPr>
          <w:b/>
          <w:bCs/>
          <w:i/>
          <w:iCs/>
        </w:rPr>
        <w:instrText xml:space="preserve"> REF _Ref206170679 \h </w:instrText>
      </w:r>
      <w:r w:rsidR="00F72474" w:rsidRPr="00F72474">
        <w:rPr>
          <w:b/>
          <w:bCs/>
          <w:i/>
          <w:iCs/>
        </w:rPr>
        <w:instrText xml:space="preserve"> \* MERGEFORMAT </w:instrText>
      </w:r>
      <w:r w:rsidRPr="00F72474">
        <w:rPr>
          <w:b/>
          <w:bCs/>
          <w:i/>
          <w:iCs/>
        </w:rPr>
      </w:r>
      <w:r w:rsidRPr="00F72474">
        <w:rPr>
          <w:b/>
          <w:bCs/>
          <w:i/>
          <w:iCs/>
        </w:rPr>
        <w:fldChar w:fldCharType="separate"/>
      </w:r>
      <w:r w:rsidR="00FA2875" w:rsidRPr="00FA2875">
        <w:rPr>
          <w:b/>
          <w:bCs/>
          <w:i/>
          <w:iCs/>
        </w:rPr>
        <w:t>Adopt existing framework of CPU and APU counting for CSF via two-sided model, UE may report dedicated CPU and APU cost for this feature.</w:t>
      </w:r>
      <w:r w:rsidRPr="00F72474">
        <w:rPr>
          <w:b/>
          <w:bCs/>
          <w:i/>
          <w:iCs/>
        </w:rPr>
        <w:fldChar w:fldCharType="end"/>
      </w:r>
    </w:p>
    <w:p w14:paraId="4C68B804" w14:textId="6E090382" w:rsidR="00F34710" w:rsidRDefault="00263F40" w:rsidP="00C33209">
      <w:r w:rsidRPr="00F72474">
        <w:rPr>
          <w:b/>
          <w:bCs/>
          <w:i/>
          <w:iCs/>
        </w:rPr>
        <w:fldChar w:fldCharType="begin"/>
      </w:r>
      <w:r w:rsidRPr="00324AF5">
        <w:rPr>
          <w:b/>
        </w:rPr>
        <w:instrText xml:space="preserve"> REF _Ref206170686 \w \h </w:instrText>
      </w:r>
      <w:r w:rsidR="00F72474">
        <w:rPr>
          <w:b/>
        </w:rPr>
        <w:instrText xml:space="preserve"> \* MERGEFORMAT </w:instrText>
      </w:r>
      <w:r w:rsidRPr="00F72474">
        <w:rPr>
          <w:b/>
          <w:bCs/>
          <w:i/>
          <w:iCs/>
        </w:rPr>
      </w:r>
      <w:r w:rsidRPr="00F72474">
        <w:rPr>
          <w:b/>
          <w:bCs/>
          <w:i/>
          <w:iCs/>
        </w:rPr>
        <w:fldChar w:fldCharType="separate"/>
      </w:r>
      <w:r w:rsidR="00FA2875" w:rsidRPr="00FA2875">
        <w:rPr>
          <w:b/>
          <w:bCs/>
          <w:i/>
          <w:iCs/>
        </w:rPr>
        <w:t>Proposal 13:</w:t>
      </w:r>
      <w:r w:rsidRPr="00F72474">
        <w:rPr>
          <w:b/>
          <w:bCs/>
          <w:i/>
          <w:iCs/>
        </w:rPr>
        <w:fldChar w:fldCharType="end"/>
      </w:r>
      <w:r w:rsidR="009C3807" w:rsidRPr="00F72474">
        <w:rPr>
          <w:b/>
          <w:bCs/>
          <w:i/>
          <w:iCs/>
        </w:rPr>
        <w:t xml:space="preserve"> </w:t>
      </w:r>
      <w:r w:rsidRPr="00F72474">
        <w:rPr>
          <w:b/>
          <w:bCs/>
          <w:i/>
          <w:iCs/>
        </w:rPr>
        <w:fldChar w:fldCharType="begin"/>
      </w:r>
      <w:r w:rsidRPr="00F72474">
        <w:rPr>
          <w:b/>
          <w:bCs/>
          <w:i/>
          <w:iCs/>
        </w:rPr>
        <w:instrText xml:space="preserve"> REF _Ref206170686 \h </w:instrText>
      </w:r>
      <w:r w:rsidR="00F72474" w:rsidRPr="00F72474">
        <w:rPr>
          <w:b/>
          <w:bCs/>
          <w:i/>
          <w:iCs/>
        </w:rPr>
        <w:instrText xml:space="preserve"> \* MERGEFORMAT </w:instrText>
      </w:r>
      <w:r w:rsidRPr="00F72474">
        <w:rPr>
          <w:b/>
          <w:bCs/>
          <w:i/>
          <w:iCs/>
        </w:rPr>
      </w:r>
      <w:r w:rsidRPr="00F72474">
        <w:rPr>
          <w:b/>
          <w:bCs/>
          <w:i/>
          <w:iCs/>
        </w:rPr>
        <w:fldChar w:fldCharType="separate"/>
      </w:r>
      <w:r w:rsidR="00FA2875" w:rsidRPr="00FA2875">
        <w:rPr>
          <w:b/>
          <w:bCs/>
          <w:i/>
          <w:iCs/>
        </w:rPr>
        <w:t xml:space="preserve">Adopt existing timeline formulation for CSF via two-sided model, UE may report dedicated additional time requirement t for both the aperiodic </w:t>
      </w:r>
      <w:r w:rsidR="00FA2875">
        <w:t>CSI reporting and semi-persistent CSI reporting</w:t>
      </w:r>
      <w:r w:rsidR="00FA2875" w:rsidRPr="009B5A0F">
        <w:t>.</w:t>
      </w:r>
      <w:r w:rsidRPr="00F72474">
        <w:rPr>
          <w:b/>
          <w:bCs/>
          <w:i/>
          <w:iCs/>
        </w:rPr>
        <w:fldChar w:fldCharType="end"/>
      </w:r>
    </w:p>
    <w:p w14:paraId="47CB6E96" w14:textId="536C2413" w:rsidR="00B540C6" w:rsidRDefault="00B540C6" w:rsidP="00053DCF">
      <w:pPr>
        <w:pStyle w:val="Heading1"/>
        <w:numPr>
          <w:ilvl w:val="0"/>
          <w:numId w:val="0"/>
        </w:numPr>
        <w:ind w:left="432" w:hanging="432"/>
      </w:pPr>
      <w:r>
        <w:t>References</w:t>
      </w:r>
    </w:p>
    <w:p w14:paraId="5E7B5C26" w14:textId="77777777" w:rsidR="00F6107E" w:rsidRPr="008260B1" w:rsidRDefault="00F6107E" w:rsidP="00F6107E">
      <w:pPr>
        <w:pStyle w:val="ListParagraph"/>
        <w:numPr>
          <w:ilvl w:val="0"/>
          <w:numId w:val="2"/>
        </w:numPr>
      </w:pPr>
      <w:bookmarkStart w:id="43" w:name="_Ref158989170"/>
      <w:bookmarkStart w:id="44" w:name="_Ref158971936"/>
      <w:bookmarkStart w:id="45" w:name="_Ref158821511"/>
      <w:r w:rsidRPr="008260B1">
        <w:t>TR 38.843 v1</w:t>
      </w:r>
      <w:r>
        <w:t>9</w:t>
      </w:r>
      <w:r w:rsidRPr="008260B1">
        <w:t xml:space="preserve">.0.0, </w:t>
      </w:r>
      <w:r>
        <w:t>“</w:t>
      </w:r>
      <w:r w:rsidRPr="00CB2CD1">
        <w:t>Study on Artificial Intelligence (AI)/Machine Learning (ML) for NR air interface</w:t>
      </w:r>
      <w:r>
        <w:t>”</w:t>
      </w:r>
      <w:r w:rsidRPr="008260B1">
        <w:t xml:space="preserve"> (Release 1</w:t>
      </w:r>
      <w:r>
        <w:t>9</w:t>
      </w:r>
      <w:r w:rsidRPr="008260B1">
        <w:t xml:space="preserve">), </w:t>
      </w:r>
      <w:r>
        <w:t>June</w:t>
      </w:r>
      <w:r w:rsidRPr="008260B1">
        <w:t xml:space="preserve"> 202</w:t>
      </w:r>
      <w:r>
        <w:t>5.</w:t>
      </w:r>
      <w:bookmarkEnd w:id="43"/>
    </w:p>
    <w:p w14:paraId="3F0AC58B" w14:textId="3D8AFA57" w:rsidR="006C72F3" w:rsidRDefault="00F6107E" w:rsidP="00F6107E">
      <w:pPr>
        <w:pStyle w:val="ListParagraph"/>
        <w:numPr>
          <w:ilvl w:val="0"/>
          <w:numId w:val="2"/>
        </w:numPr>
      </w:pPr>
      <w:r w:rsidRPr="006536C8">
        <w:t>RP-2</w:t>
      </w:r>
      <w:r>
        <w:t>51870</w:t>
      </w:r>
      <w:r w:rsidRPr="006536C8">
        <w:t>,</w:t>
      </w:r>
      <w:r w:rsidRPr="00FF500D">
        <w:t xml:space="preserve"> </w:t>
      </w:r>
      <w:r>
        <w:t>“</w:t>
      </w:r>
      <w:r w:rsidRPr="002A4E77">
        <w:t>New WI: Artificial Intelligence (AI)/Machine Learning (ML) for NR air interface enhancements</w:t>
      </w:r>
      <w:r>
        <w:t>”, Qualcomm (Moderator), 3GPP TSG RAN #108, June 2025</w:t>
      </w:r>
      <w:r w:rsidR="00FF500D" w:rsidRPr="006536C8">
        <w:t>.</w:t>
      </w:r>
      <w:bookmarkEnd w:id="44"/>
    </w:p>
    <w:p w14:paraId="321DF005" w14:textId="3F45E834" w:rsidR="00736447" w:rsidRDefault="00736447" w:rsidP="00F6107E">
      <w:pPr>
        <w:pStyle w:val="ListParagraph"/>
        <w:numPr>
          <w:ilvl w:val="0"/>
          <w:numId w:val="2"/>
        </w:numPr>
      </w:pPr>
      <w:r w:rsidRPr="006536C8">
        <w:t>R</w:t>
      </w:r>
      <w:r>
        <w:t>1</w:t>
      </w:r>
      <w:r w:rsidRPr="006536C8">
        <w:t>-2</w:t>
      </w:r>
      <w:r>
        <w:t>507710</w:t>
      </w:r>
      <w:r w:rsidRPr="006536C8">
        <w:t>,</w:t>
      </w:r>
      <w:r w:rsidRPr="00FF500D">
        <w:t xml:space="preserve"> </w:t>
      </w:r>
      <w:r>
        <w:t xml:space="preserve">“Specification of inference aspects of AIML CSI compression”, Qualcomm, </w:t>
      </w:r>
      <w:r w:rsidR="00060F87">
        <w:t>3GPP TSG RAN1 #122-bis, October</w:t>
      </w:r>
      <w:r>
        <w:t xml:space="preserve"> 2025</w:t>
      </w:r>
      <w:r w:rsidR="00060F87">
        <w:t>.</w:t>
      </w:r>
    </w:p>
    <w:p w14:paraId="7B8885F1" w14:textId="3F9D7418" w:rsidR="00D76476" w:rsidRDefault="00D76476" w:rsidP="00F6107E">
      <w:pPr>
        <w:pStyle w:val="ListParagraph"/>
        <w:numPr>
          <w:ilvl w:val="0"/>
          <w:numId w:val="2"/>
        </w:numPr>
      </w:pPr>
      <w:r w:rsidRPr="006536C8">
        <w:t>R</w:t>
      </w:r>
      <w:r>
        <w:t>1</w:t>
      </w:r>
      <w:r w:rsidRPr="006536C8">
        <w:t>-2</w:t>
      </w:r>
      <w:r>
        <w:t>507727</w:t>
      </w:r>
      <w:r w:rsidRPr="006536C8">
        <w:t>,</w:t>
      </w:r>
      <w:r w:rsidRPr="00FF500D">
        <w:t xml:space="preserve"> </w:t>
      </w:r>
      <w:r>
        <w:t>“</w:t>
      </w:r>
      <w:r w:rsidR="00747A25">
        <w:t>AIML in 6GR air interface</w:t>
      </w:r>
      <w:r>
        <w:t>”, Qualcomm, 3GPP TSG RAN1 #122-bis, October 2025</w:t>
      </w:r>
    </w:p>
    <w:bookmarkEnd w:id="45"/>
    <w:p w14:paraId="684597EF" w14:textId="77777777" w:rsidR="00B540C6" w:rsidRPr="00B540C6" w:rsidRDefault="00B540C6" w:rsidP="00B540C6"/>
    <w:p w14:paraId="2C078E63" w14:textId="77777777" w:rsidR="0063696F" w:rsidRDefault="0063696F"/>
    <w:sectPr w:rsidR="0063696F">
      <w:footerReference w:type="default" r:id="rId3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52749F" w14:textId="77777777" w:rsidR="00367717" w:rsidRDefault="00367717" w:rsidP="00E25422">
      <w:r>
        <w:separator/>
      </w:r>
    </w:p>
  </w:endnote>
  <w:endnote w:type="continuationSeparator" w:id="0">
    <w:p w14:paraId="68CBD492" w14:textId="77777777" w:rsidR="00367717" w:rsidRDefault="00367717" w:rsidP="00E25422">
      <w:r>
        <w:continuationSeparator/>
      </w:r>
    </w:p>
  </w:endnote>
  <w:endnote w:type="continuationNotice" w:id="1">
    <w:p w14:paraId="1267DC33" w14:textId="77777777" w:rsidR="00367717" w:rsidRDefault="00367717" w:rsidP="00E2542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New York">
    <w:altName w:val="Times New Roman"/>
    <w:panose1 w:val="02040503060506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Aptos Narrow">
    <w:charset w:val="00"/>
    <w:family w:val="swiss"/>
    <w:pitch w:val="variable"/>
    <w:sig w:usb0="20000287" w:usb1="00000003"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06054376"/>
      <w:docPartObj>
        <w:docPartGallery w:val="Page Numbers (Bottom of Page)"/>
        <w:docPartUnique/>
      </w:docPartObj>
    </w:sdtPr>
    <w:sdtEndPr>
      <w:rPr>
        <w:noProof/>
      </w:rPr>
    </w:sdtEndPr>
    <w:sdtContent>
      <w:p w14:paraId="55EAE112" w14:textId="58F59FEA" w:rsidR="000A405D" w:rsidRDefault="000A405D" w:rsidP="006C3BA7">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72C76803" w14:textId="77777777" w:rsidR="000A405D" w:rsidRDefault="000A405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2C4038" w14:textId="77777777" w:rsidR="00367717" w:rsidRDefault="00367717" w:rsidP="00E25422">
      <w:r>
        <w:separator/>
      </w:r>
    </w:p>
  </w:footnote>
  <w:footnote w:type="continuationSeparator" w:id="0">
    <w:p w14:paraId="766FEF9B" w14:textId="77777777" w:rsidR="00367717" w:rsidRDefault="00367717" w:rsidP="00E25422">
      <w:r>
        <w:continuationSeparator/>
      </w:r>
    </w:p>
  </w:footnote>
  <w:footnote w:type="continuationNotice" w:id="1">
    <w:p w14:paraId="481BE4DB" w14:textId="77777777" w:rsidR="00367717" w:rsidRDefault="00367717" w:rsidP="00E25422"/>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EF541F"/>
    <w:multiLevelType w:val="hybridMultilevel"/>
    <w:tmpl w:val="5150C770"/>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08B36B16"/>
    <w:multiLevelType w:val="hybridMultilevel"/>
    <w:tmpl w:val="34E835CA"/>
    <w:lvl w:ilvl="0" w:tplc="B5340C96">
      <w:start w:val="1"/>
      <w:numFmt w:val="decimal"/>
      <w:pStyle w:val="Proposal"/>
      <w:lvlText w:val="Proposal %1:"/>
      <w:lvlJc w:val="left"/>
      <w:pPr>
        <w:ind w:left="720" w:hanging="360"/>
      </w:pPr>
      <w:rPr>
        <w:rFonts w:hint="default"/>
        <w:b/>
        <w:i/>
      </w:rPr>
    </w:lvl>
    <w:lvl w:ilvl="1" w:tplc="F8D009DC">
      <w:numFmt w:val="bullet"/>
      <w:lvlText w:val="-"/>
      <w:lvlJc w:val="left"/>
      <w:pPr>
        <w:ind w:left="720" w:hanging="360"/>
      </w:pPr>
      <w:rPr>
        <w:rFonts w:ascii="Times New Roman" w:eastAsia="Malgun Gothic"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EFC0A48"/>
    <w:multiLevelType w:val="multilevel"/>
    <w:tmpl w:val="0EFC0A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B6C47DD"/>
    <w:multiLevelType w:val="hybridMultilevel"/>
    <w:tmpl w:val="360269B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1FB47535"/>
    <w:multiLevelType w:val="multilevel"/>
    <w:tmpl w:val="97C4E9B8"/>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b w:val="0"/>
        <w:bCs/>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0"/>
        </w:tabs>
        <w:ind w:left="0" w:firstLine="0"/>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2BDB3A06"/>
    <w:multiLevelType w:val="multilevel"/>
    <w:tmpl w:val="A27CDF34"/>
    <w:styleLink w:val="CurrentList1"/>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b w:val="0"/>
        <w:bCs w:val="0"/>
      </w:rPr>
    </w:lvl>
    <w:lvl w:ilvl="3">
      <w:start w:val="1"/>
      <w:numFmt w:val="decimal"/>
      <w:lvlText w:val="%1.%2.%3.%4"/>
      <w:lvlJc w:val="left"/>
      <w:pPr>
        <w:ind w:left="149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CFD172E"/>
    <w:multiLevelType w:val="hybridMultilevel"/>
    <w:tmpl w:val="FE742BCA"/>
    <w:lvl w:ilvl="0" w:tplc="F60E42E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9A929CF"/>
    <w:multiLevelType w:val="hybridMultilevel"/>
    <w:tmpl w:val="8A3242C2"/>
    <w:lvl w:ilvl="0" w:tplc="02B66D2E">
      <w:start w:val="1"/>
      <w:numFmt w:val="decimal"/>
      <w:pStyle w:val="Observation"/>
      <w:lvlText w:val="Observation %1:"/>
      <w:lvlJc w:val="left"/>
      <w:pPr>
        <w:ind w:left="900" w:hanging="360"/>
      </w:pPr>
      <w:rPr>
        <w:sz w:val="22"/>
        <w:szCs w:val="22"/>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49BE47F6"/>
    <w:multiLevelType w:val="hybridMultilevel"/>
    <w:tmpl w:val="E0C219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80B6417"/>
    <w:multiLevelType w:val="hybridMultilevel"/>
    <w:tmpl w:val="171E4E80"/>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5FA50195"/>
    <w:multiLevelType w:val="hybridMultilevel"/>
    <w:tmpl w:val="9960A45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60375BF7"/>
    <w:multiLevelType w:val="hybridMultilevel"/>
    <w:tmpl w:val="C76888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1605D27"/>
    <w:multiLevelType w:val="hybridMultilevel"/>
    <w:tmpl w:val="1CDC69FC"/>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690A73BA"/>
    <w:multiLevelType w:val="hybridMultilevel"/>
    <w:tmpl w:val="0C824F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EA2045E"/>
    <w:multiLevelType w:val="hybridMultilevel"/>
    <w:tmpl w:val="07DCE08E"/>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15:restartNumberingAfterBreak="0">
    <w:nsid w:val="74E95C8C"/>
    <w:multiLevelType w:val="hybridMultilevel"/>
    <w:tmpl w:val="769A5040"/>
    <w:lvl w:ilvl="0" w:tplc="B748F6D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DD40DE6"/>
    <w:multiLevelType w:val="multilevel"/>
    <w:tmpl w:val="7DD40DE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97683136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595631558">
    <w:abstractNumId w:val="17"/>
  </w:num>
  <w:num w:numId="3" w16cid:durableId="940335112">
    <w:abstractNumId w:val="10"/>
  </w:num>
  <w:num w:numId="4" w16cid:durableId="2111461746">
    <w:abstractNumId w:val="1"/>
  </w:num>
  <w:num w:numId="5" w16cid:durableId="343365967">
    <w:abstractNumId w:val="8"/>
  </w:num>
  <w:num w:numId="6" w16cid:durableId="973291391">
    <w:abstractNumId w:val="6"/>
  </w:num>
  <w:num w:numId="7" w16cid:durableId="1573348296">
    <w:abstractNumId w:val="5"/>
  </w:num>
  <w:num w:numId="8" w16cid:durableId="358511164">
    <w:abstractNumId w:val="7"/>
  </w:num>
  <w:num w:numId="9" w16cid:durableId="1758941740">
    <w:abstractNumId w:val="14"/>
  </w:num>
  <w:num w:numId="10" w16cid:durableId="110901978">
    <w:abstractNumId w:val="11"/>
  </w:num>
  <w:num w:numId="11" w16cid:durableId="1621691525">
    <w:abstractNumId w:val="0"/>
  </w:num>
  <w:num w:numId="12" w16cid:durableId="1645045142">
    <w:abstractNumId w:val="16"/>
  </w:num>
  <w:num w:numId="13" w16cid:durableId="250238726">
    <w:abstractNumId w:val="18"/>
  </w:num>
  <w:num w:numId="14" w16cid:durableId="1380127094">
    <w:abstractNumId w:val="3"/>
  </w:num>
  <w:num w:numId="15" w16cid:durableId="769080308">
    <w:abstractNumId w:val="2"/>
  </w:num>
  <w:num w:numId="16" w16cid:durableId="1049646754">
    <w:abstractNumId w:val="9"/>
  </w:num>
  <w:num w:numId="17" w16cid:durableId="273709788">
    <w:abstractNumId w:val="15"/>
  </w:num>
  <w:num w:numId="18" w16cid:durableId="1174611061">
    <w:abstractNumId w:val="13"/>
  </w:num>
  <w:num w:numId="19" w16cid:durableId="1589385289">
    <w:abstractNumId w:val="12"/>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writeProtection w:recommended="1"/>
  <w:zoom w:percent="140"/>
  <w:doNotDisplayPageBoundaries/>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285BB587"/>
    <w:rsid w:val="00000025"/>
    <w:rsid w:val="00000046"/>
    <w:rsid w:val="00000214"/>
    <w:rsid w:val="00000274"/>
    <w:rsid w:val="000005E2"/>
    <w:rsid w:val="0000082B"/>
    <w:rsid w:val="00000835"/>
    <w:rsid w:val="00000881"/>
    <w:rsid w:val="000009B8"/>
    <w:rsid w:val="00000BDD"/>
    <w:rsid w:val="00000CCC"/>
    <w:rsid w:val="00000F54"/>
    <w:rsid w:val="00000FF7"/>
    <w:rsid w:val="00001063"/>
    <w:rsid w:val="00001085"/>
    <w:rsid w:val="00001361"/>
    <w:rsid w:val="000013F2"/>
    <w:rsid w:val="00001501"/>
    <w:rsid w:val="000017C1"/>
    <w:rsid w:val="000018C1"/>
    <w:rsid w:val="000018D0"/>
    <w:rsid w:val="000018E9"/>
    <w:rsid w:val="00001B08"/>
    <w:rsid w:val="00001B68"/>
    <w:rsid w:val="00001BB6"/>
    <w:rsid w:val="00001BD5"/>
    <w:rsid w:val="00001D18"/>
    <w:rsid w:val="00001DF4"/>
    <w:rsid w:val="000020E1"/>
    <w:rsid w:val="00002110"/>
    <w:rsid w:val="00002144"/>
    <w:rsid w:val="000021F0"/>
    <w:rsid w:val="00002804"/>
    <w:rsid w:val="0000283D"/>
    <w:rsid w:val="000028E3"/>
    <w:rsid w:val="000029BF"/>
    <w:rsid w:val="00003204"/>
    <w:rsid w:val="00003304"/>
    <w:rsid w:val="00003379"/>
    <w:rsid w:val="000033D9"/>
    <w:rsid w:val="00003781"/>
    <w:rsid w:val="000038C5"/>
    <w:rsid w:val="00003A01"/>
    <w:rsid w:val="00003B0C"/>
    <w:rsid w:val="00003B50"/>
    <w:rsid w:val="00003C68"/>
    <w:rsid w:val="00003D1B"/>
    <w:rsid w:val="00003EB9"/>
    <w:rsid w:val="00003EC6"/>
    <w:rsid w:val="00003F54"/>
    <w:rsid w:val="0000411A"/>
    <w:rsid w:val="000041A8"/>
    <w:rsid w:val="00004252"/>
    <w:rsid w:val="0000426B"/>
    <w:rsid w:val="000043C7"/>
    <w:rsid w:val="000044F2"/>
    <w:rsid w:val="00004889"/>
    <w:rsid w:val="00004E9C"/>
    <w:rsid w:val="000053AB"/>
    <w:rsid w:val="0000541C"/>
    <w:rsid w:val="000055CB"/>
    <w:rsid w:val="000056FC"/>
    <w:rsid w:val="00005844"/>
    <w:rsid w:val="000058E3"/>
    <w:rsid w:val="00005920"/>
    <w:rsid w:val="00005C0E"/>
    <w:rsid w:val="00005C21"/>
    <w:rsid w:val="00005C6A"/>
    <w:rsid w:val="00005D70"/>
    <w:rsid w:val="00006126"/>
    <w:rsid w:val="0000624A"/>
    <w:rsid w:val="00006278"/>
    <w:rsid w:val="0000641B"/>
    <w:rsid w:val="0000693D"/>
    <w:rsid w:val="00006CB4"/>
    <w:rsid w:val="00006E91"/>
    <w:rsid w:val="00006F35"/>
    <w:rsid w:val="00006FBF"/>
    <w:rsid w:val="0000713D"/>
    <w:rsid w:val="00007182"/>
    <w:rsid w:val="000071C1"/>
    <w:rsid w:val="00007270"/>
    <w:rsid w:val="000073DE"/>
    <w:rsid w:val="00007440"/>
    <w:rsid w:val="000076AB"/>
    <w:rsid w:val="00007776"/>
    <w:rsid w:val="00007934"/>
    <w:rsid w:val="000079DB"/>
    <w:rsid w:val="00007B97"/>
    <w:rsid w:val="00007E1A"/>
    <w:rsid w:val="00007F4D"/>
    <w:rsid w:val="00007FEA"/>
    <w:rsid w:val="00010039"/>
    <w:rsid w:val="000102A8"/>
    <w:rsid w:val="000103F1"/>
    <w:rsid w:val="0001051E"/>
    <w:rsid w:val="0001058E"/>
    <w:rsid w:val="00010734"/>
    <w:rsid w:val="000107FD"/>
    <w:rsid w:val="0001087C"/>
    <w:rsid w:val="000108DF"/>
    <w:rsid w:val="00010A6B"/>
    <w:rsid w:val="00010AAF"/>
    <w:rsid w:val="00010B6C"/>
    <w:rsid w:val="00010BEB"/>
    <w:rsid w:val="00010CDE"/>
    <w:rsid w:val="00010D98"/>
    <w:rsid w:val="00010E3E"/>
    <w:rsid w:val="00010EC7"/>
    <w:rsid w:val="00010F1B"/>
    <w:rsid w:val="00010F45"/>
    <w:rsid w:val="00010FBC"/>
    <w:rsid w:val="000110B0"/>
    <w:rsid w:val="0001123A"/>
    <w:rsid w:val="0001135D"/>
    <w:rsid w:val="000115C1"/>
    <w:rsid w:val="00011634"/>
    <w:rsid w:val="00011712"/>
    <w:rsid w:val="00011741"/>
    <w:rsid w:val="00011748"/>
    <w:rsid w:val="000117CD"/>
    <w:rsid w:val="00011890"/>
    <w:rsid w:val="0001192C"/>
    <w:rsid w:val="00011A7A"/>
    <w:rsid w:val="00011D6C"/>
    <w:rsid w:val="00011E5C"/>
    <w:rsid w:val="00011ECA"/>
    <w:rsid w:val="00011F4C"/>
    <w:rsid w:val="00011FD3"/>
    <w:rsid w:val="000120C9"/>
    <w:rsid w:val="00012268"/>
    <w:rsid w:val="0001232C"/>
    <w:rsid w:val="000123F6"/>
    <w:rsid w:val="000124A4"/>
    <w:rsid w:val="00012804"/>
    <w:rsid w:val="00012819"/>
    <w:rsid w:val="00012935"/>
    <w:rsid w:val="00012EDA"/>
    <w:rsid w:val="0001313C"/>
    <w:rsid w:val="00013391"/>
    <w:rsid w:val="00013A0E"/>
    <w:rsid w:val="00013CB5"/>
    <w:rsid w:val="00013D75"/>
    <w:rsid w:val="00014102"/>
    <w:rsid w:val="0001435F"/>
    <w:rsid w:val="000143C8"/>
    <w:rsid w:val="0001453E"/>
    <w:rsid w:val="000147C0"/>
    <w:rsid w:val="0001498F"/>
    <w:rsid w:val="000149AF"/>
    <w:rsid w:val="00014ABD"/>
    <w:rsid w:val="00014DA9"/>
    <w:rsid w:val="00014DCC"/>
    <w:rsid w:val="0001514D"/>
    <w:rsid w:val="000151B1"/>
    <w:rsid w:val="000151BB"/>
    <w:rsid w:val="000151CC"/>
    <w:rsid w:val="00015416"/>
    <w:rsid w:val="000154A4"/>
    <w:rsid w:val="000154D5"/>
    <w:rsid w:val="00015664"/>
    <w:rsid w:val="000156AA"/>
    <w:rsid w:val="00015731"/>
    <w:rsid w:val="00015757"/>
    <w:rsid w:val="000158E0"/>
    <w:rsid w:val="00015D5A"/>
    <w:rsid w:val="00015E27"/>
    <w:rsid w:val="00016030"/>
    <w:rsid w:val="000160EC"/>
    <w:rsid w:val="000161D5"/>
    <w:rsid w:val="00016392"/>
    <w:rsid w:val="000164AB"/>
    <w:rsid w:val="00016687"/>
    <w:rsid w:val="00016717"/>
    <w:rsid w:val="00016D1A"/>
    <w:rsid w:val="00016D23"/>
    <w:rsid w:val="00016ED2"/>
    <w:rsid w:val="00016EEE"/>
    <w:rsid w:val="00016FC6"/>
    <w:rsid w:val="0001737E"/>
    <w:rsid w:val="0001776D"/>
    <w:rsid w:val="00017A8B"/>
    <w:rsid w:val="00017BFE"/>
    <w:rsid w:val="00017C12"/>
    <w:rsid w:val="00017CBE"/>
    <w:rsid w:val="00017D2C"/>
    <w:rsid w:val="00017DFD"/>
    <w:rsid w:val="00017F6B"/>
    <w:rsid w:val="00017F70"/>
    <w:rsid w:val="00020535"/>
    <w:rsid w:val="000205AC"/>
    <w:rsid w:val="0002065B"/>
    <w:rsid w:val="00020712"/>
    <w:rsid w:val="0002072C"/>
    <w:rsid w:val="00020AA7"/>
    <w:rsid w:val="00020AEF"/>
    <w:rsid w:val="00020B56"/>
    <w:rsid w:val="00020BA3"/>
    <w:rsid w:val="000210D3"/>
    <w:rsid w:val="00021481"/>
    <w:rsid w:val="00021492"/>
    <w:rsid w:val="000215E9"/>
    <w:rsid w:val="000217EE"/>
    <w:rsid w:val="000218E6"/>
    <w:rsid w:val="00021DE2"/>
    <w:rsid w:val="0002203D"/>
    <w:rsid w:val="000224CB"/>
    <w:rsid w:val="00022777"/>
    <w:rsid w:val="000227FF"/>
    <w:rsid w:val="00022846"/>
    <w:rsid w:val="000228CF"/>
    <w:rsid w:val="00022938"/>
    <w:rsid w:val="000229FB"/>
    <w:rsid w:val="00022A4D"/>
    <w:rsid w:val="00022CD8"/>
    <w:rsid w:val="00022EE0"/>
    <w:rsid w:val="00022FAC"/>
    <w:rsid w:val="000230BE"/>
    <w:rsid w:val="000231C6"/>
    <w:rsid w:val="00023597"/>
    <w:rsid w:val="00023812"/>
    <w:rsid w:val="0002390F"/>
    <w:rsid w:val="00023B72"/>
    <w:rsid w:val="00023D86"/>
    <w:rsid w:val="00023DE9"/>
    <w:rsid w:val="00024251"/>
    <w:rsid w:val="00024499"/>
    <w:rsid w:val="00024614"/>
    <w:rsid w:val="0002467D"/>
    <w:rsid w:val="00024B1A"/>
    <w:rsid w:val="00024B87"/>
    <w:rsid w:val="00024CED"/>
    <w:rsid w:val="00024E3E"/>
    <w:rsid w:val="00024F0E"/>
    <w:rsid w:val="000254E6"/>
    <w:rsid w:val="00025664"/>
    <w:rsid w:val="000256DD"/>
    <w:rsid w:val="000257AF"/>
    <w:rsid w:val="0002594A"/>
    <w:rsid w:val="00025D49"/>
    <w:rsid w:val="00025E67"/>
    <w:rsid w:val="00025E90"/>
    <w:rsid w:val="000261F6"/>
    <w:rsid w:val="000263B3"/>
    <w:rsid w:val="000263C4"/>
    <w:rsid w:val="00026428"/>
    <w:rsid w:val="00026518"/>
    <w:rsid w:val="0002663A"/>
    <w:rsid w:val="00026839"/>
    <w:rsid w:val="00026942"/>
    <w:rsid w:val="00026D75"/>
    <w:rsid w:val="000272CB"/>
    <w:rsid w:val="00027364"/>
    <w:rsid w:val="0002736D"/>
    <w:rsid w:val="00027380"/>
    <w:rsid w:val="0002758B"/>
    <w:rsid w:val="0002760B"/>
    <w:rsid w:val="00027699"/>
    <w:rsid w:val="000277A2"/>
    <w:rsid w:val="00027C17"/>
    <w:rsid w:val="00027C45"/>
    <w:rsid w:val="0003002F"/>
    <w:rsid w:val="00030140"/>
    <w:rsid w:val="0003015B"/>
    <w:rsid w:val="0003035B"/>
    <w:rsid w:val="00030633"/>
    <w:rsid w:val="00030A7A"/>
    <w:rsid w:val="00030B0D"/>
    <w:rsid w:val="0003130D"/>
    <w:rsid w:val="00031570"/>
    <w:rsid w:val="00031BB8"/>
    <w:rsid w:val="00031FFC"/>
    <w:rsid w:val="000323F1"/>
    <w:rsid w:val="0003288D"/>
    <w:rsid w:val="000328C6"/>
    <w:rsid w:val="00032D27"/>
    <w:rsid w:val="00032D50"/>
    <w:rsid w:val="0003320C"/>
    <w:rsid w:val="0003339E"/>
    <w:rsid w:val="000333B1"/>
    <w:rsid w:val="0003340A"/>
    <w:rsid w:val="000336EA"/>
    <w:rsid w:val="000337FA"/>
    <w:rsid w:val="000338DF"/>
    <w:rsid w:val="000339BC"/>
    <w:rsid w:val="00033AFA"/>
    <w:rsid w:val="00033C28"/>
    <w:rsid w:val="00033C41"/>
    <w:rsid w:val="00033E72"/>
    <w:rsid w:val="0003411B"/>
    <w:rsid w:val="0003447A"/>
    <w:rsid w:val="00034635"/>
    <w:rsid w:val="000347FE"/>
    <w:rsid w:val="00034C08"/>
    <w:rsid w:val="00034C69"/>
    <w:rsid w:val="00034D69"/>
    <w:rsid w:val="00034F4E"/>
    <w:rsid w:val="00035107"/>
    <w:rsid w:val="0003531C"/>
    <w:rsid w:val="0003553C"/>
    <w:rsid w:val="00035610"/>
    <w:rsid w:val="00035865"/>
    <w:rsid w:val="00036117"/>
    <w:rsid w:val="00036205"/>
    <w:rsid w:val="000362A9"/>
    <w:rsid w:val="000362D7"/>
    <w:rsid w:val="000364A3"/>
    <w:rsid w:val="000365A3"/>
    <w:rsid w:val="000369AF"/>
    <w:rsid w:val="00036A65"/>
    <w:rsid w:val="00036B26"/>
    <w:rsid w:val="00036B39"/>
    <w:rsid w:val="00036BA3"/>
    <w:rsid w:val="00036C73"/>
    <w:rsid w:val="00036CAD"/>
    <w:rsid w:val="0003702D"/>
    <w:rsid w:val="000373D1"/>
    <w:rsid w:val="0003751E"/>
    <w:rsid w:val="00037DFA"/>
    <w:rsid w:val="00040035"/>
    <w:rsid w:val="00040399"/>
    <w:rsid w:val="00040410"/>
    <w:rsid w:val="00040598"/>
    <w:rsid w:val="00040649"/>
    <w:rsid w:val="000407C1"/>
    <w:rsid w:val="00040A8D"/>
    <w:rsid w:val="00040CE1"/>
    <w:rsid w:val="00040CF4"/>
    <w:rsid w:val="00040CFD"/>
    <w:rsid w:val="00040D7F"/>
    <w:rsid w:val="00040E68"/>
    <w:rsid w:val="00040ED3"/>
    <w:rsid w:val="00040FE8"/>
    <w:rsid w:val="00041390"/>
    <w:rsid w:val="00041485"/>
    <w:rsid w:val="00041495"/>
    <w:rsid w:val="00041689"/>
    <w:rsid w:val="000418B6"/>
    <w:rsid w:val="0004192A"/>
    <w:rsid w:val="00041B05"/>
    <w:rsid w:val="00041DB4"/>
    <w:rsid w:val="000420B5"/>
    <w:rsid w:val="000420E9"/>
    <w:rsid w:val="00042101"/>
    <w:rsid w:val="00042125"/>
    <w:rsid w:val="0004212A"/>
    <w:rsid w:val="000424D2"/>
    <w:rsid w:val="0004265C"/>
    <w:rsid w:val="00042770"/>
    <w:rsid w:val="00042B29"/>
    <w:rsid w:val="00042EFA"/>
    <w:rsid w:val="000432FF"/>
    <w:rsid w:val="0004340D"/>
    <w:rsid w:val="00043793"/>
    <w:rsid w:val="000438E8"/>
    <w:rsid w:val="00043989"/>
    <w:rsid w:val="00043A1C"/>
    <w:rsid w:val="00043ACD"/>
    <w:rsid w:val="00043AE4"/>
    <w:rsid w:val="00043B82"/>
    <w:rsid w:val="00043E3B"/>
    <w:rsid w:val="00043EE1"/>
    <w:rsid w:val="00044007"/>
    <w:rsid w:val="0004405A"/>
    <w:rsid w:val="0004410E"/>
    <w:rsid w:val="00044478"/>
    <w:rsid w:val="0004451C"/>
    <w:rsid w:val="0004457F"/>
    <w:rsid w:val="00044653"/>
    <w:rsid w:val="00044C32"/>
    <w:rsid w:val="00044CF2"/>
    <w:rsid w:val="00044D6B"/>
    <w:rsid w:val="00044FD7"/>
    <w:rsid w:val="000454D7"/>
    <w:rsid w:val="00045AEA"/>
    <w:rsid w:val="00045BF9"/>
    <w:rsid w:val="00045C65"/>
    <w:rsid w:val="00045D9F"/>
    <w:rsid w:val="00045E36"/>
    <w:rsid w:val="00045E68"/>
    <w:rsid w:val="00045EC1"/>
    <w:rsid w:val="00045EF3"/>
    <w:rsid w:val="000460F5"/>
    <w:rsid w:val="000462C6"/>
    <w:rsid w:val="000469B5"/>
    <w:rsid w:val="00046DB9"/>
    <w:rsid w:val="0004707F"/>
    <w:rsid w:val="00047194"/>
    <w:rsid w:val="0004724B"/>
    <w:rsid w:val="000472CE"/>
    <w:rsid w:val="00047488"/>
    <w:rsid w:val="0004753B"/>
    <w:rsid w:val="00047721"/>
    <w:rsid w:val="00047BAC"/>
    <w:rsid w:val="00047C57"/>
    <w:rsid w:val="00047E6E"/>
    <w:rsid w:val="00047FCC"/>
    <w:rsid w:val="00050041"/>
    <w:rsid w:val="00050053"/>
    <w:rsid w:val="00050192"/>
    <w:rsid w:val="00050353"/>
    <w:rsid w:val="000503D2"/>
    <w:rsid w:val="00050503"/>
    <w:rsid w:val="000506E2"/>
    <w:rsid w:val="000506EA"/>
    <w:rsid w:val="00050B9B"/>
    <w:rsid w:val="00050CE2"/>
    <w:rsid w:val="00050E1B"/>
    <w:rsid w:val="00050EBB"/>
    <w:rsid w:val="00050EC0"/>
    <w:rsid w:val="00050EC4"/>
    <w:rsid w:val="00050F09"/>
    <w:rsid w:val="0005100A"/>
    <w:rsid w:val="0005137A"/>
    <w:rsid w:val="00051566"/>
    <w:rsid w:val="000515C1"/>
    <w:rsid w:val="0005182D"/>
    <w:rsid w:val="00051A63"/>
    <w:rsid w:val="00051DDE"/>
    <w:rsid w:val="00051E50"/>
    <w:rsid w:val="000527D9"/>
    <w:rsid w:val="00052BA0"/>
    <w:rsid w:val="00052C55"/>
    <w:rsid w:val="00052CEA"/>
    <w:rsid w:val="00052EAD"/>
    <w:rsid w:val="000532CD"/>
    <w:rsid w:val="00053597"/>
    <w:rsid w:val="00053665"/>
    <w:rsid w:val="00053A57"/>
    <w:rsid w:val="00053DAA"/>
    <w:rsid w:val="00053DCF"/>
    <w:rsid w:val="00053FB0"/>
    <w:rsid w:val="000540E8"/>
    <w:rsid w:val="000541A6"/>
    <w:rsid w:val="000543DF"/>
    <w:rsid w:val="000545D3"/>
    <w:rsid w:val="00054607"/>
    <w:rsid w:val="0005476D"/>
    <w:rsid w:val="00054778"/>
    <w:rsid w:val="000548F5"/>
    <w:rsid w:val="00054A04"/>
    <w:rsid w:val="00054A7D"/>
    <w:rsid w:val="00054C4B"/>
    <w:rsid w:val="00054DF0"/>
    <w:rsid w:val="00055300"/>
    <w:rsid w:val="000554D7"/>
    <w:rsid w:val="000554F0"/>
    <w:rsid w:val="000556FE"/>
    <w:rsid w:val="0005574E"/>
    <w:rsid w:val="000557B3"/>
    <w:rsid w:val="00055C2F"/>
    <w:rsid w:val="00055C6B"/>
    <w:rsid w:val="00055D1C"/>
    <w:rsid w:val="00056127"/>
    <w:rsid w:val="0005624B"/>
    <w:rsid w:val="0005654D"/>
    <w:rsid w:val="00056DA7"/>
    <w:rsid w:val="00056E2B"/>
    <w:rsid w:val="00056E9D"/>
    <w:rsid w:val="0005705E"/>
    <w:rsid w:val="000571AC"/>
    <w:rsid w:val="00057634"/>
    <w:rsid w:val="000576E9"/>
    <w:rsid w:val="000578E9"/>
    <w:rsid w:val="00057A26"/>
    <w:rsid w:val="00057AF5"/>
    <w:rsid w:val="00057F25"/>
    <w:rsid w:val="000603A9"/>
    <w:rsid w:val="00060470"/>
    <w:rsid w:val="000608B1"/>
    <w:rsid w:val="00060987"/>
    <w:rsid w:val="00060CB5"/>
    <w:rsid w:val="00060DD5"/>
    <w:rsid w:val="00060F05"/>
    <w:rsid w:val="00060F87"/>
    <w:rsid w:val="00061173"/>
    <w:rsid w:val="0006126D"/>
    <w:rsid w:val="000612E7"/>
    <w:rsid w:val="00061AD6"/>
    <w:rsid w:val="00061B97"/>
    <w:rsid w:val="00061BCE"/>
    <w:rsid w:val="00061F8C"/>
    <w:rsid w:val="00062521"/>
    <w:rsid w:val="000626B3"/>
    <w:rsid w:val="000626C5"/>
    <w:rsid w:val="000627AD"/>
    <w:rsid w:val="000627C0"/>
    <w:rsid w:val="0006286F"/>
    <w:rsid w:val="0006297F"/>
    <w:rsid w:val="00062BCB"/>
    <w:rsid w:val="00062DDB"/>
    <w:rsid w:val="00062E0D"/>
    <w:rsid w:val="00062F51"/>
    <w:rsid w:val="00062F93"/>
    <w:rsid w:val="000632E0"/>
    <w:rsid w:val="000633B0"/>
    <w:rsid w:val="000634EE"/>
    <w:rsid w:val="000634F8"/>
    <w:rsid w:val="000639D3"/>
    <w:rsid w:val="00063B1D"/>
    <w:rsid w:val="00063BA0"/>
    <w:rsid w:val="00063CB7"/>
    <w:rsid w:val="00063D3B"/>
    <w:rsid w:val="00063D79"/>
    <w:rsid w:val="00063F3C"/>
    <w:rsid w:val="00064157"/>
    <w:rsid w:val="000646A2"/>
    <w:rsid w:val="0006489B"/>
    <w:rsid w:val="000648F3"/>
    <w:rsid w:val="000649EC"/>
    <w:rsid w:val="00064A1D"/>
    <w:rsid w:val="00064BF4"/>
    <w:rsid w:val="00064F3B"/>
    <w:rsid w:val="00065032"/>
    <w:rsid w:val="00065088"/>
    <w:rsid w:val="000650E2"/>
    <w:rsid w:val="00065207"/>
    <w:rsid w:val="00065647"/>
    <w:rsid w:val="00065875"/>
    <w:rsid w:val="00065C8B"/>
    <w:rsid w:val="00065E15"/>
    <w:rsid w:val="00065EB8"/>
    <w:rsid w:val="00066006"/>
    <w:rsid w:val="00066127"/>
    <w:rsid w:val="00066236"/>
    <w:rsid w:val="00066441"/>
    <w:rsid w:val="000666A8"/>
    <w:rsid w:val="000666F5"/>
    <w:rsid w:val="000667A3"/>
    <w:rsid w:val="00066945"/>
    <w:rsid w:val="000669B4"/>
    <w:rsid w:val="000669D5"/>
    <w:rsid w:val="00066B15"/>
    <w:rsid w:val="00066C99"/>
    <w:rsid w:val="00066DC0"/>
    <w:rsid w:val="00066F3A"/>
    <w:rsid w:val="00066F9E"/>
    <w:rsid w:val="00066FB1"/>
    <w:rsid w:val="00066FD4"/>
    <w:rsid w:val="000673B4"/>
    <w:rsid w:val="00067462"/>
    <w:rsid w:val="00067666"/>
    <w:rsid w:val="0006786C"/>
    <w:rsid w:val="000679D2"/>
    <w:rsid w:val="00067A01"/>
    <w:rsid w:val="00067D5A"/>
    <w:rsid w:val="00067E3E"/>
    <w:rsid w:val="00067F21"/>
    <w:rsid w:val="00067F62"/>
    <w:rsid w:val="0007006D"/>
    <w:rsid w:val="00070138"/>
    <w:rsid w:val="0007034E"/>
    <w:rsid w:val="000705E0"/>
    <w:rsid w:val="0007066B"/>
    <w:rsid w:val="000706D1"/>
    <w:rsid w:val="000709A8"/>
    <w:rsid w:val="000709A9"/>
    <w:rsid w:val="000709DE"/>
    <w:rsid w:val="00070A16"/>
    <w:rsid w:val="00070D32"/>
    <w:rsid w:val="00070F1D"/>
    <w:rsid w:val="00070FE9"/>
    <w:rsid w:val="00070FEA"/>
    <w:rsid w:val="0007109F"/>
    <w:rsid w:val="000713AD"/>
    <w:rsid w:val="000713D9"/>
    <w:rsid w:val="00071828"/>
    <w:rsid w:val="00071952"/>
    <w:rsid w:val="00071963"/>
    <w:rsid w:val="00071A70"/>
    <w:rsid w:val="00071E96"/>
    <w:rsid w:val="00071F37"/>
    <w:rsid w:val="00072004"/>
    <w:rsid w:val="00072143"/>
    <w:rsid w:val="00072410"/>
    <w:rsid w:val="000724AC"/>
    <w:rsid w:val="00072715"/>
    <w:rsid w:val="00072AAD"/>
    <w:rsid w:val="00072B3A"/>
    <w:rsid w:val="00072D47"/>
    <w:rsid w:val="00072FCC"/>
    <w:rsid w:val="00073013"/>
    <w:rsid w:val="0007304C"/>
    <w:rsid w:val="00073121"/>
    <w:rsid w:val="0007363D"/>
    <w:rsid w:val="000736C4"/>
    <w:rsid w:val="0007384B"/>
    <w:rsid w:val="000739F5"/>
    <w:rsid w:val="00073AC1"/>
    <w:rsid w:val="00073DED"/>
    <w:rsid w:val="0007406C"/>
    <w:rsid w:val="00074131"/>
    <w:rsid w:val="00074160"/>
    <w:rsid w:val="00074686"/>
    <w:rsid w:val="000748C5"/>
    <w:rsid w:val="00074DC3"/>
    <w:rsid w:val="00074F26"/>
    <w:rsid w:val="000750FC"/>
    <w:rsid w:val="00075288"/>
    <w:rsid w:val="000754DA"/>
    <w:rsid w:val="000757D0"/>
    <w:rsid w:val="000758C0"/>
    <w:rsid w:val="000759CC"/>
    <w:rsid w:val="00075A7C"/>
    <w:rsid w:val="00075B51"/>
    <w:rsid w:val="00075D95"/>
    <w:rsid w:val="00075E6C"/>
    <w:rsid w:val="000763AA"/>
    <w:rsid w:val="000763FD"/>
    <w:rsid w:val="000764FA"/>
    <w:rsid w:val="00076727"/>
    <w:rsid w:val="0007674E"/>
    <w:rsid w:val="000767C1"/>
    <w:rsid w:val="0007697B"/>
    <w:rsid w:val="00076BA4"/>
    <w:rsid w:val="00076C0F"/>
    <w:rsid w:val="0007703C"/>
    <w:rsid w:val="00077318"/>
    <w:rsid w:val="00077404"/>
    <w:rsid w:val="0007752C"/>
    <w:rsid w:val="00077796"/>
    <w:rsid w:val="000778C0"/>
    <w:rsid w:val="00077931"/>
    <w:rsid w:val="0007793E"/>
    <w:rsid w:val="000779B7"/>
    <w:rsid w:val="00077A45"/>
    <w:rsid w:val="00077A9C"/>
    <w:rsid w:val="00077B40"/>
    <w:rsid w:val="00077CEC"/>
    <w:rsid w:val="00077DEA"/>
    <w:rsid w:val="00080274"/>
    <w:rsid w:val="0008099F"/>
    <w:rsid w:val="00080BC4"/>
    <w:rsid w:val="000816FA"/>
    <w:rsid w:val="00081919"/>
    <w:rsid w:val="00081D14"/>
    <w:rsid w:val="00081E15"/>
    <w:rsid w:val="000820B9"/>
    <w:rsid w:val="000821BE"/>
    <w:rsid w:val="000822CF"/>
    <w:rsid w:val="000822EB"/>
    <w:rsid w:val="00082375"/>
    <w:rsid w:val="00082502"/>
    <w:rsid w:val="00082531"/>
    <w:rsid w:val="000825A0"/>
    <w:rsid w:val="000825F0"/>
    <w:rsid w:val="000826CB"/>
    <w:rsid w:val="0008274C"/>
    <w:rsid w:val="00082796"/>
    <w:rsid w:val="000827B2"/>
    <w:rsid w:val="000827B5"/>
    <w:rsid w:val="000827EC"/>
    <w:rsid w:val="00082AB3"/>
    <w:rsid w:val="00082AC6"/>
    <w:rsid w:val="00082D22"/>
    <w:rsid w:val="00082E39"/>
    <w:rsid w:val="0008326E"/>
    <w:rsid w:val="00083590"/>
    <w:rsid w:val="000837FF"/>
    <w:rsid w:val="00084540"/>
    <w:rsid w:val="0008485C"/>
    <w:rsid w:val="00084BAD"/>
    <w:rsid w:val="00084C8C"/>
    <w:rsid w:val="00084D79"/>
    <w:rsid w:val="00085258"/>
    <w:rsid w:val="0008537C"/>
    <w:rsid w:val="000857B9"/>
    <w:rsid w:val="000857E6"/>
    <w:rsid w:val="000859D2"/>
    <w:rsid w:val="00085BE1"/>
    <w:rsid w:val="00085D54"/>
    <w:rsid w:val="00086079"/>
    <w:rsid w:val="00086481"/>
    <w:rsid w:val="0008655F"/>
    <w:rsid w:val="0008665F"/>
    <w:rsid w:val="0008688C"/>
    <w:rsid w:val="0008689D"/>
    <w:rsid w:val="00086981"/>
    <w:rsid w:val="00086997"/>
    <w:rsid w:val="00086CBB"/>
    <w:rsid w:val="00086D1B"/>
    <w:rsid w:val="00086F3F"/>
    <w:rsid w:val="0008707B"/>
    <w:rsid w:val="000871E6"/>
    <w:rsid w:val="0008722B"/>
    <w:rsid w:val="00087527"/>
    <w:rsid w:val="000876EB"/>
    <w:rsid w:val="00087756"/>
    <w:rsid w:val="000877D8"/>
    <w:rsid w:val="00087F0E"/>
    <w:rsid w:val="00087F3A"/>
    <w:rsid w:val="00087FCA"/>
    <w:rsid w:val="00087FFA"/>
    <w:rsid w:val="000901C2"/>
    <w:rsid w:val="000902D9"/>
    <w:rsid w:val="000903B9"/>
    <w:rsid w:val="000903CE"/>
    <w:rsid w:val="000903F4"/>
    <w:rsid w:val="000903FB"/>
    <w:rsid w:val="0009047F"/>
    <w:rsid w:val="00090520"/>
    <w:rsid w:val="00090834"/>
    <w:rsid w:val="00090A51"/>
    <w:rsid w:val="00090E49"/>
    <w:rsid w:val="00090F9F"/>
    <w:rsid w:val="000910E8"/>
    <w:rsid w:val="0009140C"/>
    <w:rsid w:val="0009142D"/>
    <w:rsid w:val="0009157E"/>
    <w:rsid w:val="000917D8"/>
    <w:rsid w:val="00091A2D"/>
    <w:rsid w:val="00091A6F"/>
    <w:rsid w:val="00091C60"/>
    <w:rsid w:val="00091EB3"/>
    <w:rsid w:val="00091ECA"/>
    <w:rsid w:val="00091FD4"/>
    <w:rsid w:val="00092101"/>
    <w:rsid w:val="0009238E"/>
    <w:rsid w:val="0009244A"/>
    <w:rsid w:val="0009249B"/>
    <w:rsid w:val="000928A0"/>
    <w:rsid w:val="000929A4"/>
    <w:rsid w:val="00092ABF"/>
    <w:rsid w:val="00092BD3"/>
    <w:rsid w:val="00092EFF"/>
    <w:rsid w:val="00092F34"/>
    <w:rsid w:val="0009340B"/>
    <w:rsid w:val="0009343A"/>
    <w:rsid w:val="00093DE7"/>
    <w:rsid w:val="00093DED"/>
    <w:rsid w:val="000941CF"/>
    <w:rsid w:val="0009425B"/>
    <w:rsid w:val="00094285"/>
    <w:rsid w:val="0009439A"/>
    <w:rsid w:val="00094422"/>
    <w:rsid w:val="00094D4A"/>
    <w:rsid w:val="00094F97"/>
    <w:rsid w:val="00095120"/>
    <w:rsid w:val="00095540"/>
    <w:rsid w:val="0009563B"/>
    <w:rsid w:val="000957A8"/>
    <w:rsid w:val="000959BE"/>
    <w:rsid w:val="00095AD7"/>
    <w:rsid w:val="00095B4B"/>
    <w:rsid w:val="00095BD1"/>
    <w:rsid w:val="00095DD8"/>
    <w:rsid w:val="00095E56"/>
    <w:rsid w:val="00096298"/>
    <w:rsid w:val="0009635E"/>
    <w:rsid w:val="0009647E"/>
    <w:rsid w:val="00096499"/>
    <w:rsid w:val="0009670B"/>
    <w:rsid w:val="00096789"/>
    <w:rsid w:val="00096873"/>
    <w:rsid w:val="000968C0"/>
    <w:rsid w:val="00096AB4"/>
    <w:rsid w:val="0009724B"/>
    <w:rsid w:val="000972A1"/>
    <w:rsid w:val="0009763A"/>
    <w:rsid w:val="000976BA"/>
    <w:rsid w:val="0009799E"/>
    <w:rsid w:val="00097A7A"/>
    <w:rsid w:val="00097B2F"/>
    <w:rsid w:val="00097BDA"/>
    <w:rsid w:val="000A0127"/>
    <w:rsid w:val="000A0179"/>
    <w:rsid w:val="000A0256"/>
    <w:rsid w:val="000A03F3"/>
    <w:rsid w:val="000A04E5"/>
    <w:rsid w:val="000A054B"/>
    <w:rsid w:val="000A0682"/>
    <w:rsid w:val="000A07FC"/>
    <w:rsid w:val="000A0842"/>
    <w:rsid w:val="000A0BDD"/>
    <w:rsid w:val="000A0C23"/>
    <w:rsid w:val="000A0F20"/>
    <w:rsid w:val="000A0F66"/>
    <w:rsid w:val="000A10B3"/>
    <w:rsid w:val="000A1518"/>
    <w:rsid w:val="000A15DC"/>
    <w:rsid w:val="000A18A4"/>
    <w:rsid w:val="000A1A02"/>
    <w:rsid w:val="000A1D5A"/>
    <w:rsid w:val="000A1DCE"/>
    <w:rsid w:val="000A1F2C"/>
    <w:rsid w:val="000A2039"/>
    <w:rsid w:val="000A208C"/>
    <w:rsid w:val="000A222A"/>
    <w:rsid w:val="000A23B5"/>
    <w:rsid w:val="000A23C7"/>
    <w:rsid w:val="000A28ED"/>
    <w:rsid w:val="000A2A62"/>
    <w:rsid w:val="000A2AD1"/>
    <w:rsid w:val="000A2BBC"/>
    <w:rsid w:val="000A2D4C"/>
    <w:rsid w:val="000A2F3E"/>
    <w:rsid w:val="000A314D"/>
    <w:rsid w:val="000A334F"/>
    <w:rsid w:val="000A3392"/>
    <w:rsid w:val="000A3591"/>
    <w:rsid w:val="000A35B4"/>
    <w:rsid w:val="000A36E6"/>
    <w:rsid w:val="000A377C"/>
    <w:rsid w:val="000A3881"/>
    <w:rsid w:val="000A3AD9"/>
    <w:rsid w:val="000A3AE5"/>
    <w:rsid w:val="000A3C1D"/>
    <w:rsid w:val="000A3D66"/>
    <w:rsid w:val="000A3D90"/>
    <w:rsid w:val="000A3F39"/>
    <w:rsid w:val="000A405D"/>
    <w:rsid w:val="000A40FA"/>
    <w:rsid w:val="000A42FC"/>
    <w:rsid w:val="000A4639"/>
    <w:rsid w:val="000A4AFC"/>
    <w:rsid w:val="000A4CC6"/>
    <w:rsid w:val="000A4D56"/>
    <w:rsid w:val="000A4F9D"/>
    <w:rsid w:val="000A544C"/>
    <w:rsid w:val="000A5606"/>
    <w:rsid w:val="000A5655"/>
    <w:rsid w:val="000A589D"/>
    <w:rsid w:val="000A5E38"/>
    <w:rsid w:val="000A60B5"/>
    <w:rsid w:val="000A63BB"/>
    <w:rsid w:val="000A653C"/>
    <w:rsid w:val="000A66EE"/>
    <w:rsid w:val="000A6834"/>
    <w:rsid w:val="000A70CE"/>
    <w:rsid w:val="000A718F"/>
    <w:rsid w:val="000A74EB"/>
    <w:rsid w:val="000A74F2"/>
    <w:rsid w:val="000A75CD"/>
    <w:rsid w:val="000A762D"/>
    <w:rsid w:val="000A7796"/>
    <w:rsid w:val="000A78FA"/>
    <w:rsid w:val="000A7D89"/>
    <w:rsid w:val="000A7DF9"/>
    <w:rsid w:val="000A7E61"/>
    <w:rsid w:val="000B0307"/>
    <w:rsid w:val="000B05D9"/>
    <w:rsid w:val="000B08D8"/>
    <w:rsid w:val="000B0EC8"/>
    <w:rsid w:val="000B1186"/>
    <w:rsid w:val="000B11DC"/>
    <w:rsid w:val="000B1223"/>
    <w:rsid w:val="000B14A5"/>
    <w:rsid w:val="000B16C4"/>
    <w:rsid w:val="000B171F"/>
    <w:rsid w:val="000B1A32"/>
    <w:rsid w:val="000B1A75"/>
    <w:rsid w:val="000B1D35"/>
    <w:rsid w:val="000B1D51"/>
    <w:rsid w:val="000B1D8F"/>
    <w:rsid w:val="000B1DC3"/>
    <w:rsid w:val="000B204A"/>
    <w:rsid w:val="000B2252"/>
    <w:rsid w:val="000B23D2"/>
    <w:rsid w:val="000B2548"/>
    <w:rsid w:val="000B255E"/>
    <w:rsid w:val="000B2605"/>
    <w:rsid w:val="000B26A2"/>
    <w:rsid w:val="000B26B6"/>
    <w:rsid w:val="000B275C"/>
    <w:rsid w:val="000B29F2"/>
    <w:rsid w:val="000B2A8D"/>
    <w:rsid w:val="000B2B84"/>
    <w:rsid w:val="000B2DE3"/>
    <w:rsid w:val="000B30D4"/>
    <w:rsid w:val="000B3160"/>
    <w:rsid w:val="000B3259"/>
    <w:rsid w:val="000B3775"/>
    <w:rsid w:val="000B3DB1"/>
    <w:rsid w:val="000B3EF6"/>
    <w:rsid w:val="000B42CF"/>
    <w:rsid w:val="000B46B3"/>
    <w:rsid w:val="000B46CD"/>
    <w:rsid w:val="000B46FC"/>
    <w:rsid w:val="000B4761"/>
    <w:rsid w:val="000B48DA"/>
    <w:rsid w:val="000B4A3D"/>
    <w:rsid w:val="000B4C09"/>
    <w:rsid w:val="000B4F4F"/>
    <w:rsid w:val="000B51BE"/>
    <w:rsid w:val="000B5363"/>
    <w:rsid w:val="000B53B1"/>
    <w:rsid w:val="000B5890"/>
    <w:rsid w:val="000B5966"/>
    <w:rsid w:val="000B5B9F"/>
    <w:rsid w:val="000B61C7"/>
    <w:rsid w:val="000B62B6"/>
    <w:rsid w:val="000B6741"/>
    <w:rsid w:val="000B67DE"/>
    <w:rsid w:val="000B68FE"/>
    <w:rsid w:val="000B69A3"/>
    <w:rsid w:val="000B6ADA"/>
    <w:rsid w:val="000B6C39"/>
    <w:rsid w:val="000B6CC0"/>
    <w:rsid w:val="000B70E6"/>
    <w:rsid w:val="000B719F"/>
    <w:rsid w:val="000B73CE"/>
    <w:rsid w:val="000B73E6"/>
    <w:rsid w:val="000B73EF"/>
    <w:rsid w:val="000B7507"/>
    <w:rsid w:val="000B76EC"/>
    <w:rsid w:val="000B773F"/>
    <w:rsid w:val="000B7776"/>
    <w:rsid w:val="000B7874"/>
    <w:rsid w:val="000B7933"/>
    <w:rsid w:val="000B79C8"/>
    <w:rsid w:val="000B7A74"/>
    <w:rsid w:val="000B7B1A"/>
    <w:rsid w:val="000B7E8F"/>
    <w:rsid w:val="000B7EC0"/>
    <w:rsid w:val="000B7F33"/>
    <w:rsid w:val="000C029D"/>
    <w:rsid w:val="000C083E"/>
    <w:rsid w:val="000C0C00"/>
    <w:rsid w:val="000C1004"/>
    <w:rsid w:val="000C14EB"/>
    <w:rsid w:val="000C16BF"/>
    <w:rsid w:val="000C1C1D"/>
    <w:rsid w:val="000C1CE0"/>
    <w:rsid w:val="000C1DBD"/>
    <w:rsid w:val="000C1EB7"/>
    <w:rsid w:val="000C1FFB"/>
    <w:rsid w:val="000C2035"/>
    <w:rsid w:val="000C273E"/>
    <w:rsid w:val="000C28F1"/>
    <w:rsid w:val="000C2A8D"/>
    <w:rsid w:val="000C2C02"/>
    <w:rsid w:val="000C2E3C"/>
    <w:rsid w:val="000C2E97"/>
    <w:rsid w:val="000C308F"/>
    <w:rsid w:val="000C310F"/>
    <w:rsid w:val="000C31B7"/>
    <w:rsid w:val="000C3226"/>
    <w:rsid w:val="000C39C1"/>
    <w:rsid w:val="000C3A5A"/>
    <w:rsid w:val="000C3A7A"/>
    <w:rsid w:val="000C3D4C"/>
    <w:rsid w:val="000C3E78"/>
    <w:rsid w:val="000C3EF8"/>
    <w:rsid w:val="000C40B5"/>
    <w:rsid w:val="000C45BA"/>
    <w:rsid w:val="000C468C"/>
    <w:rsid w:val="000C46A7"/>
    <w:rsid w:val="000C4709"/>
    <w:rsid w:val="000C47D8"/>
    <w:rsid w:val="000C488B"/>
    <w:rsid w:val="000C4A2F"/>
    <w:rsid w:val="000C4D72"/>
    <w:rsid w:val="000C5137"/>
    <w:rsid w:val="000C5455"/>
    <w:rsid w:val="000C54E6"/>
    <w:rsid w:val="000C5775"/>
    <w:rsid w:val="000C585E"/>
    <w:rsid w:val="000C58CD"/>
    <w:rsid w:val="000C5A22"/>
    <w:rsid w:val="000C5B7B"/>
    <w:rsid w:val="000C5D0F"/>
    <w:rsid w:val="000C5D75"/>
    <w:rsid w:val="000C5FDB"/>
    <w:rsid w:val="000C60DA"/>
    <w:rsid w:val="000C61B0"/>
    <w:rsid w:val="000C62A2"/>
    <w:rsid w:val="000C641A"/>
    <w:rsid w:val="000C6811"/>
    <w:rsid w:val="000C6887"/>
    <w:rsid w:val="000C68DC"/>
    <w:rsid w:val="000C69D7"/>
    <w:rsid w:val="000C6A07"/>
    <w:rsid w:val="000C6D7D"/>
    <w:rsid w:val="000C6E63"/>
    <w:rsid w:val="000C6F89"/>
    <w:rsid w:val="000C6FF4"/>
    <w:rsid w:val="000C708A"/>
    <w:rsid w:val="000C70CA"/>
    <w:rsid w:val="000C73E5"/>
    <w:rsid w:val="000C74A7"/>
    <w:rsid w:val="000C7905"/>
    <w:rsid w:val="000C7921"/>
    <w:rsid w:val="000C79C6"/>
    <w:rsid w:val="000C7BBB"/>
    <w:rsid w:val="000C7BC4"/>
    <w:rsid w:val="000C7C5F"/>
    <w:rsid w:val="000C7EF5"/>
    <w:rsid w:val="000D0075"/>
    <w:rsid w:val="000D01F6"/>
    <w:rsid w:val="000D02C2"/>
    <w:rsid w:val="000D0331"/>
    <w:rsid w:val="000D04E2"/>
    <w:rsid w:val="000D0696"/>
    <w:rsid w:val="000D06F1"/>
    <w:rsid w:val="000D07B6"/>
    <w:rsid w:val="000D07E9"/>
    <w:rsid w:val="000D0A7E"/>
    <w:rsid w:val="000D0AE1"/>
    <w:rsid w:val="000D0B6E"/>
    <w:rsid w:val="000D0BE9"/>
    <w:rsid w:val="000D0EDC"/>
    <w:rsid w:val="000D0F89"/>
    <w:rsid w:val="000D1144"/>
    <w:rsid w:val="000D1587"/>
    <w:rsid w:val="000D18D5"/>
    <w:rsid w:val="000D1A1A"/>
    <w:rsid w:val="000D1B22"/>
    <w:rsid w:val="000D1D24"/>
    <w:rsid w:val="000D2236"/>
    <w:rsid w:val="000D23EC"/>
    <w:rsid w:val="000D2B21"/>
    <w:rsid w:val="000D2C2C"/>
    <w:rsid w:val="000D2E9A"/>
    <w:rsid w:val="000D2F32"/>
    <w:rsid w:val="000D30BA"/>
    <w:rsid w:val="000D311A"/>
    <w:rsid w:val="000D323D"/>
    <w:rsid w:val="000D3265"/>
    <w:rsid w:val="000D3545"/>
    <w:rsid w:val="000D3557"/>
    <w:rsid w:val="000D387C"/>
    <w:rsid w:val="000D3B42"/>
    <w:rsid w:val="000D3CE7"/>
    <w:rsid w:val="000D402F"/>
    <w:rsid w:val="000D4031"/>
    <w:rsid w:val="000D4173"/>
    <w:rsid w:val="000D4441"/>
    <w:rsid w:val="000D486C"/>
    <w:rsid w:val="000D49AF"/>
    <w:rsid w:val="000D4AAB"/>
    <w:rsid w:val="000D4C93"/>
    <w:rsid w:val="000D4FFA"/>
    <w:rsid w:val="000D51F6"/>
    <w:rsid w:val="000D53B8"/>
    <w:rsid w:val="000D53ED"/>
    <w:rsid w:val="000D5668"/>
    <w:rsid w:val="000D58AC"/>
    <w:rsid w:val="000D59C9"/>
    <w:rsid w:val="000D5A72"/>
    <w:rsid w:val="000D5B56"/>
    <w:rsid w:val="000D5B5E"/>
    <w:rsid w:val="000D5E09"/>
    <w:rsid w:val="000D6370"/>
    <w:rsid w:val="000D64D0"/>
    <w:rsid w:val="000D6546"/>
    <w:rsid w:val="000D6676"/>
    <w:rsid w:val="000D675F"/>
    <w:rsid w:val="000D6916"/>
    <w:rsid w:val="000D701E"/>
    <w:rsid w:val="000D7105"/>
    <w:rsid w:val="000D7135"/>
    <w:rsid w:val="000D733C"/>
    <w:rsid w:val="000D73A0"/>
    <w:rsid w:val="000D752D"/>
    <w:rsid w:val="000D76DA"/>
    <w:rsid w:val="000D797B"/>
    <w:rsid w:val="000D7D1E"/>
    <w:rsid w:val="000D7DE0"/>
    <w:rsid w:val="000D7F36"/>
    <w:rsid w:val="000E0581"/>
    <w:rsid w:val="000E0675"/>
    <w:rsid w:val="000E0768"/>
    <w:rsid w:val="000E0821"/>
    <w:rsid w:val="000E09CB"/>
    <w:rsid w:val="000E0A5A"/>
    <w:rsid w:val="000E0D7E"/>
    <w:rsid w:val="000E1127"/>
    <w:rsid w:val="000E11E5"/>
    <w:rsid w:val="000E145D"/>
    <w:rsid w:val="000E1463"/>
    <w:rsid w:val="000E146B"/>
    <w:rsid w:val="000E150A"/>
    <w:rsid w:val="000E16EE"/>
    <w:rsid w:val="000E1924"/>
    <w:rsid w:val="000E1A26"/>
    <w:rsid w:val="000E1E6C"/>
    <w:rsid w:val="000E204C"/>
    <w:rsid w:val="000E20FB"/>
    <w:rsid w:val="000E2210"/>
    <w:rsid w:val="000E24AC"/>
    <w:rsid w:val="000E2658"/>
    <w:rsid w:val="000E2746"/>
    <w:rsid w:val="000E274D"/>
    <w:rsid w:val="000E28CF"/>
    <w:rsid w:val="000E2994"/>
    <w:rsid w:val="000E2B4F"/>
    <w:rsid w:val="000E2B58"/>
    <w:rsid w:val="000E2C17"/>
    <w:rsid w:val="000E2E60"/>
    <w:rsid w:val="000E2ECD"/>
    <w:rsid w:val="000E2F36"/>
    <w:rsid w:val="000E2F64"/>
    <w:rsid w:val="000E2F69"/>
    <w:rsid w:val="000E33EB"/>
    <w:rsid w:val="000E3525"/>
    <w:rsid w:val="000E357B"/>
    <w:rsid w:val="000E39E2"/>
    <w:rsid w:val="000E3C20"/>
    <w:rsid w:val="000E3C34"/>
    <w:rsid w:val="000E3D09"/>
    <w:rsid w:val="000E4110"/>
    <w:rsid w:val="000E457D"/>
    <w:rsid w:val="000E45E6"/>
    <w:rsid w:val="000E46F8"/>
    <w:rsid w:val="000E4752"/>
    <w:rsid w:val="000E4866"/>
    <w:rsid w:val="000E48FF"/>
    <w:rsid w:val="000E4991"/>
    <w:rsid w:val="000E4B5A"/>
    <w:rsid w:val="000E4BC2"/>
    <w:rsid w:val="000E4CD4"/>
    <w:rsid w:val="000E4D70"/>
    <w:rsid w:val="000E4F5F"/>
    <w:rsid w:val="000E4FCB"/>
    <w:rsid w:val="000E4FE0"/>
    <w:rsid w:val="000E513D"/>
    <w:rsid w:val="000E5277"/>
    <w:rsid w:val="000E540F"/>
    <w:rsid w:val="000E5442"/>
    <w:rsid w:val="000E5624"/>
    <w:rsid w:val="000E56CE"/>
    <w:rsid w:val="000E5762"/>
    <w:rsid w:val="000E5C43"/>
    <w:rsid w:val="000E5C4A"/>
    <w:rsid w:val="000E5D3B"/>
    <w:rsid w:val="000E5E34"/>
    <w:rsid w:val="000E5E42"/>
    <w:rsid w:val="000E5E74"/>
    <w:rsid w:val="000E5F6D"/>
    <w:rsid w:val="000E5FCF"/>
    <w:rsid w:val="000E6067"/>
    <w:rsid w:val="000E6231"/>
    <w:rsid w:val="000E63A5"/>
    <w:rsid w:val="000E6478"/>
    <w:rsid w:val="000E64B3"/>
    <w:rsid w:val="000E6815"/>
    <w:rsid w:val="000E6A6A"/>
    <w:rsid w:val="000E6ACC"/>
    <w:rsid w:val="000E6AD4"/>
    <w:rsid w:val="000E6CB2"/>
    <w:rsid w:val="000E6E04"/>
    <w:rsid w:val="000E6E77"/>
    <w:rsid w:val="000E6F11"/>
    <w:rsid w:val="000E7452"/>
    <w:rsid w:val="000E7602"/>
    <w:rsid w:val="000E78FA"/>
    <w:rsid w:val="000E7A41"/>
    <w:rsid w:val="000E7A84"/>
    <w:rsid w:val="000E7DFD"/>
    <w:rsid w:val="000F001D"/>
    <w:rsid w:val="000F01BF"/>
    <w:rsid w:val="000F030C"/>
    <w:rsid w:val="000F03CE"/>
    <w:rsid w:val="000F05D4"/>
    <w:rsid w:val="000F0940"/>
    <w:rsid w:val="000F0BAC"/>
    <w:rsid w:val="000F0CB8"/>
    <w:rsid w:val="000F0D94"/>
    <w:rsid w:val="000F0E3E"/>
    <w:rsid w:val="000F0EE3"/>
    <w:rsid w:val="000F0EF0"/>
    <w:rsid w:val="000F1028"/>
    <w:rsid w:val="000F112E"/>
    <w:rsid w:val="000F1168"/>
    <w:rsid w:val="000F148B"/>
    <w:rsid w:val="000F1535"/>
    <w:rsid w:val="000F1573"/>
    <w:rsid w:val="000F1655"/>
    <w:rsid w:val="000F165C"/>
    <w:rsid w:val="000F168C"/>
    <w:rsid w:val="000F1A0B"/>
    <w:rsid w:val="000F1A2E"/>
    <w:rsid w:val="000F1D71"/>
    <w:rsid w:val="000F1D80"/>
    <w:rsid w:val="000F1E61"/>
    <w:rsid w:val="000F210D"/>
    <w:rsid w:val="000F2467"/>
    <w:rsid w:val="000F254C"/>
    <w:rsid w:val="000F2574"/>
    <w:rsid w:val="000F2584"/>
    <w:rsid w:val="000F2734"/>
    <w:rsid w:val="000F2BF7"/>
    <w:rsid w:val="000F2D67"/>
    <w:rsid w:val="000F2DF4"/>
    <w:rsid w:val="000F2E1E"/>
    <w:rsid w:val="000F2F14"/>
    <w:rsid w:val="000F2F28"/>
    <w:rsid w:val="000F3179"/>
    <w:rsid w:val="000F321D"/>
    <w:rsid w:val="000F35B8"/>
    <w:rsid w:val="000F362C"/>
    <w:rsid w:val="000F3730"/>
    <w:rsid w:val="000F37E8"/>
    <w:rsid w:val="000F3907"/>
    <w:rsid w:val="000F39FE"/>
    <w:rsid w:val="000F3A35"/>
    <w:rsid w:val="000F3E18"/>
    <w:rsid w:val="000F3F7B"/>
    <w:rsid w:val="000F3FB2"/>
    <w:rsid w:val="000F42CA"/>
    <w:rsid w:val="000F4528"/>
    <w:rsid w:val="000F471B"/>
    <w:rsid w:val="000F49CB"/>
    <w:rsid w:val="000F4C62"/>
    <w:rsid w:val="000F4CE7"/>
    <w:rsid w:val="000F4E63"/>
    <w:rsid w:val="000F4F12"/>
    <w:rsid w:val="000F564D"/>
    <w:rsid w:val="000F574B"/>
    <w:rsid w:val="000F5952"/>
    <w:rsid w:val="000F5B85"/>
    <w:rsid w:val="000F5BC3"/>
    <w:rsid w:val="000F5C83"/>
    <w:rsid w:val="000F5CC9"/>
    <w:rsid w:val="000F5D23"/>
    <w:rsid w:val="000F5F0E"/>
    <w:rsid w:val="000F6011"/>
    <w:rsid w:val="000F628D"/>
    <w:rsid w:val="000F65B2"/>
    <w:rsid w:val="000F666F"/>
    <w:rsid w:val="000F67C9"/>
    <w:rsid w:val="000F690A"/>
    <w:rsid w:val="000F6931"/>
    <w:rsid w:val="000F69BF"/>
    <w:rsid w:val="000F6BAD"/>
    <w:rsid w:val="000F6BF0"/>
    <w:rsid w:val="000F6CDB"/>
    <w:rsid w:val="000F6EE6"/>
    <w:rsid w:val="000F72BE"/>
    <w:rsid w:val="000F739D"/>
    <w:rsid w:val="000F7B6A"/>
    <w:rsid w:val="000F7B73"/>
    <w:rsid w:val="000F7DFA"/>
    <w:rsid w:val="000F7FB4"/>
    <w:rsid w:val="000F7FF4"/>
    <w:rsid w:val="001000D2"/>
    <w:rsid w:val="001001F0"/>
    <w:rsid w:val="00100361"/>
    <w:rsid w:val="00100441"/>
    <w:rsid w:val="001006A9"/>
    <w:rsid w:val="00100B37"/>
    <w:rsid w:val="00100DE4"/>
    <w:rsid w:val="001011D4"/>
    <w:rsid w:val="0010129D"/>
    <w:rsid w:val="0010133A"/>
    <w:rsid w:val="00101681"/>
    <w:rsid w:val="0010187C"/>
    <w:rsid w:val="001019F0"/>
    <w:rsid w:val="00101A0F"/>
    <w:rsid w:val="00101E52"/>
    <w:rsid w:val="00101E5C"/>
    <w:rsid w:val="001020B9"/>
    <w:rsid w:val="001022C3"/>
    <w:rsid w:val="001024B7"/>
    <w:rsid w:val="001024C9"/>
    <w:rsid w:val="001024E3"/>
    <w:rsid w:val="00102AD4"/>
    <w:rsid w:val="00102B53"/>
    <w:rsid w:val="00102B6E"/>
    <w:rsid w:val="00102CDC"/>
    <w:rsid w:val="00102D20"/>
    <w:rsid w:val="00102E78"/>
    <w:rsid w:val="00102ED2"/>
    <w:rsid w:val="00103210"/>
    <w:rsid w:val="00103325"/>
    <w:rsid w:val="00103638"/>
    <w:rsid w:val="001038D2"/>
    <w:rsid w:val="001039D0"/>
    <w:rsid w:val="0010436A"/>
    <w:rsid w:val="00104370"/>
    <w:rsid w:val="001043E7"/>
    <w:rsid w:val="00104541"/>
    <w:rsid w:val="001048B4"/>
    <w:rsid w:val="00104A4C"/>
    <w:rsid w:val="00104AEB"/>
    <w:rsid w:val="00104CD8"/>
    <w:rsid w:val="00104F87"/>
    <w:rsid w:val="00105190"/>
    <w:rsid w:val="0010569A"/>
    <w:rsid w:val="00105A70"/>
    <w:rsid w:val="00105C31"/>
    <w:rsid w:val="00105D6C"/>
    <w:rsid w:val="00105E95"/>
    <w:rsid w:val="001060C2"/>
    <w:rsid w:val="0010631F"/>
    <w:rsid w:val="00106502"/>
    <w:rsid w:val="00106806"/>
    <w:rsid w:val="00106846"/>
    <w:rsid w:val="00106847"/>
    <w:rsid w:val="0010687C"/>
    <w:rsid w:val="00106C8B"/>
    <w:rsid w:val="00106F71"/>
    <w:rsid w:val="0010736A"/>
    <w:rsid w:val="0010739F"/>
    <w:rsid w:val="0010744A"/>
    <w:rsid w:val="001075AA"/>
    <w:rsid w:val="001076C4"/>
    <w:rsid w:val="001077DF"/>
    <w:rsid w:val="00107CE2"/>
    <w:rsid w:val="00107D4C"/>
    <w:rsid w:val="00107E09"/>
    <w:rsid w:val="0011002E"/>
    <w:rsid w:val="00110300"/>
    <w:rsid w:val="00110321"/>
    <w:rsid w:val="0011034A"/>
    <w:rsid w:val="00110493"/>
    <w:rsid w:val="0011084B"/>
    <w:rsid w:val="00110951"/>
    <w:rsid w:val="00110B2A"/>
    <w:rsid w:val="00110BB3"/>
    <w:rsid w:val="00110DBD"/>
    <w:rsid w:val="00111067"/>
    <w:rsid w:val="001111EC"/>
    <w:rsid w:val="001111F6"/>
    <w:rsid w:val="00111330"/>
    <w:rsid w:val="00111791"/>
    <w:rsid w:val="001117D4"/>
    <w:rsid w:val="001117FB"/>
    <w:rsid w:val="00111D03"/>
    <w:rsid w:val="00111DC1"/>
    <w:rsid w:val="00111E80"/>
    <w:rsid w:val="00111EA5"/>
    <w:rsid w:val="001120D4"/>
    <w:rsid w:val="00112557"/>
    <w:rsid w:val="001126A4"/>
    <w:rsid w:val="00112737"/>
    <w:rsid w:val="001129A4"/>
    <w:rsid w:val="00112A74"/>
    <w:rsid w:val="00112E56"/>
    <w:rsid w:val="00112E75"/>
    <w:rsid w:val="001131D8"/>
    <w:rsid w:val="00113220"/>
    <w:rsid w:val="00113356"/>
    <w:rsid w:val="00113386"/>
    <w:rsid w:val="00113500"/>
    <w:rsid w:val="0011354B"/>
    <w:rsid w:val="00113AEE"/>
    <w:rsid w:val="00114060"/>
    <w:rsid w:val="00114114"/>
    <w:rsid w:val="00114380"/>
    <w:rsid w:val="00114433"/>
    <w:rsid w:val="00114473"/>
    <w:rsid w:val="00114599"/>
    <w:rsid w:val="00114616"/>
    <w:rsid w:val="00114A20"/>
    <w:rsid w:val="00114CE3"/>
    <w:rsid w:val="00114DD3"/>
    <w:rsid w:val="00114F26"/>
    <w:rsid w:val="00114FF7"/>
    <w:rsid w:val="001151C0"/>
    <w:rsid w:val="0011596F"/>
    <w:rsid w:val="001161CD"/>
    <w:rsid w:val="001162D9"/>
    <w:rsid w:val="001165C4"/>
    <w:rsid w:val="001167EC"/>
    <w:rsid w:val="0011688C"/>
    <w:rsid w:val="00116B22"/>
    <w:rsid w:val="00116C17"/>
    <w:rsid w:val="0011726B"/>
    <w:rsid w:val="0011735B"/>
    <w:rsid w:val="001175F9"/>
    <w:rsid w:val="0011763A"/>
    <w:rsid w:val="00117847"/>
    <w:rsid w:val="00117AAF"/>
    <w:rsid w:val="00117B21"/>
    <w:rsid w:val="00117BD5"/>
    <w:rsid w:val="00117C43"/>
    <w:rsid w:val="00117DA7"/>
    <w:rsid w:val="001205D9"/>
    <w:rsid w:val="001206AB"/>
    <w:rsid w:val="001206E9"/>
    <w:rsid w:val="00120956"/>
    <w:rsid w:val="00120BC9"/>
    <w:rsid w:val="00120D9A"/>
    <w:rsid w:val="0012130C"/>
    <w:rsid w:val="00121347"/>
    <w:rsid w:val="00121474"/>
    <w:rsid w:val="001218A8"/>
    <w:rsid w:val="00121BFA"/>
    <w:rsid w:val="00121DE6"/>
    <w:rsid w:val="00121E74"/>
    <w:rsid w:val="00121EB6"/>
    <w:rsid w:val="00121F46"/>
    <w:rsid w:val="00122878"/>
    <w:rsid w:val="001228F4"/>
    <w:rsid w:val="00122CA5"/>
    <w:rsid w:val="00122D3D"/>
    <w:rsid w:val="00122E0D"/>
    <w:rsid w:val="00122F9E"/>
    <w:rsid w:val="00122FF6"/>
    <w:rsid w:val="0012304C"/>
    <w:rsid w:val="00123079"/>
    <w:rsid w:val="001231AC"/>
    <w:rsid w:val="00123226"/>
    <w:rsid w:val="00123270"/>
    <w:rsid w:val="00123670"/>
    <w:rsid w:val="00123785"/>
    <w:rsid w:val="001238EF"/>
    <w:rsid w:val="00123A10"/>
    <w:rsid w:val="00123A6E"/>
    <w:rsid w:val="00123B25"/>
    <w:rsid w:val="00123DBE"/>
    <w:rsid w:val="00123E7C"/>
    <w:rsid w:val="00123E9C"/>
    <w:rsid w:val="00123F48"/>
    <w:rsid w:val="00124357"/>
    <w:rsid w:val="0012441B"/>
    <w:rsid w:val="001248AD"/>
    <w:rsid w:val="0012491B"/>
    <w:rsid w:val="00124A44"/>
    <w:rsid w:val="00124D0D"/>
    <w:rsid w:val="00124D1A"/>
    <w:rsid w:val="00125082"/>
    <w:rsid w:val="001250CF"/>
    <w:rsid w:val="001251CD"/>
    <w:rsid w:val="00125430"/>
    <w:rsid w:val="001255F4"/>
    <w:rsid w:val="0012568E"/>
    <w:rsid w:val="00125693"/>
    <w:rsid w:val="0012570D"/>
    <w:rsid w:val="001258A1"/>
    <w:rsid w:val="00125DB0"/>
    <w:rsid w:val="00125F35"/>
    <w:rsid w:val="00125FD4"/>
    <w:rsid w:val="001263BE"/>
    <w:rsid w:val="001265B8"/>
    <w:rsid w:val="001265F8"/>
    <w:rsid w:val="00126607"/>
    <w:rsid w:val="0012673A"/>
    <w:rsid w:val="001267DD"/>
    <w:rsid w:val="001269A1"/>
    <w:rsid w:val="00126C4F"/>
    <w:rsid w:val="00126DC8"/>
    <w:rsid w:val="00127143"/>
    <w:rsid w:val="0012765F"/>
    <w:rsid w:val="001277B3"/>
    <w:rsid w:val="0012782A"/>
    <w:rsid w:val="00127834"/>
    <w:rsid w:val="0012786A"/>
    <w:rsid w:val="001278CF"/>
    <w:rsid w:val="00127E2B"/>
    <w:rsid w:val="00130289"/>
    <w:rsid w:val="001303CB"/>
    <w:rsid w:val="00130410"/>
    <w:rsid w:val="00130484"/>
    <w:rsid w:val="00130952"/>
    <w:rsid w:val="00130A0C"/>
    <w:rsid w:val="00130E30"/>
    <w:rsid w:val="0013125A"/>
    <w:rsid w:val="001313F2"/>
    <w:rsid w:val="00131589"/>
    <w:rsid w:val="00131748"/>
    <w:rsid w:val="0013176A"/>
    <w:rsid w:val="00131C7F"/>
    <w:rsid w:val="00131CE5"/>
    <w:rsid w:val="00131ECF"/>
    <w:rsid w:val="00131FE4"/>
    <w:rsid w:val="00132099"/>
    <w:rsid w:val="001321D7"/>
    <w:rsid w:val="0013277D"/>
    <w:rsid w:val="00132956"/>
    <w:rsid w:val="00132D54"/>
    <w:rsid w:val="00132DF3"/>
    <w:rsid w:val="00132E01"/>
    <w:rsid w:val="00132FC6"/>
    <w:rsid w:val="0013339C"/>
    <w:rsid w:val="0013342F"/>
    <w:rsid w:val="00133907"/>
    <w:rsid w:val="00133AFD"/>
    <w:rsid w:val="00133C0D"/>
    <w:rsid w:val="00133DCB"/>
    <w:rsid w:val="00133E0D"/>
    <w:rsid w:val="0013432F"/>
    <w:rsid w:val="00134586"/>
    <w:rsid w:val="0013472F"/>
    <w:rsid w:val="00134B30"/>
    <w:rsid w:val="00134CEC"/>
    <w:rsid w:val="001351E5"/>
    <w:rsid w:val="0013531C"/>
    <w:rsid w:val="00135321"/>
    <w:rsid w:val="00135410"/>
    <w:rsid w:val="00135425"/>
    <w:rsid w:val="00135586"/>
    <w:rsid w:val="0013560A"/>
    <w:rsid w:val="0013563B"/>
    <w:rsid w:val="00135921"/>
    <w:rsid w:val="0013597F"/>
    <w:rsid w:val="00135A3A"/>
    <w:rsid w:val="00135CEE"/>
    <w:rsid w:val="00135D73"/>
    <w:rsid w:val="001360B8"/>
    <w:rsid w:val="00136106"/>
    <w:rsid w:val="00136236"/>
    <w:rsid w:val="00136453"/>
    <w:rsid w:val="00136555"/>
    <w:rsid w:val="0013667E"/>
    <w:rsid w:val="001366CC"/>
    <w:rsid w:val="0013675F"/>
    <w:rsid w:val="0013677C"/>
    <w:rsid w:val="00136AA1"/>
    <w:rsid w:val="00136B13"/>
    <w:rsid w:val="00136C9D"/>
    <w:rsid w:val="00136E37"/>
    <w:rsid w:val="00136F01"/>
    <w:rsid w:val="0013702E"/>
    <w:rsid w:val="001370A3"/>
    <w:rsid w:val="001370B4"/>
    <w:rsid w:val="00137379"/>
    <w:rsid w:val="00137506"/>
    <w:rsid w:val="00137890"/>
    <w:rsid w:val="001378DF"/>
    <w:rsid w:val="00137C07"/>
    <w:rsid w:val="00137D4F"/>
    <w:rsid w:val="00137E1B"/>
    <w:rsid w:val="00137E8C"/>
    <w:rsid w:val="001401A2"/>
    <w:rsid w:val="001401E4"/>
    <w:rsid w:val="001404A5"/>
    <w:rsid w:val="00140565"/>
    <w:rsid w:val="001406BE"/>
    <w:rsid w:val="00140908"/>
    <w:rsid w:val="00140A99"/>
    <w:rsid w:val="00140AAC"/>
    <w:rsid w:val="00140BC7"/>
    <w:rsid w:val="00140D2E"/>
    <w:rsid w:val="00140E8A"/>
    <w:rsid w:val="00140F82"/>
    <w:rsid w:val="001412E0"/>
    <w:rsid w:val="0014148D"/>
    <w:rsid w:val="00141597"/>
    <w:rsid w:val="0014176B"/>
    <w:rsid w:val="00141C44"/>
    <w:rsid w:val="00141F89"/>
    <w:rsid w:val="00142071"/>
    <w:rsid w:val="001420E6"/>
    <w:rsid w:val="0014224D"/>
    <w:rsid w:val="00142254"/>
    <w:rsid w:val="00142825"/>
    <w:rsid w:val="00142F72"/>
    <w:rsid w:val="00142FEB"/>
    <w:rsid w:val="001432CC"/>
    <w:rsid w:val="0014334E"/>
    <w:rsid w:val="0014366A"/>
    <w:rsid w:val="001437A5"/>
    <w:rsid w:val="00143AF1"/>
    <w:rsid w:val="00143C58"/>
    <w:rsid w:val="00143D5D"/>
    <w:rsid w:val="001441C8"/>
    <w:rsid w:val="00144310"/>
    <w:rsid w:val="00144571"/>
    <w:rsid w:val="0014460D"/>
    <w:rsid w:val="00144638"/>
    <w:rsid w:val="00144651"/>
    <w:rsid w:val="0014493C"/>
    <w:rsid w:val="00144A05"/>
    <w:rsid w:val="00144BBF"/>
    <w:rsid w:val="00144D02"/>
    <w:rsid w:val="00144D2F"/>
    <w:rsid w:val="00144D44"/>
    <w:rsid w:val="00144DCC"/>
    <w:rsid w:val="00144FBD"/>
    <w:rsid w:val="00144FEE"/>
    <w:rsid w:val="00145315"/>
    <w:rsid w:val="001454F4"/>
    <w:rsid w:val="001455ED"/>
    <w:rsid w:val="001456BF"/>
    <w:rsid w:val="001456C7"/>
    <w:rsid w:val="001457EE"/>
    <w:rsid w:val="00145A59"/>
    <w:rsid w:val="001460E5"/>
    <w:rsid w:val="00146269"/>
    <w:rsid w:val="00146366"/>
    <w:rsid w:val="00146518"/>
    <w:rsid w:val="001465C6"/>
    <w:rsid w:val="00146666"/>
    <w:rsid w:val="00146AA5"/>
    <w:rsid w:val="00146CF8"/>
    <w:rsid w:val="00146EF6"/>
    <w:rsid w:val="00146F4F"/>
    <w:rsid w:val="00146F66"/>
    <w:rsid w:val="00147092"/>
    <w:rsid w:val="0014721C"/>
    <w:rsid w:val="00147290"/>
    <w:rsid w:val="00147660"/>
    <w:rsid w:val="001476F6"/>
    <w:rsid w:val="00147751"/>
    <w:rsid w:val="00147753"/>
    <w:rsid w:val="00147973"/>
    <w:rsid w:val="00147A38"/>
    <w:rsid w:val="00147DF5"/>
    <w:rsid w:val="00147F58"/>
    <w:rsid w:val="001500B6"/>
    <w:rsid w:val="00150249"/>
    <w:rsid w:val="00150894"/>
    <w:rsid w:val="001509C1"/>
    <w:rsid w:val="001509E9"/>
    <w:rsid w:val="00150A8B"/>
    <w:rsid w:val="00150B2F"/>
    <w:rsid w:val="00150BA1"/>
    <w:rsid w:val="00150BD2"/>
    <w:rsid w:val="00150CA2"/>
    <w:rsid w:val="00150DB0"/>
    <w:rsid w:val="00150EC2"/>
    <w:rsid w:val="00150EE2"/>
    <w:rsid w:val="00151055"/>
    <w:rsid w:val="00151B37"/>
    <w:rsid w:val="00151BD9"/>
    <w:rsid w:val="00151F50"/>
    <w:rsid w:val="00151FDF"/>
    <w:rsid w:val="001528CC"/>
    <w:rsid w:val="00153133"/>
    <w:rsid w:val="00153239"/>
    <w:rsid w:val="001533EA"/>
    <w:rsid w:val="00153586"/>
    <w:rsid w:val="0015365D"/>
    <w:rsid w:val="001536D1"/>
    <w:rsid w:val="00153AC5"/>
    <w:rsid w:val="00153B98"/>
    <w:rsid w:val="00153BE1"/>
    <w:rsid w:val="00153E15"/>
    <w:rsid w:val="00153FDC"/>
    <w:rsid w:val="0015400F"/>
    <w:rsid w:val="00154389"/>
    <w:rsid w:val="00154465"/>
    <w:rsid w:val="0015463E"/>
    <w:rsid w:val="001546BB"/>
    <w:rsid w:val="0015499C"/>
    <w:rsid w:val="00154B16"/>
    <w:rsid w:val="00154CAB"/>
    <w:rsid w:val="00154CE9"/>
    <w:rsid w:val="0015512A"/>
    <w:rsid w:val="0015558B"/>
    <w:rsid w:val="0015558E"/>
    <w:rsid w:val="001555C3"/>
    <w:rsid w:val="001558BD"/>
    <w:rsid w:val="001558E2"/>
    <w:rsid w:val="00156130"/>
    <w:rsid w:val="001562A9"/>
    <w:rsid w:val="0015630F"/>
    <w:rsid w:val="0015635E"/>
    <w:rsid w:val="0015638A"/>
    <w:rsid w:val="001565DF"/>
    <w:rsid w:val="0015663E"/>
    <w:rsid w:val="001566C5"/>
    <w:rsid w:val="001566E6"/>
    <w:rsid w:val="00156BD6"/>
    <w:rsid w:val="00156D97"/>
    <w:rsid w:val="00157097"/>
    <w:rsid w:val="001570D7"/>
    <w:rsid w:val="001570FC"/>
    <w:rsid w:val="001572C4"/>
    <w:rsid w:val="00157462"/>
    <w:rsid w:val="00157489"/>
    <w:rsid w:val="001575AC"/>
    <w:rsid w:val="00157638"/>
    <w:rsid w:val="00157884"/>
    <w:rsid w:val="001579E8"/>
    <w:rsid w:val="00157C9F"/>
    <w:rsid w:val="00160087"/>
    <w:rsid w:val="0016026D"/>
    <w:rsid w:val="00160541"/>
    <w:rsid w:val="001607E3"/>
    <w:rsid w:val="00160CA5"/>
    <w:rsid w:val="00160CD0"/>
    <w:rsid w:val="00161053"/>
    <w:rsid w:val="001611E7"/>
    <w:rsid w:val="00161252"/>
    <w:rsid w:val="0016127F"/>
    <w:rsid w:val="0016130D"/>
    <w:rsid w:val="00161411"/>
    <w:rsid w:val="00161421"/>
    <w:rsid w:val="001617B7"/>
    <w:rsid w:val="00161810"/>
    <w:rsid w:val="0016184E"/>
    <w:rsid w:val="00161AAD"/>
    <w:rsid w:val="0016233E"/>
    <w:rsid w:val="00162362"/>
    <w:rsid w:val="0016251C"/>
    <w:rsid w:val="00162718"/>
    <w:rsid w:val="001628C4"/>
    <w:rsid w:val="00162C70"/>
    <w:rsid w:val="00162D27"/>
    <w:rsid w:val="00162D82"/>
    <w:rsid w:val="00162ED7"/>
    <w:rsid w:val="001630BE"/>
    <w:rsid w:val="001630EB"/>
    <w:rsid w:val="00163122"/>
    <w:rsid w:val="001631B7"/>
    <w:rsid w:val="001639FC"/>
    <w:rsid w:val="00163DDB"/>
    <w:rsid w:val="00163EA4"/>
    <w:rsid w:val="0016409E"/>
    <w:rsid w:val="001641DD"/>
    <w:rsid w:val="0016460B"/>
    <w:rsid w:val="00164755"/>
    <w:rsid w:val="00164B26"/>
    <w:rsid w:val="00164BDE"/>
    <w:rsid w:val="00164CA4"/>
    <w:rsid w:val="00164D9D"/>
    <w:rsid w:val="00164DD0"/>
    <w:rsid w:val="00164E0A"/>
    <w:rsid w:val="00164E2C"/>
    <w:rsid w:val="0016501F"/>
    <w:rsid w:val="00165119"/>
    <w:rsid w:val="001651BE"/>
    <w:rsid w:val="001652AD"/>
    <w:rsid w:val="001652F5"/>
    <w:rsid w:val="0016534C"/>
    <w:rsid w:val="001653D4"/>
    <w:rsid w:val="00166016"/>
    <w:rsid w:val="00166337"/>
    <w:rsid w:val="0016664D"/>
    <w:rsid w:val="0016698B"/>
    <w:rsid w:val="00166BB9"/>
    <w:rsid w:val="00166C27"/>
    <w:rsid w:val="00166D8F"/>
    <w:rsid w:val="00166E26"/>
    <w:rsid w:val="00166E3F"/>
    <w:rsid w:val="0016702D"/>
    <w:rsid w:val="001671AE"/>
    <w:rsid w:val="0016730A"/>
    <w:rsid w:val="0016735C"/>
    <w:rsid w:val="001675E9"/>
    <w:rsid w:val="00167615"/>
    <w:rsid w:val="00167633"/>
    <w:rsid w:val="00167927"/>
    <w:rsid w:val="00167B8B"/>
    <w:rsid w:val="00167C11"/>
    <w:rsid w:val="00167E54"/>
    <w:rsid w:val="00170040"/>
    <w:rsid w:val="0017024A"/>
    <w:rsid w:val="0017042B"/>
    <w:rsid w:val="00170592"/>
    <w:rsid w:val="00170619"/>
    <w:rsid w:val="0017094B"/>
    <w:rsid w:val="00170A73"/>
    <w:rsid w:val="00170B91"/>
    <w:rsid w:val="00170CBC"/>
    <w:rsid w:val="00170CE3"/>
    <w:rsid w:val="00170DF5"/>
    <w:rsid w:val="0017108E"/>
    <w:rsid w:val="001710D4"/>
    <w:rsid w:val="001711F2"/>
    <w:rsid w:val="001716F3"/>
    <w:rsid w:val="00171707"/>
    <w:rsid w:val="001717D3"/>
    <w:rsid w:val="0017195F"/>
    <w:rsid w:val="00171A67"/>
    <w:rsid w:val="00171CA1"/>
    <w:rsid w:val="00171D92"/>
    <w:rsid w:val="00171E98"/>
    <w:rsid w:val="00172084"/>
    <w:rsid w:val="0017234E"/>
    <w:rsid w:val="00172678"/>
    <w:rsid w:val="001728D9"/>
    <w:rsid w:val="0017297B"/>
    <w:rsid w:val="001729AC"/>
    <w:rsid w:val="00172AC2"/>
    <w:rsid w:val="00172BEA"/>
    <w:rsid w:val="00172F50"/>
    <w:rsid w:val="00172F51"/>
    <w:rsid w:val="00173359"/>
    <w:rsid w:val="00173391"/>
    <w:rsid w:val="00173403"/>
    <w:rsid w:val="001735D0"/>
    <w:rsid w:val="0017369C"/>
    <w:rsid w:val="00173814"/>
    <w:rsid w:val="00173AB7"/>
    <w:rsid w:val="00173B22"/>
    <w:rsid w:val="00173BC7"/>
    <w:rsid w:val="00173D3D"/>
    <w:rsid w:val="00173DFA"/>
    <w:rsid w:val="00173EAD"/>
    <w:rsid w:val="0017406D"/>
    <w:rsid w:val="00174136"/>
    <w:rsid w:val="0017464D"/>
    <w:rsid w:val="0017471D"/>
    <w:rsid w:val="001749B1"/>
    <w:rsid w:val="001749F7"/>
    <w:rsid w:val="00174B6E"/>
    <w:rsid w:val="00175040"/>
    <w:rsid w:val="0017514C"/>
    <w:rsid w:val="0017548C"/>
    <w:rsid w:val="001755E0"/>
    <w:rsid w:val="00175A1A"/>
    <w:rsid w:val="00175A27"/>
    <w:rsid w:val="00175B4C"/>
    <w:rsid w:val="00175BD7"/>
    <w:rsid w:val="00175FF5"/>
    <w:rsid w:val="00176197"/>
    <w:rsid w:val="001761B8"/>
    <w:rsid w:val="0017626B"/>
    <w:rsid w:val="00176438"/>
    <w:rsid w:val="00176455"/>
    <w:rsid w:val="001767C5"/>
    <w:rsid w:val="00176B26"/>
    <w:rsid w:val="00176B70"/>
    <w:rsid w:val="00176B81"/>
    <w:rsid w:val="00176CE1"/>
    <w:rsid w:val="00176D75"/>
    <w:rsid w:val="00176F5E"/>
    <w:rsid w:val="00177301"/>
    <w:rsid w:val="0017753D"/>
    <w:rsid w:val="00177569"/>
    <w:rsid w:val="00177892"/>
    <w:rsid w:val="0017789E"/>
    <w:rsid w:val="001779C4"/>
    <w:rsid w:val="00177A4F"/>
    <w:rsid w:val="00177BB7"/>
    <w:rsid w:val="00177C7A"/>
    <w:rsid w:val="00177D79"/>
    <w:rsid w:val="00180005"/>
    <w:rsid w:val="00180496"/>
    <w:rsid w:val="00180654"/>
    <w:rsid w:val="0018079F"/>
    <w:rsid w:val="00180937"/>
    <w:rsid w:val="00180949"/>
    <w:rsid w:val="001809A2"/>
    <w:rsid w:val="00180DD6"/>
    <w:rsid w:val="00180E11"/>
    <w:rsid w:val="00180F99"/>
    <w:rsid w:val="001814F6"/>
    <w:rsid w:val="0018152F"/>
    <w:rsid w:val="001818CF"/>
    <w:rsid w:val="00181918"/>
    <w:rsid w:val="00181E2A"/>
    <w:rsid w:val="00182221"/>
    <w:rsid w:val="0018222E"/>
    <w:rsid w:val="00182299"/>
    <w:rsid w:val="001824D6"/>
    <w:rsid w:val="001824F9"/>
    <w:rsid w:val="0018254E"/>
    <w:rsid w:val="00182601"/>
    <w:rsid w:val="001826A0"/>
    <w:rsid w:val="001829F5"/>
    <w:rsid w:val="00182A9B"/>
    <w:rsid w:val="00182BCD"/>
    <w:rsid w:val="00182C21"/>
    <w:rsid w:val="00182CD0"/>
    <w:rsid w:val="00182EC6"/>
    <w:rsid w:val="00183233"/>
    <w:rsid w:val="0018337D"/>
    <w:rsid w:val="0018349A"/>
    <w:rsid w:val="0018395E"/>
    <w:rsid w:val="00183C8D"/>
    <w:rsid w:val="00183D50"/>
    <w:rsid w:val="001840A1"/>
    <w:rsid w:val="00184183"/>
    <w:rsid w:val="001842D6"/>
    <w:rsid w:val="0018431E"/>
    <w:rsid w:val="0018433F"/>
    <w:rsid w:val="001847A2"/>
    <w:rsid w:val="00184960"/>
    <w:rsid w:val="00184C6B"/>
    <w:rsid w:val="00184CFD"/>
    <w:rsid w:val="001851E4"/>
    <w:rsid w:val="001853E0"/>
    <w:rsid w:val="00185534"/>
    <w:rsid w:val="00185598"/>
    <w:rsid w:val="001857CF"/>
    <w:rsid w:val="0018587D"/>
    <w:rsid w:val="00185ABE"/>
    <w:rsid w:val="00185D08"/>
    <w:rsid w:val="00185D09"/>
    <w:rsid w:val="00185FC5"/>
    <w:rsid w:val="001860EF"/>
    <w:rsid w:val="00186123"/>
    <w:rsid w:val="001861EC"/>
    <w:rsid w:val="0018650E"/>
    <w:rsid w:val="0018652A"/>
    <w:rsid w:val="001865D2"/>
    <w:rsid w:val="001865DC"/>
    <w:rsid w:val="00186649"/>
    <w:rsid w:val="0018672A"/>
    <w:rsid w:val="00186734"/>
    <w:rsid w:val="00186792"/>
    <w:rsid w:val="001867C6"/>
    <w:rsid w:val="001869C9"/>
    <w:rsid w:val="00186B94"/>
    <w:rsid w:val="00186F50"/>
    <w:rsid w:val="0018705C"/>
    <w:rsid w:val="00187322"/>
    <w:rsid w:val="0018762B"/>
    <w:rsid w:val="00187992"/>
    <w:rsid w:val="00187A57"/>
    <w:rsid w:val="00187F5C"/>
    <w:rsid w:val="001901E2"/>
    <w:rsid w:val="001902AD"/>
    <w:rsid w:val="001906FC"/>
    <w:rsid w:val="00190856"/>
    <w:rsid w:val="00190881"/>
    <w:rsid w:val="00190A43"/>
    <w:rsid w:val="00190A78"/>
    <w:rsid w:val="00190BFD"/>
    <w:rsid w:val="00190EB8"/>
    <w:rsid w:val="001910A6"/>
    <w:rsid w:val="00191493"/>
    <w:rsid w:val="00191556"/>
    <w:rsid w:val="0019155E"/>
    <w:rsid w:val="0019159D"/>
    <w:rsid w:val="0019171C"/>
    <w:rsid w:val="001918E3"/>
    <w:rsid w:val="00191D85"/>
    <w:rsid w:val="00191FB1"/>
    <w:rsid w:val="00192506"/>
    <w:rsid w:val="0019263D"/>
    <w:rsid w:val="001927AB"/>
    <w:rsid w:val="0019284D"/>
    <w:rsid w:val="00192972"/>
    <w:rsid w:val="00192A36"/>
    <w:rsid w:val="00192AC8"/>
    <w:rsid w:val="00192C1A"/>
    <w:rsid w:val="00192DCE"/>
    <w:rsid w:val="00192F07"/>
    <w:rsid w:val="00193073"/>
    <w:rsid w:val="001930AA"/>
    <w:rsid w:val="0019312C"/>
    <w:rsid w:val="00193500"/>
    <w:rsid w:val="001935E9"/>
    <w:rsid w:val="00193669"/>
    <w:rsid w:val="0019383D"/>
    <w:rsid w:val="001938F2"/>
    <w:rsid w:val="00193950"/>
    <w:rsid w:val="001939CE"/>
    <w:rsid w:val="00193F8F"/>
    <w:rsid w:val="001940DC"/>
    <w:rsid w:val="0019435B"/>
    <w:rsid w:val="00194367"/>
    <w:rsid w:val="001943C8"/>
    <w:rsid w:val="00194511"/>
    <w:rsid w:val="00194518"/>
    <w:rsid w:val="001946A7"/>
    <w:rsid w:val="001946EB"/>
    <w:rsid w:val="00194A90"/>
    <w:rsid w:val="00194C77"/>
    <w:rsid w:val="00194D0A"/>
    <w:rsid w:val="00194E79"/>
    <w:rsid w:val="00194FA2"/>
    <w:rsid w:val="00195214"/>
    <w:rsid w:val="0019522D"/>
    <w:rsid w:val="00195339"/>
    <w:rsid w:val="00195430"/>
    <w:rsid w:val="0019546C"/>
    <w:rsid w:val="00195471"/>
    <w:rsid w:val="0019551C"/>
    <w:rsid w:val="00195BBE"/>
    <w:rsid w:val="00195BD6"/>
    <w:rsid w:val="00196038"/>
    <w:rsid w:val="0019630E"/>
    <w:rsid w:val="001964DE"/>
    <w:rsid w:val="001969AA"/>
    <w:rsid w:val="00196C48"/>
    <w:rsid w:val="00196DA3"/>
    <w:rsid w:val="001971A8"/>
    <w:rsid w:val="001972CF"/>
    <w:rsid w:val="001974A4"/>
    <w:rsid w:val="00197561"/>
    <w:rsid w:val="0019760D"/>
    <w:rsid w:val="001976F1"/>
    <w:rsid w:val="001979D4"/>
    <w:rsid w:val="001979DD"/>
    <w:rsid w:val="00197F78"/>
    <w:rsid w:val="001A0149"/>
    <w:rsid w:val="001A019E"/>
    <w:rsid w:val="001A01A4"/>
    <w:rsid w:val="001A01C1"/>
    <w:rsid w:val="001A0713"/>
    <w:rsid w:val="001A0725"/>
    <w:rsid w:val="001A09BD"/>
    <w:rsid w:val="001A0AF7"/>
    <w:rsid w:val="001A0C3B"/>
    <w:rsid w:val="001A0D45"/>
    <w:rsid w:val="001A0F72"/>
    <w:rsid w:val="001A1005"/>
    <w:rsid w:val="001A1316"/>
    <w:rsid w:val="001A13CD"/>
    <w:rsid w:val="001A13E5"/>
    <w:rsid w:val="001A140C"/>
    <w:rsid w:val="001A164C"/>
    <w:rsid w:val="001A1A13"/>
    <w:rsid w:val="001A1BE0"/>
    <w:rsid w:val="001A24EE"/>
    <w:rsid w:val="001A25A5"/>
    <w:rsid w:val="001A274A"/>
    <w:rsid w:val="001A28D2"/>
    <w:rsid w:val="001A2B2C"/>
    <w:rsid w:val="001A2BA0"/>
    <w:rsid w:val="001A2CD0"/>
    <w:rsid w:val="001A2E15"/>
    <w:rsid w:val="001A312B"/>
    <w:rsid w:val="001A316B"/>
    <w:rsid w:val="001A325D"/>
    <w:rsid w:val="001A3307"/>
    <w:rsid w:val="001A36D3"/>
    <w:rsid w:val="001A3773"/>
    <w:rsid w:val="001A37C1"/>
    <w:rsid w:val="001A3A62"/>
    <w:rsid w:val="001A3B62"/>
    <w:rsid w:val="001A3EF8"/>
    <w:rsid w:val="001A3FE7"/>
    <w:rsid w:val="001A4229"/>
    <w:rsid w:val="001A4390"/>
    <w:rsid w:val="001A43A1"/>
    <w:rsid w:val="001A4474"/>
    <w:rsid w:val="001A47B8"/>
    <w:rsid w:val="001A49F3"/>
    <w:rsid w:val="001A4B2D"/>
    <w:rsid w:val="001A4BFA"/>
    <w:rsid w:val="001A4C73"/>
    <w:rsid w:val="001A4D7B"/>
    <w:rsid w:val="001A4F65"/>
    <w:rsid w:val="001A5425"/>
    <w:rsid w:val="001A54F0"/>
    <w:rsid w:val="001A569C"/>
    <w:rsid w:val="001A5761"/>
    <w:rsid w:val="001A57E0"/>
    <w:rsid w:val="001A57F7"/>
    <w:rsid w:val="001A5932"/>
    <w:rsid w:val="001A5B1B"/>
    <w:rsid w:val="001A5B6A"/>
    <w:rsid w:val="001A5F41"/>
    <w:rsid w:val="001A6323"/>
    <w:rsid w:val="001A63A9"/>
    <w:rsid w:val="001A68DA"/>
    <w:rsid w:val="001A6919"/>
    <w:rsid w:val="001A6A39"/>
    <w:rsid w:val="001A6A67"/>
    <w:rsid w:val="001A6A9A"/>
    <w:rsid w:val="001A6D87"/>
    <w:rsid w:val="001A7018"/>
    <w:rsid w:val="001A72CF"/>
    <w:rsid w:val="001A783B"/>
    <w:rsid w:val="001A7ECA"/>
    <w:rsid w:val="001A7EF0"/>
    <w:rsid w:val="001A7FE2"/>
    <w:rsid w:val="001B0198"/>
    <w:rsid w:val="001B0262"/>
    <w:rsid w:val="001B0668"/>
    <w:rsid w:val="001B0701"/>
    <w:rsid w:val="001B077C"/>
    <w:rsid w:val="001B0941"/>
    <w:rsid w:val="001B0B80"/>
    <w:rsid w:val="001B0CE9"/>
    <w:rsid w:val="001B0D43"/>
    <w:rsid w:val="001B0EA4"/>
    <w:rsid w:val="001B0ED6"/>
    <w:rsid w:val="001B160F"/>
    <w:rsid w:val="001B16E6"/>
    <w:rsid w:val="001B1919"/>
    <w:rsid w:val="001B1C41"/>
    <w:rsid w:val="001B1C46"/>
    <w:rsid w:val="001B2039"/>
    <w:rsid w:val="001B2106"/>
    <w:rsid w:val="001B2407"/>
    <w:rsid w:val="001B2465"/>
    <w:rsid w:val="001B277F"/>
    <w:rsid w:val="001B2AA4"/>
    <w:rsid w:val="001B2E24"/>
    <w:rsid w:val="001B2FBF"/>
    <w:rsid w:val="001B36F6"/>
    <w:rsid w:val="001B39E3"/>
    <w:rsid w:val="001B3CC0"/>
    <w:rsid w:val="001B3DAC"/>
    <w:rsid w:val="001B3E27"/>
    <w:rsid w:val="001B4358"/>
    <w:rsid w:val="001B465A"/>
    <w:rsid w:val="001B47CF"/>
    <w:rsid w:val="001B4AC3"/>
    <w:rsid w:val="001B501E"/>
    <w:rsid w:val="001B51CF"/>
    <w:rsid w:val="001B5280"/>
    <w:rsid w:val="001B5397"/>
    <w:rsid w:val="001B5452"/>
    <w:rsid w:val="001B5743"/>
    <w:rsid w:val="001B58F6"/>
    <w:rsid w:val="001B5E58"/>
    <w:rsid w:val="001B626C"/>
    <w:rsid w:val="001B695C"/>
    <w:rsid w:val="001B69AB"/>
    <w:rsid w:val="001B6A11"/>
    <w:rsid w:val="001B6A1C"/>
    <w:rsid w:val="001B6C21"/>
    <w:rsid w:val="001B6E02"/>
    <w:rsid w:val="001B7066"/>
    <w:rsid w:val="001B73B0"/>
    <w:rsid w:val="001B75AC"/>
    <w:rsid w:val="001B7811"/>
    <w:rsid w:val="001B782A"/>
    <w:rsid w:val="001B7A51"/>
    <w:rsid w:val="001B7C8C"/>
    <w:rsid w:val="001B7C97"/>
    <w:rsid w:val="001B7D0F"/>
    <w:rsid w:val="001C00A4"/>
    <w:rsid w:val="001C01A5"/>
    <w:rsid w:val="001C01BD"/>
    <w:rsid w:val="001C027B"/>
    <w:rsid w:val="001C0965"/>
    <w:rsid w:val="001C0AD3"/>
    <w:rsid w:val="001C0B54"/>
    <w:rsid w:val="001C0C15"/>
    <w:rsid w:val="001C0EC3"/>
    <w:rsid w:val="001C1049"/>
    <w:rsid w:val="001C117A"/>
    <w:rsid w:val="001C11D8"/>
    <w:rsid w:val="001C1297"/>
    <w:rsid w:val="001C1648"/>
    <w:rsid w:val="001C1948"/>
    <w:rsid w:val="001C19D0"/>
    <w:rsid w:val="001C1AD4"/>
    <w:rsid w:val="001C1BE6"/>
    <w:rsid w:val="001C1D57"/>
    <w:rsid w:val="001C1F6A"/>
    <w:rsid w:val="001C236F"/>
    <w:rsid w:val="001C26E8"/>
    <w:rsid w:val="001C29F6"/>
    <w:rsid w:val="001C2A42"/>
    <w:rsid w:val="001C2CD4"/>
    <w:rsid w:val="001C3224"/>
    <w:rsid w:val="001C3523"/>
    <w:rsid w:val="001C35B0"/>
    <w:rsid w:val="001C3919"/>
    <w:rsid w:val="001C3981"/>
    <w:rsid w:val="001C3D3D"/>
    <w:rsid w:val="001C4169"/>
    <w:rsid w:val="001C41E7"/>
    <w:rsid w:val="001C4204"/>
    <w:rsid w:val="001C420C"/>
    <w:rsid w:val="001C4519"/>
    <w:rsid w:val="001C4820"/>
    <w:rsid w:val="001C4A40"/>
    <w:rsid w:val="001C4CAC"/>
    <w:rsid w:val="001C4E49"/>
    <w:rsid w:val="001C4F9E"/>
    <w:rsid w:val="001C5085"/>
    <w:rsid w:val="001C5204"/>
    <w:rsid w:val="001C5436"/>
    <w:rsid w:val="001C5450"/>
    <w:rsid w:val="001C5758"/>
    <w:rsid w:val="001C57A4"/>
    <w:rsid w:val="001C57B4"/>
    <w:rsid w:val="001C5862"/>
    <w:rsid w:val="001C5B5D"/>
    <w:rsid w:val="001C5BC4"/>
    <w:rsid w:val="001C5DE2"/>
    <w:rsid w:val="001C5E49"/>
    <w:rsid w:val="001C63D0"/>
    <w:rsid w:val="001C6548"/>
    <w:rsid w:val="001C654B"/>
    <w:rsid w:val="001C69C0"/>
    <w:rsid w:val="001C6D51"/>
    <w:rsid w:val="001C708A"/>
    <w:rsid w:val="001C7253"/>
    <w:rsid w:val="001C7309"/>
    <w:rsid w:val="001C73D2"/>
    <w:rsid w:val="001C7447"/>
    <w:rsid w:val="001C754F"/>
    <w:rsid w:val="001C76FA"/>
    <w:rsid w:val="001C77E2"/>
    <w:rsid w:val="001C78E7"/>
    <w:rsid w:val="001C7B9F"/>
    <w:rsid w:val="001C7E59"/>
    <w:rsid w:val="001C7FDF"/>
    <w:rsid w:val="001D036A"/>
    <w:rsid w:val="001D03B2"/>
    <w:rsid w:val="001D042C"/>
    <w:rsid w:val="001D0696"/>
    <w:rsid w:val="001D0901"/>
    <w:rsid w:val="001D090E"/>
    <w:rsid w:val="001D0962"/>
    <w:rsid w:val="001D0AA2"/>
    <w:rsid w:val="001D0BC5"/>
    <w:rsid w:val="001D0CFA"/>
    <w:rsid w:val="001D0E03"/>
    <w:rsid w:val="001D0E15"/>
    <w:rsid w:val="001D0E3E"/>
    <w:rsid w:val="001D113C"/>
    <w:rsid w:val="001D116A"/>
    <w:rsid w:val="001D134A"/>
    <w:rsid w:val="001D171C"/>
    <w:rsid w:val="001D181F"/>
    <w:rsid w:val="001D19B5"/>
    <w:rsid w:val="001D1A12"/>
    <w:rsid w:val="001D1CB0"/>
    <w:rsid w:val="001D1D71"/>
    <w:rsid w:val="001D1E34"/>
    <w:rsid w:val="001D1F98"/>
    <w:rsid w:val="001D2172"/>
    <w:rsid w:val="001D21C7"/>
    <w:rsid w:val="001D2338"/>
    <w:rsid w:val="001D245C"/>
    <w:rsid w:val="001D25D2"/>
    <w:rsid w:val="001D276E"/>
    <w:rsid w:val="001D293D"/>
    <w:rsid w:val="001D2CC9"/>
    <w:rsid w:val="001D2D33"/>
    <w:rsid w:val="001D3501"/>
    <w:rsid w:val="001D3B5F"/>
    <w:rsid w:val="001D3F69"/>
    <w:rsid w:val="001D4034"/>
    <w:rsid w:val="001D4222"/>
    <w:rsid w:val="001D4363"/>
    <w:rsid w:val="001D4485"/>
    <w:rsid w:val="001D45FA"/>
    <w:rsid w:val="001D4A4C"/>
    <w:rsid w:val="001D4A77"/>
    <w:rsid w:val="001D4D9B"/>
    <w:rsid w:val="001D4FBB"/>
    <w:rsid w:val="001D51CB"/>
    <w:rsid w:val="001D5210"/>
    <w:rsid w:val="001D5404"/>
    <w:rsid w:val="001D5C3F"/>
    <w:rsid w:val="001D5C7D"/>
    <w:rsid w:val="001D5F4E"/>
    <w:rsid w:val="001D6004"/>
    <w:rsid w:val="001D612C"/>
    <w:rsid w:val="001D625C"/>
    <w:rsid w:val="001D6861"/>
    <w:rsid w:val="001D68C2"/>
    <w:rsid w:val="001D6A64"/>
    <w:rsid w:val="001D6C4E"/>
    <w:rsid w:val="001D6C69"/>
    <w:rsid w:val="001D6E65"/>
    <w:rsid w:val="001D6FCA"/>
    <w:rsid w:val="001D71D5"/>
    <w:rsid w:val="001D72C5"/>
    <w:rsid w:val="001D74B7"/>
    <w:rsid w:val="001D78F8"/>
    <w:rsid w:val="001D793B"/>
    <w:rsid w:val="001D7940"/>
    <w:rsid w:val="001D7AC1"/>
    <w:rsid w:val="001D7BF1"/>
    <w:rsid w:val="001D7C38"/>
    <w:rsid w:val="001D7CC9"/>
    <w:rsid w:val="001D7CCB"/>
    <w:rsid w:val="001D7D8B"/>
    <w:rsid w:val="001D7DA5"/>
    <w:rsid w:val="001E027F"/>
    <w:rsid w:val="001E0405"/>
    <w:rsid w:val="001E0578"/>
    <w:rsid w:val="001E0840"/>
    <w:rsid w:val="001E0B9C"/>
    <w:rsid w:val="001E0D9B"/>
    <w:rsid w:val="001E10AE"/>
    <w:rsid w:val="001E15C1"/>
    <w:rsid w:val="001E16E3"/>
    <w:rsid w:val="001E18F7"/>
    <w:rsid w:val="001E1A2C"/>
    <w:rsid w:val="001E1BEB"/>
    <w:rsid w:val="001E1EB8"/>
    <w:rsid w:val="001E1EC7"/>
    <w:rsid w:val="001E1EF7"/>
    <w:rsid w:val="001E1F95"/>
    <w:rsid w:val="001E1FAC"/>
    <w:rsid w:val="001E201E"/>
    <w:rsid w:val="001E2216"/>
    <w:rsid w:val="001E23B6"/>
    <w:rsid w:val="001E25D1"/>
    <w:rsid w:val="001E2764"/>
    <w:rsid w:val="001E28CF"/>
    <w:rsid w:val="001E28D8"/>
    <w:rsid w:val="001E2958"/>
    <w:rsid w:val="001E3055"/>
    <w:rsid w:val="001E311A"/>
    <w:rsid w:val="001E3170"/>
    <w:rsid w:val="001E347F"/>
    <w:rsid w:val="001E349D"/>
    <w:rsid w:val="001E36E3"/>
    <w:rsid w:val="001E3998"/>
    <w:rsid w:val="001E3C50"/>
    <w:rsid w:val="001E3D14"/>
    <w:rsid w:val="001E3F9E"/>
    <w:rsid w:val="001E4312"/>
    <w:rsid w:val="001E449E"/>
    <w:rsid w:val="001E44C8"/>
    <w:rsid w:val="001E4873"/>
    <w:rsid w:val="001E4AE1"/>
    <w:rsid w:val="001E4B44"/>
    <w:rsid w:val="001E4BCB"/>
    <w:rsid w:val="001E4CA3"/>
    <w:rsid w:val="001E4E5F"/>
    <w:rsid w:val="001E4EA2"/>
    <w:rsid w:val="001E4EAB"/>
    <w:rsid w:val="001E4EE5"/>
    <w:rsid w:val="001E515D"/>
    <w:rsid w:val="001E51A4"/>
    <w:rsid w:val="001E5316"/>
    <w:rsid w:val="001E548B"/>
    <w:rsid w:val="001E558A"/>
    <w:rsid w:val="001E55D4"/>
    <w:rsid w:val="001E580B"/>
    <w:rsid w:val="001E5BB8"/>
    <w:rsid w:val="001E5C93"/>
    <w:rsid w:val="001E5DD6"/>
    <w:rsid w:val="001E6051"/>
    <w:rsid w:val="001E6296"/>
    <w:rsid w:val="001E63E0"/>
    <w:rsid w:val="001E66AF"/>
    <w:rsid w:val="001E6701"/>
    <w:rsid w:val="001E6864"/>
    <w:rsid w:val="001E6C71"/>
    <w:rsid w:val="001E70B0"/>
    <w:rsid w:val="001E70E7"/>
    <w:rsid w:val="001E72BB"/>
    <w:rsid w:val="001E73CC"/>
    <w:rsid w:val="001E7506"/>
    <w:rsid w:val="001E7548"/>
    <w:rsid w:val="001E7565"/>
    <w:rsid w:val="001E796C"/>
    <w:rsid w:val="001E79A3"/>
    <w:rsid w:val="001E7B7A"/>
    <w:rsid w:val="001E7DEC"/>
    <w:rsid w:val="001E7E55"/>
    <w:rsid w:val="001F020F"/>
    <w:rsid w:val="001F03CA"/>
    <w:rsid w:val="001F0526"/>
    <w:rsid w:val="001F05CE"/>
    <w:rsid w:val="001F0646"/>
    <w:rsid w:val="001F0A8C"/>
    <w:rsid w:val="001F0A97"/>
    <w:rsid w:val="001F0D84"/>
    <w:rsid w:val="001F0E30"/>
    <w:rsid w:val="001F0F38"/>
    <w:rsid w:val="001F1021"/>
    <w:rsid w:val="001F126C"/>
    <w:rsid w:val="001F1322"/>
    <w:rsid w:val="001F14A8"/>
    <w:rsid w:val="001F15DA"/>
    <w:rsid w:val="001F16DE"/>
    <w:rsid w:val="001F18C1"/>
    <w:rsid w:val="001F1A58"/>
    <w:rsid w:val="001F1A86"/>
    <w:rsid w:val="001F1BFB"/>
    <w:rsid w:val="001F1C78"/>
    <w:rsid w:val="001F1C84"/>
    <w:rsid w:val="001F1D7E"/>
    <w:rsid w:val="001F1EC0"/>
    <w:rsid w:val="001F2364"/>
    <w:rsid w:val="001F25AF"/>
    <w:rsid w:val="001F28D4"/>
    <w:rsid w:val="001F2907"/>
    <w:rsid w:val="001F2BF3"/>
    <w:rsid w:val="001F2CF2"/>
    <w:rsid w:val="001F2D4F"/>
    <w:rsid w:val="001F2E2D"/>
    <w:rsid w:val="001F3478"/>
    <w:rsid w:val="001F3489"/>
    <w:rsid w:val="001F3A07"/>
    <w:rsid w:val="001F3C6F"/>
    <w:rsid w:val="001F3CA6"/>
    <w:rsid w:val="001F3F09"/>
    <w:rsid w:val="001F3F42"/>
    <w:rsid w:val="001F43C1"/>
    <w:rsid w:val="001F4491"/>
    <w:rsid w:val="001F497E"/>
    <w:rsid w:val="001F4981"/>
    <w:rsid w:val="001F4A63"/>
    <w:rsid w:val="001F4C23"/>
    <w:rsid w:val="001F50EA"/>
    <w:rsid w:val="001F5126"/>
    <w:rsid w:val="001F5361"/>
    <w:rsid w:val="001F54CF"/>
    <w:rsid w:val="001F559F"/>
    <w:rsid w:val="001F55FB"/>
    <w:rsid w:val="001F59B8"/>
    <w:rsid w:val="001F5A3D"/>
    <w:rsid w:val="001F5A84"/>
    <w:rsid w:val="001F5C90"/>
    <w:rsid w:val="001F60C0"/>
    <w:rsid w:val="001F6120"/>
    <w:rsid w:val="001F614B"/>
    <w:rsid w:val="001F623A"/>
    <w:rsid w:val="001F641F"/>
    <w:rsid w:val="001F642E"/>
    <w:rsid w:val="001F6440"/>
    <w:rsid w:val="001F6657"/>
    <w:rsid w:val="001F6733"/>
    <w:rsid w:val="001F6806"/>
    <w:rsid w:val="001F690B"/>
    <w:rsid w:val="001F6969"/>
    <w:rsid w:val="001F6A17"/>
    <w:rsid w:val="001F7153"/>
    <w:rsid w:val="001F7191"/>
    <w:rsid w:val="001F72B1"/>
    <w:rsid w:val="001F72C0"/>
    <w:rsid w:val="001F7605"/>
    <w:rsid w:val="001F7620"/>
    <w:rsid w:val="001F7B6E"/>
    <w:rsid w:val="001F7E0C"/>
    <w:rsid w:val="001F7E36"/>
    <w:rsid w:val="001F7FC2"/>
    <w:rsid w:val="0020033D"/>
    <w:rsid w:val="00200466"/>
    <w:rsid w:val="0020046D"/>
    <w:rsid w:val="002005FE"/>
    <w:rsid w:val="00200A65"/>
    <w:rsid w:val="00200B3A"/>
    <w:rsid w:val="00200B62"/>
    <w:rsid w:val="00200B70"/>
    <w:rsid w:val="00200BC0"/>
    <w:rsid w:val="00200BDF"/>
    <w:rsid w:val="00200D96"/>
    <w:rsid w:val="00200DD9"/>
    <w:rsid w:val="00200F16"/>
    <w:rsid w:val="00200FEC"/>
    <w:rsid w:val="00201053"/>
    <w:rsid w:val="00201065"/>
    <w:rsid w:val="00201137"/>
    <w:rsid w:val="0020123C"/>
    <w:rsid w:val="00201387"/>
    <w:rsid w:val="002016B3"/>
    <w:rsid w:val="00201B75"/>
    <w:rsid w:val="00201D68"/>
    <w:rsid w:val="00202036"/>
    <w:rsid w:val="002024EC"/>
    <w:rsid w:val="002025B6"/>
    <w:rsid w:val="0020266A"/>
    <w:rsid w:val="002028C7"/>
    <w:rsid w:val="00202911"/>
    <w:rsid w:val="00202AF8"/>
    <w:rsid w:val="00202BA6"/>
    <w:rsid w:val="00202D7A"/>
    <w:rsid w:val="00202DDE"/>
    <w:rsid w:val="00202E86"/>
    <w:rsid w:val="00202ED8"/>
    <w:rsid w:val="00202ED9"/>
    <w:rsid w:val="00202EEE"/>
    <w:rsid w:val="002030A0"/>
    <w:rsid w:val="002030AF"/>
    <w:rsid w:val="0020323C"/>
    <w:rsid w:val="00203398"/>
    <w:rsid w:val="002037F6"/>
    <w:rsid w:val="002037FC"/>
    <w:rsid w:val="00203903"/>
    <w:rsid w:val="00203A9D"/>
    <w:rsid w:val="00203AD3"/>
    <w:rsid w:val="00203B38"/>
    <w:rsid w:val="00203BA7"/>
    <w:rsid w:val="00203CFD"/>
    <w:rsid w:val="00203FB8"/>
    <w:rsid w:val="002043D0"/>
    <w:rsid w:val="00204717"/>
    <w:rsid w:val="0020489C"/>
    <w:rsid w:val="00204B9E"/>
    <w:rsid w:val="00204D0D"/>
    <w:rsid w:val="00205047"/>
    <w:rsid w:val="0020509D"/>
    <w:rsid w:val="00205189"/>
    <w:rsid w:val="002053AF"/>
    <w:rsid w:val="00205755"/>
    <w:rsid w:val="00205B23"/>
    <w:rsid w:val="00205C71"/>
    <w:rsid w:val="00205EB6"/>
    <w:rsid w:val="00205FAB"/>
    <w:rsid w:val="00205FED"/>
    <w:rsid w:val="00205FF4"/>
    <w:rsid w:val="002060C9"/>
    <w:rsid w:val="00206142"/>
    <w:rsid w:val="002061DE"/>
    <w:rsid w:val="00206357"/>
    <w:rsid w:val="0020637D"/>
    <w:rsid w:val="002063B0"/>
    <w:rsid w:val="002063D1"/>
    <w:rsid w:val="00206601"/>
    <w:rsid w:val="00206896"/>
    <w:rsid w:val="002068DD"/>
    <w:rsid w:val="00206A47"/>
    <w:rsid w:val="00206BF2"/>
    <w:rsid w:val="00206C39"/>
    <w:rsid w:val="00206CA8"/>
    <w:rsid w:val="00206D2B"/>
    <w:rsid w:val="00206D89"/>
    <w:rsid w:val="00206EBD"/>
    <w:rsid w:val="00206FA7"/>
    <w:rsid w:val="00207259"/>
    <w:rsid w:val="002074BA"/>
    <w:rsid w:val="00207511"/>
    <w:rsid w:val="002077F4"/>
    <w:rsid w:val="00207C04"/>
    <w:rsid w:val="00207CD5"/>
    <w:rsid w:val="00207CDD"/>
    <w:rsid w:val="0021018F"/>
    <w:rsid w:val="002101F3"/>
    <w:rsid w:val="00210364"/>
    <w:rsid w:val="00210401"/>
    <w:rsid w:val="0021064F"/>
    <w:rsid w:val="00210B85"/>
    <w:rsid w:val="00210CCB"/>
    <w:rsid w:val="00210F47"/>
    <w:rsid w:val="0021114C"/>
    <w:rsid w:val="00211279"/>
    <w:rsid w:val="0021177C"/>
    <w:rsid w:val="00211A1B"/>
    <w:rsid w:val="00211A4D"/>
    <w:rsid w:val="00211B7C"/>
    <w:rsid w:val="0021215B"/>
    <w:rsid w:val="0021260B"/>
    <w:rsid w:val="00212670"/>
    <w:rsid w:val="002128F7"/>
    <w:rsid w:val="002130BF"/>
    <w:rsid w:val="002130DC"/>
    <w:rsid w:val="002131F3"/>
    <w:rsid w:val="002133DE"/>
    <w:rsid w:val="00213508"/>
    <w:rsid w:val="00213605"/>
    <w:rsid w:val="00213C63"/>
    <w:rsid w:val="00213D5C"/>
    <w:rsid w:val="00213E7B"/>
    <w:rsid w:val="00214035"/>
    <w:rsid w:val="002141E9"/>
    <w:rsid w:val="00214262"/>
    <w:rsid w:val="002142C8"/>
    <w:rsid w:val="002144F9"/>
    <w:rsid w:val="002146EE"/>
    <w:rsid w:val="00214743"/>
    <w:rsid w:val="00214795"/>
    <w:rsid w:val="00214797"/>
    <w:rsid w:val="002147E2"/>
    <w:rsid w:val="00214891"/>
    <w:rsid w:val="002149BD"/>
    <w:rsid w:val="00214A6B"/>
    <w:rsid w:val="00214AD4"/>
    <w:rsid w:val="00214BCD"/>
    <w:rsid w:val="00214D9B"/>
    <w:rsid w:val="00214EE0"/>
    <w:rsid w:val="002153FE"/>
    <w:rsid w:val="00215824"/>
    <w:rsid w:val="002158ED"/>
    <w:rsid w:val="00215968"/>
    <w:rsid w:val="00215E8B"/>
    <w:rsid w:val="00215F7C"/>
    <w:rsid w:val="00215FF0"/>
    <w:rsid w:val="002160B0"/>
    <w:rsid w:val="00216176"/>
    <w:rsid w:val="002161A4"/>
    <w:rsid w:val="0021643B"/>
    <w:rsid w:val="00216931"/>
    <w:rsid w:val="00216A1B"/>
    <w:rsid w:val="00216B52"/>
    <w:rsid w:val="00216B68"/>
    <w:rsid w:val="00216C22"/>
    <w:rsid w:val="00216EF1"/>
    <w:rsid w:val="00217076"/>
    <w:rsid w:val="00217288"/>
    <w:rsid w:val="0021742E"/>
    <w:rsid w:val="00217446"/>
    <w:rsid w:val="00217497"/>
    <w:rsid w:val="002174FD"/>
    <w:rsid w:val="00217703"/>
    <w:rsid w:val="00217BC3"/>
    <w:rsid w:val="00217D53"/>
    <w:rsid w:val="00217D5E"/>
    <w:rsid w:val="00220005"/>
    <w:rsid w:val="00220116"/>
    <w:rsid w:val="002201CA"/>
    <w:rsid w:val="0022021B"/>
    <w:rsid w:val="002203B6"/>
    <w:rsid w:val="002204F3"/>
    <w:rsid w:val="002205D9"/>
    <w:rsid w:val="002207B7"/>
    <w:rsid w:val="002208F8"/>
    <w:rsid w:val="00220A0F"/>
    <w:rsid w:val="00220BC8"/>
    <w:rsid w:val="00220E82"/>
    <w:rsid w:val="00220F79"/>
    <w:rsid w:val="00221130"/>
    <w:rsid w:val="0022121F"/>
    <w:rsid w:val="00221272"/>
    <w:rsid w:val="00221507"/>
    <w:rsid w:val="002215BE"/>
    <w:rsid w:val="00221891"/>
    <w:rsid w:val="002218B0"/>
    <w:rsid w:val="00221937"/>
    <w:rsid w:val="00221939"/>
    <w:rsid w:val="00221A8E"/>
    <w:rsid w:val="00221AA0"/>
    <w:rsid w:val="00221B15"/>
    <w:rsid w:val="00221CCA"/>
    <w:rsid w:val="00221D36"/>
    <w:rsid w:val="00221EC0"/>
    <w:rsid w:val="00221F83"/>
    <w:rsid w:val="002223CC"/>
    <w:rsid w:val="0022248B"/>
    <w:rsid w:val="002224DF"/>
    <w:rsid w:val="0022257E"/>
    <w:rsid w:val="00222599"/>
    <w:rsid w:val="002226AC"/>
    <w:rsid w:val="00222729"/>
    <w:rsid w:val="00222852"/>
    <w:rsid w:val="002229B5"/>
    <w:rsid w:val="002229E4"/>
    <w:rsid w:val="00222EB7"/>
    <w:rsid w:val="00222EC6"/>
    <w:rsid w:val="00222FFA"/>
    <w:rsid w:val="0022301B"/>
    <w:rsid w:val="002230DB"/>
    <w:rsid w:val="0022313B"/>
    <w:rsid w:val="002234ED"/>
    <w:rsid w:val="0022380E"/>
    <w:rsid w:val="00223A82"/>
    <w:rsid w:val="00223B76"/>
    <w:rsid w:val="00223C2E"/>
    <w:rsid w:val="00223E82"/>
    <w:rsid w:val="0022413B"/>
    <w:rsid w:val="002241B8"/>
    <w:rsid w:val="002243BC"/>
    <w:rsid w:val="00224637"/>
    <w:rsid w:val="0022469C"/>
    <w:rsid w:val="00224765"/>
    <w:rsid w:val="002247E6"/>
    <w:rsid w:val="002249DD"/>
    <w:rsid w:val="00224A8D"/>
    <w:rsid w:val="00224C83"/>
    <w:rsid w:val="00225046"/>
    <w:rsid w:val="00225110"/>
    <w:rsid w:val="00225184"/>
    <w:rsid w:val="0022530B"/>
    <w:rsid w:val="00225665"/>
    <w:rsid w:val="002256EB"/>
    <w:rsid w:val="00225720"/>
    <w:rsid w:val="00225733"/>
    <w:rsid w:val="00225907"/>
    <w:rsid w:val="00225943"/>
    <w:rsid w:val="002259C7"/>
    <w:rsid w:val="00225B5D"/>
    <w:rsid w:val="00225C88"/>
    <w:rsid w:val="00226077"/>
    <w:rsid w:val="00226290"/>
    <w:rsid w:val="00226327"/>
    <w:rsid w:val="00226356"/>
    <w:rsid w:val="002263CB"/>
    <w:rsid w:val="002265BD"/>
    <w:rsid w:val="0022664F"/>
    <w:rsid w:val="0022681B"/>
    <w:rsid w:val="00226F54"/>
    <w:rsid w:val="0022719A"/>
    <w:rsid w:val="002271E5"/>
    <w:rsid w:val="00227939"/>
    <w:rsid w:val="00227D2F"/>
    <w:rsid w:val="00227E33"/>
    <w:rsid w:val="00227F0A"/>
    <w:rsid w:val="00227F0B"/>
    <w:rsid w:val="00227F90"/>
    <w:rsid w:val="00230271"/>
    <w:rsid w:val="0023051B"/>
    <w:rsid w:val="0023081F"/>
    <w:rsid w:val="00230C96"/>
    <w:rsid w:val="00230FE8"/>
    <w:rsid w:val="00230FED"/>
    <w:rsid w:val="00231068"/>
    <w:rsid w:val="002311B6"/>
    <w:rsid w:val="0023161C"/>
    <w:rsid w:val="002317CA"/>
    <w:rsid w:val="00231B7F"/>
    <w:rsid w:val="00232153"/>
    <w:rsid w:val="00232214"/>
    <w:rsid w:val="0023232F"/>
    <w:rsid w:val="00232452"/>
    <w:rsid w:val="002325FF"/>
    <w:rsid w:val="002329D7"/>
    <w:rsid w:val="00232A93"/>
    <w:rsid w:val="00232C61"/>
    <w:rsid w:val="00232CA6"/>
    <w:rsid w:val="00232D89"/>
    <w:rsid w:val="00232E9F"/>
    <w:rsid w:val="00232FDD"/>
    <w:rsid w:val="002335A2"/>
    <w:rsid w:val="002338BB"/>
    <w:rsid w:val="00233928"/>
    <w:rsid w:val="00233CB7"/>
    <w:rsid w:val="00233DA9"/>
    <w:rsid w:val="00233F3E"/>
    <w:rsid w:val="002341CA"/>
    <w:rsid w:val="0023432A"/>
    <w:rsid w:val="002343AF"/>
    <w:rsid w:val="00234476"/>
    <w:rsid w:val="00234523"/>
    <w:rsid w:val="00234932"/>
    <w:rsid w:val="0023497D"/>
    <w:rsid w:val="00234A96"/>
    <w:rsid w:val="00234AA0"/>
    <w:rsid w:val="00234F1E"/>
    <w:rsid w:val="002352E6"/>
    <w:rsid w:val="00235343"/>
    <w:rsid w:val="002353A2"/>
    <w:rsid w:val="00235459"/>
    <w:rsid w:val="00235863"/>
    <w:rsid w:val="002358FF"/>
    <w:rsid w:val="002359F0"/>
    <w:rsid w:val="00235C2E"/>
    <w:rsid w:val="00235C46"/>
    <w:rsid w:val="00236298"/>
    <w:rsid w:val="002366C7"/>
    <w:rsid w:val="00236806"/>
    <w:rsid w:val="002369E6"/>
    <w:rsid w:val="00236B99"/>
    <w:rsid w:val="00236D78"/>
    <w:rsid w:val="00237062"/>
    <w:rsid w:val="00237184"/>
    <w:rsid w:val="002372C0"/>
    <w:rsid w:val="0023742B"/>
    <w:rsid w:val="002375A1"/>
    <w:rsid w:val="0023790F"/>
    <w:rsid w:val="00237C25"/>
    <w:rsid w:val="00240481"/>
    <w:rsid w:val="002404D9"/>
    <w:rsid w:val="0024066E"/>
    <w:rsid w:val="002409B6"/>
    <w:rsid w:val="00240A33"/>
    <w:rsid w:val="00240AAA"/>
    <w:rsid w:val="00240C4F"/>
    <w:rsid w:val="00240D84"/>
    <w:rsid w:val="002410F9"/>
    <w:rsid w:val="002411FD"/>
    <w:rsid w:val="0024133A"/>
    <w:rsid w:val="00241380"/>
    <w:rsid w:val="00241428"/>
    <w:rsid w:val="0024151C"/>
    <w:rsid w:val="0024159E"/>
    <w:rsid w:val="0024176C"/>
    <w:rsid w:val="002419C4"/>
    <w:rsid w:val="00241AA3"/>
    <w:rsid w:val="00241C2B"/>
    <w:rsid w:val="00241C3E"/>
    <w:rsid w:val="0024201F"/>
    <w:rsid w:val="0024203C"/>
    <w:rsid w:val="00242098"/>
    <w:rsid w:val="00242845"/>
    <w:rsid w:val="002429F0"/>
    <w:rsid w:val="00242B2D"/>
    <w:rsid w:val="00242D6B"/>
    <w:rsid w:val="00242DF4"/>
    <w:rsid w:val="002432CB"/>
    <w:rsid w:val="0024348A"/>
    <w:rsid w:val="00243597"/>
    <w:rsid w:val="002435EA"/>
    <w:rsid w:val="0024367C"/>
    <w:rsid w:val="00243742"/>
    <w:rsid w:val="002439F3"/>
    <w:rsid w:val="00243A15"/>
    <w:rsid w:val="00243B15"/>
    <w:rsid w:val="00243D8A"/>
    <w:rsid w:val="0024403A"/>
    <w:rsid w:val="0024407A"/>
    <w:rsid w:val="0024428B"/>
    <w:rsid w:val="002446D7"/>
    <w:rsid w:val="002446ED"/>
    <w:rsid w:val="0024495F"/>
    <w:rsid w:val="00244A9F"/>
    <w:rsid w:val="00245040"/>
    <w:rsid w:val="002451ED"/>
    <w:rsid w:val="002452B9"/>
    <w:rsid w:val="0024555B"/>
    <w:rsid w:val="0024582D"/>
    <w:rsid w:val="00245B22"/>
    <w:rsid w:val="00245C6B"/>
    <w:rsid w:val="00245CC0"/>
    <w:rsid w:val="00245D34"/>
    <w:rsid w:val="00245E6F"/>
    <w:rsid w:val="00245EB4"/>
    <w:rsid w:val="00245EDC"/>
    <w:rsid w:val="00246000"/>
    <w:rsid w:val="0024620E"/>
    <w:rsid w:val="00246423"/>
    <w:rsid w:val="00246700"/>
    <w:rsid w:val="00246950"/>
    <w:rsid w:val="00246A59"/>
    <w:rsid w:val="00246D8A"/>
    <w:rsid w:val="00246FBE"/>
    <w:rsid w:val="0024708F"/>
    <w:rsid w:val="00247141"/>
    <w:rsid w:val="002472FD"/>
    <w:rsid w:val="002474F8"/>
    <w:rsid w:val="002475ED"/>
    <w:rsid w:val="00247AFA"/>
    <w:rsid w:val="00247B7A"/>
    <w:rsid w:val="00247EA2"/>
    <w:rsid w:val="00247F65"/>
    <w:rsid w:val="002500E1"/>
    <w:rsid w:val="0025011A"/>
    <w:rsid w:val="002503EA"/>
    <w:rsid w:val="002506C3"/>
    <w:rsid w:val="002507D7"/>
    <w:rsid w:val="002508AE"/>
    <w:rsid w:val="00250B8D"/>
    <w:rsid w:val="00250F5D"/>
    <w:rsid w:val="0025143C"/>
    <w:rsid w:val="0025167D"/>
    <w:rsid w:val="0025195C"/>
    <w:rsid w:val="00251B4C"/>
    <w:rsid w:val="00251CA4"/>
    <w:rsid w:val="00251D7B"/>
    <w:rsid w:val="00251D94"/>
    <w:rsid w:val="00251DDC"/>
    <w:rsid w:val="00251F40"/>
    <w:rsid w:val="00252586"/>
    <w:rsid w:val="00252920"/>
    <w:rsid w:val="00252971"/>
    <w:rsid w:val="00252E06"/>
    <w:rsid w:val="00252EBB"/>
    <w:rsid w:val="00252F66"/>
    <w:rsid w:val="00252FD5"/>
    <w:rsid w:val="00252FDC"/>
    <w:rsid w:val="00253303"/>
    <w:rsid w:val="0025336E"/>
    <w:rsid w:val="00253420"/>
    <w:rsid w:val="002534B3"/>
    <w:rsid w:val="00253B14"/>
    <w:rsid w:val="00253BF3"/>
    <w:rsid w:val="00253C2B"/>
    <w:rsid w:val="002541A2"/>
    <w:rsid w:val="002542D2"/>
    <w:rsid w:val="00254391"/>
    <w:rsid w:val="00254446"/>
    <w:rsid w:val="00254609"/>
    <w:rsid w:val="00254D34"/>
    <w:rsid w:val="00254EFA"/>
    <w:rsid w:val="00254FE3"/>
    <w:rsid w:val="002550D4"/>
    <w:rsid w:val="002553AF"/>
    <w:rsid w:val="002553E6"/>
    <w:rsid w:val="002553EA"/>
    <w:rsid w:val="00255457"/>
    <w:rsid w:val="0025557D"/>
    <w:rsid w:val="0025566D"/>
    <w:rsid w:val="002559C1"/>
    <w:rsid w:val="00255B53"/>
    <w:rsid w:val="00255FF3"/>
    <w:rsid w:val="002561B4"/>
    <w:rsid w:val="00256327"/>
    <w:rsid w:val="00256360"/>
    <w:rsid w:val="002563ED"/>
    <w:rsid w:val="00256599"/>
    <w:rsid w:val="00256B59"/>
    <w:rsid w:val="00256C7C"/>
    <w:rsid w:val="00256CE8"/>
    <w:rsid w:val="00256D6A"/>
    <w:rsid w:val="00256D91"/>
    <w:rsid w:val="00257074"/>
    <w:rsid w:val="00257102"/>
    <w:rsid w:val="0025719B"/>
    <w:rsid w:val="002573BA"/>
    <w:rsid w:val="00257589"/>
    <w:rsid w:val="002575C9"/>
    <w:rsid w:val="002577B0"/>
    <w:rsid w:val="00257AD5"/>
    <w:rsid w:val="00257B0A"/>
    <w:rsid w:val="00257B20"/>
    <w:rsid w:val="00257B33"/>
    <w:rsid w:val="00257E5A"/>
    <w:rsid w:val="00260101"/>
    <w:rsid w:val="0026022F"/>
    <w:rsid w:val="00260489"/>
    <w:rsid w:val="0026070C"/>
    <w:rsid w:val="00260848"/>
    <w:rsid w:val="00260983"/>
    <w:rsid w:val="00261118"/>
    <w:rsid w:val="0026117C"/>
    <w:rsid w:val="00261423"/>
    <w:rsid w:val="002616E7"/>
    <w:rsid w:val="002617DC"/>
    <w:rsid w:val="00261AB2"/>
    <w:rsid w:val="00261BDE"/>
    <w:rsid w:val="00261D7D"/>
    <w:rsid w:val="00261DFD"/>
    <w:rsid w:val="00261E38"/>
    <w:rsid w:val="00262075"/>
    <w:rsid w:val="00262130"/>
    <w:rsid w:val="0026223B"/>
    <w:rsid w:val="00262294"/>
    <w:rsid w:val="0026245C"/>
    <w:rsid w:val="002624A2"/>
    <w:rsid w:val="002624C5"/>
    <w:rsid w:val="00262517"/>
    <w:rsid w:val="002626C4"/>
    <w:rsid w:val="00262BCD"/>
    <w:rsid w:val="00262CE2"/>
    <w:rsid w:val="00262E37"/>
    <w:rsid w:val="00262E49"/>
    <w:rsid w:val="00262F2A"/>
    <w:rsid w:val="00263071"/>
    <w:rsid w:val="002630E3"/>
    <w:rsid w:val="002631A3"/>
    <w:rsid w:val="00263240"/>
    <w:rsid w:val="002636E6"/>
    <w:rsid w:val="002637B2"/>
    <w:rsid w:val="002639CA"/>
    <w:rsid w:val="00263A5F"/>
    <w:rsid w:val="00263B17"/>
    <w:rsid w:val="00263BCC"/>
    <w:rsid w:val="00263CC6"/>
    <w:rsid w:val="00263CCC"/>
    <w:rsid w:val="00263F40"/>
    <w:rsid w:val="00264072"/>
    <w:rsid w:val="00264088"/>
    <w:rsid w:val="0026416F"/>
    <w:rsid w:val="00264229"/>
    <w:rsid w:val="0026426A"/>
    <w:rsid w:val="0026441C"/>
    <w:rsid w:val="002646D6"/>
    <w:rsid w:val="0026491D"/>
    <w:rsid w:val="00264B39"/>
    <w:rsid w:val="00265018"/>
    <w:rsid w:val="002651AD"/>
    <w:rsid w:val="0026525B"/>
    <w:rsid w:val="002653B7"/>
    <w:rsid w:val="0026563E"/>
    <w:rsid w:val="00265994"/>
    <w:rsid w:val="002659F3"/>
    <w:rsid w:val="00265C5C"/>
    <w:rsid w:val="00265D17"/>
    <w:rsid w:val="00265D7F"/>
    <w:rsid w:val="00265EC9"/>
    <w:rsid w:val="0026612C"/>
    <w:rsid w:val="002662F7"/>
    <w:rsid w:val="002663D8"/>
    <w:rsid w:val="002666D5"/>
    <w:rsid w:val="0026683C"/>
    <w:rsid w:val="00266881"/>
    <w:rsid w:val="0026692D"/>
    <w:rsid w:val="00266A33"/>
    <w:rsid w:val="002671E6"/>
    <w:rsid w:val="00267328"/>
    <w:rsid w:val="00267338"/>
    <w:rsid w:val="002676AF"/>
    <w:rsid w:val="00267A17"/>
    <w:rsid w:val="00267A1B"/>
    <w:rsid w:val="00267AB8"/>
    <w:rsid w:val="00267B6C"/>
    <w:rsid w:val="00267B85"/>
    <w:rsid w:val="00267DAB"/>
    <w:rsid w:val="002700F1"/>
    <w:rsid w:val="002702AE"/>
    <w:rsid w:val="002704D6"/>
    <w:rsid w:val="00270527"/>
    <w:rsid w:val="002705FB"/>
    <w:rsid w:val="00270971"/>
    <w:rsid w:val="00270A2E"/>
    <w:rsid w:val="00270B15"/>
    <w:rsid w:val="00270B79"/>
    <w:rsid w:val="00270D6B"/>
    <w:rsid w:val="00270E95"/>
    <w:rsid w:val="00270F27"/>
    <w:rsid w:val="00270FF9"/>
    <w:rsid w:val="00271126"/>
    <w:rsid w:val="0027140A"/>
    <w:rsid w:val="0027166E"/>
    <w:rsid w:val="00271760"/>
    <w:rsid w:val="00271996"/>
    <w:rsid w:val="00271A7B"/>
    <w:rsid w:val="00271B66"/>
    <w:rsid w:val="00271B9D"/>
    <w:rsid w:val="00271BB5"/>
    <w:rsid w:val="00271C98"/>
    <w:rsid w:val="00271E09"/>
    <w:rsid w:val="00271F83"/>
    <w:rsid w:val="00272113"/>
    <w:rsid w:val="0027229E"/>
    <w:rsid w:val="0027260A"/>
    <w:rsid w:val="00272DD7"/>
    <w:rsid w:val="00272F11"/>
    <w:rsid w:val="00272F76"/>
    <w:rsid w:val="00272FF4"/>
    <w:rsid w:val="0027301A"/>
    <w:rsid w:val="0027322B"/>
    <w:rsid w:val="0027334D"/>
    <w:rsid w:val="002739DE"/>
    <w:rsid w:val="0027422D"/>
    <w:rsid w:val="002742B1"/>
    <w:rsid w:val="00274554"/>
    <w:rsid w:val="002747D4"/>
    <w:rsid w:val="0027492E"/>
    <w:rsid w:val="002749C4"/>
    <w:rsid w:val="002749EF"/>
    <w:rsid w:val="00274AFD"/>
    <w:rsid w:val="00274BB8"/>
    <w:rsid w:val="00274EA3"/>
    <w:rsid w:val="00274F8F"/>
    <w:rsid w:val="002750C0"/>
    <w:rsid w:val="002752CF"/>
    <w:rsid w:val="00275361"/>
    <w:rsid w:val="002753A3"/>
    <w:rsid w:val="002754F4"/>
    <w:rsid w:val="002755E8"/>
    <w:rsid w:val="002756E5"/>
    <w:rsid w:val="00275A71"/>
    <w:rsid w:val="00275BF2"/>
    <w:rsid w:val="00275EFA"/>
    <w:rsid w:val="00275FE8"/>
    <w:rsid w:val="00276091"/>
    <w:rsid w:val="002760D9"/>
    <w:rsid w:val="00276435"/>
    <w:rsid w:val="0027654C"/>
    <w:rsid w:val="002765A6"/>
    <w:rsid w:val="002769BD"/>
    <w:rsid w:val="00276A19"/>
    <w:rsid w:val="00276A23"/>
    <w:rsid w:val="00276A62"/>
    <w:rsid w:val="00276D26"/>
    <w:rsid w:val="00276DA2"/>
    <w:rsid w:val="0027708C"/>
    <w:rsid w:val="0027714B"/>
    <w:rsid w:val="0027737A"/>
    <w:rsid w:val="002773FA"/>
    <w:rsid w:val="00277419"/>
    <w:rsid w:val="002774D7"/>
    <w:rsid w:val="00277547"/>
    <w:rsid w:val="00277567"/>
    <w:rsid w:val="002775DF"/>
    <w:rsid w:val="00277955"/>
    <w:rsid w:val="00277978"/>
    <w:rsid w:val="00277A09"/>
    <w:rsid w:val="00277A3A"/>
    <w:rsid w:val="00277F1A"/>
    <w:rsid w:val="002802F0"/>
    <w:rsid w:val="002804EF"/>
    <w:rsid w:val="0028057B"/>
    <w:rsid w:val="0028081F"/>
    <w:rsid w:val="00280872"/>
    <w:rsid w:val="00280A9C"/>
    <w:rsid w:val="00280E30"/>
    <w:rsid w:val="00280E3F"/>
    <w:rsid w:val="00280E5B"/>
    <w:rsid w:val="002813BD"/>
    <w:rsid w:val="00281678"/>
    <w:rsid w:val="00281778"/>
    <w:rsid w:val="0028194C"/>
    <w:rsid w:val="00281AD8"/>
    <w:rsid w:val="00281C97"/>
    <w:rsid w:val="00281CB9"/>
    <w:rsid w:val="002821F1"/>
    <w:rsid w:val="00282247"/>
    <w:rsid w:val="00282336"/>
    <w:rsid w:val="00282392"/>
    <w:rsid w:val="00282559"/>
    <w:rsid w:val="002825A5"/>
    <w:rsid w:val="002825AC"/>
    <w:rsid w:val="00282787"/>
    <w:rsid w:val="002827F0"/>
    <w:rsid w:val="00282978"/>
    <w:rsid w:val="00282985"/>
    <w:rsid w:val="00282BC0"/>
    <w:rsid w:val="00282E10"/>
    <w:rsid w:val="00282E24"/>
    <w:rsid w:val="00283113"/>
    <w:rsid w:val="002832C7"/>
    <w:rsid w:val="002835E2"/>
    <w:rsid w:val="002839B3"/>
    <w:rsid w:val="00283ACC"/>
    <w:rsid w:val="00283C51"/>
    <w:rsid w:val="00283CAF"/>
    <w:rsid w:val="00283DF9"/>
    <w:rsid w:val="00283E71"/>
    <w:rsid w:val="00284000"/>
    <w:rsid w:val="002840E1"/>
    <w:rsid w:val="002842CA"/>
    <w:rsid w:val="002843B3"/>
    <w:rsid w:val="00284440"/>
    <w:rsid w:val="00284598"/>
    <w:rsid w:val="002847E8"/>
    <w:rsid w:val="00284ACE"/>
    <w:rsid w:val="00284CDA"/>
    <w:rsid w:val="00284E64"/>
    <w:rsid w:val="00284EAC"/>
    <w:rsid w:val="00284F31"/>
    <w:rsid w:val="00284FBA"/>
    <w:rsid w:val="00285109"/>
    <w:rsid w:val="00285316"/>
    <w:rsid w:val="002853A5"/>
    <w:rsid w:val="002853D9"/>
    <w:rsid w:val="00285531"/>
    <w:rsid w:val="00285ADA"/>
    <w:rsid w:val="00285CD6"/>
    <w:rsid w:val="00285CEC"/>
    <w:rsid w:val="00285E0D"/>
    <w:rsid w:val="00285F04"/>
    <w:rsid w:val="00286177"/>
    <w:rsid w:val="0028634A"/>
    <w:rsid w:val="0028645C"/>
    <w:rsid w:val="002867BC"/>
    <w:rsid w:val="00286A06"/>
    <w:rsid w:val="00286A71"/>
    <w:rsid w:val="00286ADC"/>
    <w:rsid w:val="00286B71"/>
    <w:rsid w:val="00286C69"/>
    <w:rsid w:val="00286CB7"/>
    <w:rsid w:val="00286D0A"/>
    <w:rsid w:val="00286E34"/>
    <w:rsid w:val="0028739F"/>
    <w:rsid w:val="002873D0"/>
    <w:rsid w:val="00287702"/>
    <w:rsid w:val="0028776E"/>
    <w:rsid w:val="00287BCE"/>
    <w:rsid w:val="00287E37"/>
    <w:rsid w:val="00287EFB"/>
    <w:rsid w:val="00287F2A"/>
    <w:rsid w:val="00290185"/>
    <w:rsid w:val="002901EE"/>
    <w:rsid w:val="00290229"/>
    <w:rsid w:val="002902F9"/>
    <w:rsid w:val="00290399"/>
    <w:rsid w:val="002904E7"/>
    <w:rsid w:val="002906DA"/>
    <w:rsid w:val="002908DF"/>
    <w:rsid w:val="00290A94"/>
    <w:rsid w:val="00290E78"/>
    <w:rsid w:val="00290F25"/>
    <w:rsid w:val="00290F96"/>
    <w:rsid w:val="00291086"/>
    <w:rsid w:val="002911DE"/>
    <w:rsid w:val="0029133D"/>
    <w:rsid w:val="002917C7"/>
    <w:rsid w:val="00291C93"/>
    <w:rsid w:val="00291CF9"/>
    <w:rsid w:val="00291EF0"/>
    <w:rsid w:val="00292051"/>
    <w:rsid w:val="00292271"/>
    <w:rsid w:val="0029273E"/>
    <w:rsid w:val="0029308B"/>
    <w:rsid w:val="00293167"/>
    <w:rsid w:val="002932E0"/>
    <w:rsid w:val="0029330E"/>
    <w:rsid w:val="002937F7"/>
    <w:rsid w:val="00293E78"/>
    <w:rsid w:val="00293FF7"/>
    <w:rsid w:val="00294121"/>
    <w:rsid w:val="0029442E"/>
    <w:rsid w:val="00294665"/>
    <w:rsid w:val="00294666"/>
    <w:rsid w:val="002946CF"/>
    <w:rsid w:val="0029482B"/>
    <w:rsid w:val="00294AF6"/>
    <w:rsid w:val="00294BE2"/>
    <w:rsid w:val="00294C1B"/>
    <w:rsid w:val="00294C2A"/>
    <w:rsid w:val="00294F8D"/>
    <w:rsid w:val="0029514C"/>
    <w:rsid w:val="002951CD"/>
    <w:rsid w:val="0029528D"/>
    <w:rsid w:val="002952B5"/>
    <w:rsid w:val="0029538B"/>
    <w:rsid w:val="0029565B"/>
    <w:rsid w:val="00295689"/>
    <w:rsid w:val="002956A6"/>
    <w:rsid w:val="00295839"/>
    <w:rsid w:val="002958BC"/>
    <w:rsid w:val="002959FF"/>
    <w:rsid w:val="00295ADE"/>
    <w:rsid w:val="00295D69"/>
    <w:rsid w:val="00295FD2"/>
    <w:rsid w:val="002961E2"/>
    <w:rsid w:val="00296485"/>
    <w:rsid w:val="00296801"/>
    <w:rsid w:val="00296AC8"/>
    <w:rsid w:val="00296B07"/>
    <w:rsid w:val="00296DC0"/>
    <w:rsid w:val="00296E0D"/>
    <w:rsid w:val="0029701C"/>
    <w:rsid w:val="0029720C"/>
    <w:rsid w:val="0029731C"/>
    <w:rsid w:val="00297434"/>
    <w:rsid w:val="00297659"/>
    <w:rsid w:val="002976C2"/>
    <w:rsid w:val="0029777B"/>
    <w:rsid w:val="002978EA"/>
    <w:rsid w:val="00297971"/>
    <w:rsid w:val="0029798F"/>
    <w:rsid w:val="00297991"/>
    <w:rsid w:val="00297A33"/>
    <w:rsid w:val="00297CB3"/>
    <w:rsid w:val="00297DC1"/>
    <w:rsid w:val="002A0352"/>
    <w:rsid w:val="002A0549"/>
    <w:rsid w:val="002A0834"/>
    <w:rsid w:val="002A091C"/>
    <w:rsid w:val="002A0999"/>
    <w:rsid w:val="002A0A48"/>
    <w:rsid w:val="002A0E2A"/>
    <w:rsid w:val="002A0F5F"/>
    <w:rsid w:val="002A1B13"/>
    <w:rsid w:val="002A1B68"/>
    <w:rsid w:val="002A1BC0"/>
    <w:rsid w:val="002A21D6"/>
    <w:rsid w:val="002A240E"/>
    <w:rsid w:val="002A263E"/>
    <w:rsid w:val="002A2704"/>
    <w:rsid w:val="002A294E"/>
    <w:rsid w:val="002A2AE4"/>
    <w:rsid w:val="002A2F0F"/>
    <w:rsid w:val="002A2F61"/>
    <w:rsid w:val="002A2FF2"/>
    <w:rsid w:val="002A2FFB"/>
    <w:rsid w:val="002A3310"/>
    <w:rsid w:val="002A3353"/>
    <w:rsid w:val="002A3751"/>
    <w:rsid w:val="002A37B6"/>
    <w:rsid w:val="002A3C23"/>
    <w:rsid w:val="002A3C34"/>
    <w:rsid w:val="002A3E9F"/>
    <w:rsid w:val="002A40F3"/>
    <w:rsid w:val="002A4156"/>
    <w:rsid w:val="002A45D0"/>
    <w:rsid w:val="002A4989"/>
    <w:rsid w:val="002A49BC"/>
    <w:rsid w:val="002A4A36"/>
    <w:rsid w:val="002A4A7A"/>
    <w:rsid w:val="002A4BDE"/>
    <w:rsid w:val="002A4C40"/>
    <w:rsid w:val="002A4DA8"/>
    <w:rsid w:val="002A4F9D"/>
    <w:rsid w:val="002A5114"/>
    <w:rsid w:val="002A519D"/>
    <w:rsid w:val="002A5506"/>
    <w:rsid w:val="002A5576"/>
    <w:rsid w:val="002A5599"/>
    <w:rsid w:val="002A588D"/>
    <w:rsid w:val="002A59A3"/>
    <w:rsid w:val="002A59E9"/>
    <w:rsid w:val="002A5C77"/>
    <w:rsid w:val="002A5D4A"/>
    <w:rsid w:val="002A5DF4"/>
    <w:rsid w:val="002A5E4D"/>
    <w:rsid w:val="002A5EEA"/>
    <w:rsid w:val="002A60CE"/>
    <w:rsid w:val="002A62F9"/>
    <w:rsid w:val="002A631A"/>
    <w:rsid w:val="002A6469"/>
    <w:rsid w:val="002A654F"/>
    <w:rsid w:val="002A65A6"/>
    <w:rsid w:val="002A6947"/>
    <w:rsid w:val="002A6DE7"/>
    <w:rsid w:val="002A6F9A"/>
    <w:rsid w:val="002A7159"/>
    <w:rsid w:val="002A74F5"/>
    <w:rsid w:val="002A751B"/>
    <w:rsid w:val="002A79BB"/>
    <w:rsid w:val="002A7B21"/>
    <w:rsid w:val="002A7B7D"/>
    <w:rsid w:val="002A7B9F"/>
    <w:rsid w:val="002A7E45"/>
    <w:rsid w:val="002A7E5D"/>
    <w:rsid w:val="002A7FF2"/>
    <w:rsid w:val="002B0042"/>
    <w:rsid w:val="002B0063"/>
    <w:rsid w:val="002B06AF"/>
    <w:rsid w:val="002B082F"/>
    <w:rsid w:val="002B0835"/>
    <w:rsid w:val="002B0868"/>
    <w:rsid w:val="002B092C"/>
    <w:rsid w:val="002B09B5"/>
    <w:rsid w:val="002B0D60"/>
    <w:rsid w:val="002B104F"/>
    <w:rsid w:val="002B116E"/>
    <w:rsid w:val="002B146F"/>
    <w:rsid w:val="002B1508"/>
    <w:rsid w:val="002B1522"/>
    <w:rsid w:val="002B16FB"/>
    <w:rsid w:val="002B1877"/>
    <w:rsid w:val="002B187A"/>
    <w:rsid w:val="002B1A48"/>
    <w:rsid w:val="002B1B91"/>
    <w:rsid w:val="002B1ED9"/>
    <w:rsid w:val="002B1F9D"/>
    <w:rsid w:val="002B228B"/>
    <w:rsid w:val="002B25D0"/>
    <w:rsid w:val="002B27B8"/>
    <w:rsid w:val="002B288E"/>
    <w:rsid w:val="002B2903"/>
    <w:rsid w:val="002B2945"/>
    <w:rsid w:val="002B29CB"/>
    <w:rsid w:val="002B29E3"/>
    <w:rsid w:val="002B2D87"/>
    <w:rsid w:val="002B2D8A"/>
    <w:rsid w:val="002B2DBB"/>
    <w:rsid w:val="002B35CF"/>
    <w:rsid w:val="002B3726"/>
    <w:rsid w:val="002B38E1"/>
    <w:rsid w:val="002B3D27"/>
    <w:rsid w:val="002B3D98"/>
    <w:rsid w:val="002B3FAD"/>
    <w:rsid w:val="002B4034"/>
    <w:rsid w:val="002B4216"/>
    <w:rsid w:val="002B424E"/>
    <w:rsid w:val="002B43FA"/>
    <w:rsid w:val="002B47BB"/>
    <w:rsid w:val="002B4A77"/>
    <w:rsid w:val="002B5091"/>
    <w:rsid w:val="002B50FD"/>
    <w:rsid w:val="002B56DD"/>
    <w:rsid w:val="002B5A76"/>
    <w:rsid w:val="002B606B"/>
    <w:rsid w:val="002B60BF"/>
    <w:rsid w:val="002B6189"/>
    <w:rsid w:val="002B62C6"/>
    <w:rsid w:val="002B6393"/>
    <w:rsid w:val="002B6705"/>
    <w:rsid w:val="002B676F"/>
    <w:rsid w:val="002B6777"/>
    <w:rsid w:val="002B677E"/>
    <w:rsid w:val="002B6A2B"/>
    <w:rsid w:val="002B6AB4"/>
    <w:rsid w:val="002B6C3C"/>
    <w:rsid w:val="002B6C6F"/>
    <w:rsid w:val="002B6DE5"/>
    <w:rsid w:val="002B7287"/>
    <w:rsid w:val="002B72AE"/>
    <w:rsid w:val="002B7453"/>
    <w:rsid w:val="002B7702"/>
    <w:rsid w:val="002B7900"/>
    <w:rsid w:val="002B7949"/>
    <w:rsid w:val="002B7A42"/>
    <w:rsid w:val="002B7A99"/>
    <w:rsid w:val="002B7F50"/>
    <w:rsid w:val="002C041D"/>
    <w:rsid w:val="002C04AF"/>
    <w:rsid w:val="002C05D6"/>
    <w:rsid w:val="002C06BD"/>
    <w:rsid w:val="002C0874"/>
    <w:rsid w:val="002C08B1"/>
    <w:rsid w:val="002C08B2"/>
    <w:rsid w:val="002C0BD4"/>
    <w:rsid w:val="002C0BE4"/>
    <w:rsid w:val="002C0C06"/>
    <w:rsid w:val="002C0D3B"/>
    <w:rsid w:val="002C0EF0"/>
    <w:rsid w:val="002C0F41"/>
    <w:rsid w:val="002C0F98"/>
    <w:rsid w:val="002C0FD2"/>
    <w:rsid w:val="002C1075"/>
    <w:rsid w:val="002C1083"/>
    <w:rsid w:val="002C109B"/>
    <w:rsid w:val="002C125B"/>
    <w:rsid w:val="002C14F7"/>
    <w:rsid w:val="002C1A78"/>
    <w:rsid w:val="002C2239"/>
    <w:rsid w:val="002C22F9"/>
    <w:rsid w:val="002C2442"/>
    <w:rsid w:val="002C247F"/>
    <w:rsid w:val="002C2799"/>
    <w:rsid w:val="002C293C"/>
    <w:rsid w:val="002C29DD"/>
    <w:rsid w:val="002C2A75"/>
    <w:rsid w:val="002C2B0C"/>
    <w:rsid w:val="002C2EB6"/>
    <w:rsid w:val="002C318B"/>
    <w:rsid w:val="002C321C"/>
    <w:rsid w:val="002C327F"/>
    <w:rsid w:val="002C3437"/>
    <w:rsid w:val="002C3575"/>
    <w:rsid w:val="002C38AD"/>
    <w:rsid w:val="002C39AF"/>
    <w:rsid w:val="002C3E93"/>
    <w:rsid w:val="002C40AE"/>
    <w:rsid w:val="002C4153"/>
    <w:rsid w:val="002C4169"/>
    <w:rsid w:val="002C41C6"/>
    <w:rsid w:val="002C43EE"/>
    <w:rsid w:val="002C4435"/>
    <w:rsid w:val="002C4464"/>
    <w:rsid w:val="002C4513"/>
    <w:rsid w:val="002C45D1"/>
    <w:rsid w:val="002C468E"/>
    <w:rsid w:val="002C47D9"/>
    <w:rsid w:val="002C4A36"/>
    <w:rsid w:val="002C4E83"/>
    <w:rsid w:val="002C51E5"/>
    <w:rsid w:val="002C52FA"/>
    <w:rsid w:val="002C54E2"/>
    <w:rsid w:val="002C5645"/>
    <w:rsid w:val="002C5856"/>
    <w:rsid w:val="002C5A15"/>
    <w:rsid w:val="002C5A1F"/>
    <w:rsid w:val="002C5B19"/>
    <w:rsid w:val="002C5DF5"/>
    <w:rsid w:val="002C5FFA"/>
    <w:rsid w:val="002C6537"/>
    <w:rsid w:val="002C65B0"/>
    <w:rsid w:val="002C65F6"/>
    <w:rsid w:val="002C673A"/>
    <w:rsid w:val="002C6AD4"/>
    <w:rsid w:val="002C705E"/>
    <w:rsid w:val="002C727F"/>
    <w:rsid w:val="002C7A98"/>
    <w:rsid w:val="002C7C1D"/>
    <w:rsid w:val="002C7C22"/>
    <w:rsid w:val="002C7C64"/>
    <w:rsid w:val="002C7D14"/>
    <w:rsid w:val="002D0214"/>
    <w:rsid w:val="002D0331"/>
    <w:rsid w:val="002D03BD"/>
    <w:rsid w:val="002D040F"/>
    <w:rsid w:val="002D0429"/>
    <w:rsid w:val="002D0498"/>
    <w:rsid w:val="002D069D"/>
    <w:rsid w:val="002D07D3"/>
    <w:rsid w:val="002D084F"/>
    <w:rsid w:val="002D0B92"/>
    <w:rsid w:val="002D0C61"/>
    <w:rsid w:val="002D0D18"/>
    <w:rsid w:val="002D0DEF"/>
    <w:rsid w:val="002D1472"/>
    <w:rsid w:val="002D17CC"/>
    <w:rsid w:val="002D18C3"/>
    <w:rsid w:val="002D193A"/>
    <w:rsid w:val="002D1CD4"/>
    <w:rsid w:val="002D1FB0"/>
    <w:rsid w:val="002D20B0"/>
    <w:rsid w:val="002D2230"/>
    <w:rsid w:val="002D22C3"/>
    <w:rsid w:val="002D2319"/>
    <w:rsid w:val="002D23AD"/>
    <w:rsid w:val="002D2461"/>
    <w:rsid w:val="002D24FA"/>
    <w:rsid w:val="002D254A"/>
    <w:rsid w:val="002D25BB"/>
    <w:rsid w:val="002D2607"/>
    <w:rsid w:val="002D267F"/>
    <w:rsid w:val="002D26B5"/>
    <w:rsid w:val="002D2837"/>
    <w:rsid w:val="002D2A12"/>
    <w:rsid w:val="002D2A34"/>
    <w:rsid w:val="002D2B9E"/>
    <w:rsid w:val="002D2BA7"/>
    <w:rsid w:val="002D2F2B"/>
    <w:rsid w:val="002D31F9"/>
    <w:rsid w:val="002D35F9"/>
    <w:rsid w:val="002D3817"/>
    <w:rsid w:val="002D384D"/>
    <w:rsid w:val="002D39E7"/>
    <w:rsid w:val="002D3B29"/>
    <w:rsid w:val="002D3B7E"/>
    <w:rsid w:val="002D3CE0"/>
    <w:rsid w:val="002D3CF9"/>
    <w:rsid w:val="002D3D3E"/>
    <w:rsid w:val="002D3F6B"/>
    <w:rsid w:val="002D40ED"/>
    <w:rsid w:val="002D422A"/>
    <w:rsid w:val="002D42D5"/>
    <w:rsid w:val="002D44B3"/>
    <w:rsid w:val="002D4512"/>
    <w:rsid w:val="002D453A"/>
    <w:rsid w:val="002D4661"/>
    <w:rsid w:val="002D47AC"/>
    <w:rsid w:val="002D4BCC"/>
    <w:rsid w:val="002D4FFF"/>
    <w:rsid w:val="002D52EA"/>
    <w:rsid w:val="002D541C"/>
    <w:rsid w:val="002D57AC"/>
    <w:rsid w:val="002D5D1C"/>
    <w:rsid w:val="002D5D2C"/>
    <w:rsid w:val="002D5DEF"/>
    <w:rsid w:val="002D5FA1"/>
    <w:rsid w:val="002D632F"/>
    <w:rsid w:val="002D6487"/>
    <w:rsid w:val="002D64A7"/>
    <w:rsid w:val="002D6514"/>
    <w:rsid w:val="002D662B"/>
    <w:rsid w:val="002D67F7"/>
    <w:rsid w:val="002D6896"/>
    <w:rsid w:val="002D68A5"/>
    <w:rsid w:val="002D69B7"/>
    <w:rsid w:val="002D6A5B"/>
    <w:rsid w:val="002D6ACD"/>
    <w:rsid w:val="002D6B55"/>
    <w:rsid w:val="002D6BA9"/>
    <w:rsid w:val="002D6BB1"/>
    <w:rsid w:val="002D72E5"/>
    <w:rsid w:val="002D742E"/>
    <w:rsid w:val="002D75F6"/>
    <w:rsid w:val="002D7A36"/>
    <w:rsid w:val="002D7D27"/>
    <w:rsid w:val="002D7EAA"/>
    <w:rsid w:val="002E011F"/>
    <w:rsid w:val="002E029F"/>
    <w:rsid w:val="002E0350"/>
    <w:rsid w:val="002E096F"/>
    <w:rsid w:val="002E0980"/>
    <w:rsid w:val="002E0AF6"/>
    <w:rsid w:val="002E0ED7"/>
    <w:rsid w:val="002E0EDE"/>
    <w:rsid w:val="002E0F49"/>
    <w:rsid w:val="002E1288"/>
    <w:rsid w:val="002E139F"/>
    <w:rsid w:val="002E142F"/>
    <w:rsid w:val="002E14D7"/>
    <w:rsid w:val="002E177F"/>
    <w:rsid w:val="002E17C2"/>
    <w:rsid w:val="002E2144"/>
    <w:rsid w:val="002E2154"/>
    <w:rsid w:val="002E21B9"/>
    <w:rsid w:val="002E254E"/>
    <w:rsid w:val="002E2604"/>
    <w:rsid w:val="002E278E"/>
    <w:rsid w:val="002E27CF"/>
    <w:rsid w:val="002E288D"/>
    <w:rsid w:val="002E2C1D"/>
    <w:rsid w:val="002E2CBB"/>
    <w:rsid w:val="002E2E90"/>
    <w:rsid w:val="002E2EC3"/>
    <w:rsid w:val="002E2F23"/>
    <w:rsid w:val="002E2FAC"/>
    <w:rsid w:val="002E31C5"/>
    <w:rsid w:val="002E3523"/>
    <w:rsid w:val="002E358B"/>
    <w:rsid w:val="002E37CB"/>
    <w:rsid w:val="002E3A07"/>
    <w:rsid w:val="002E3AD8"/>
    <w:rsid w:val="002E3C55"/>
    <w:rsid w:val="002E411E"/>
    <w:rsid w:val="002E421F"/>
    <w:rsid w:val="002E4243"/>
    <w:rsid w:val="002E4523"/>
    <w:rsid w:val="002E482E"/>
    <w:rsid w:val="002E4D84"/>
    <w:rsid w:val="002E4F58"/>
    <w:rsid w:val="002E50B2"/>
    <w:rsid w:val="002E5383"/>
    <w:rsid w:val="002E5599"/>
    <w:rsid w:val="002E5FC8"/>
    <w:rsid w:val="002E615E"/>
    <w:rsid w:val="002E6291"/>
    <w:rsid w:val="002E6354"/>
    <w:rsid w:val="002E63D4"/>
    <w:rsid w:val="002E664E"/>
    <w:rsid w:val="002E674B"/>
    <w:rsid w:val="002E67F1"/>
    <w:rsid w:val="002E6B5E"/>
    <w:rsid w:val="002E6C66"/>
    <w:rsid w:val="002E6C89"/>
    <w:rsid w:val="002E71DE"/>
    <w:rsid w:val="002E72BC"/>
    <w:rsid w:val="002E7579"/>
    <w:rsid w:val="002E760A"/>
    <w:rsid w:val="002E7610"/>
    <w:rsid w:val="002E7823"/>
    <w:rsid w:val="002E7A51"/>
    <w:rsid w:val="002E7A5C"/>
    <w:rsid w:val="002E7BB3"/>
    <w:rsid w:val="002E7D07"/>
    <w:rsid w:val="002E7DD8"/>
    <w:rsid w:val="002E7FFC"/>
    <w:rsid w:val="002F0054"/>
    <w:rsid w:val="002F052B"/>
    <w:rsid w:val="002F055B"/>
    <w:rsid w:val="002F06B8"/>
    <w:rsid w:val="002F071A"/>
    <w:rsid w:val="002F07F2"/>
    <w:rsid w:val="002F090C"/>
    <w:rsid w:val="002F0A43"/>
    <w:rsid w:val="002F0E8F"/>
    <w:rsid w:val="002F1057"/>
    <w:rsid w:val="002F1299"/>
    <w:rsid w:val="002F12BA"/>
    <w:rsid w:val="002F1636"/>
    <w:rsid w:val="002F174E"/>
    <w:rsid w:val="002F193E"/>
    <w:rsid w:val="002F19F2"/>
    <w:rsid w:val="002F1CFF"/>
    <w:rsid w:val="002F1DA0"/>
    <w:rsid w:val="002F20C8"/>
    <w:rsid w:val="002F20E0"/>
    <w:rsid w:val="002F2201"/>
    <w:rsid w:val="002F25E6"/>
    <w:rsid w:val="002F2904"/>
    <w:rsid w:val="002F2A86"/>
    <w:rsid w:val="002F2F03"/>
    <w:rsid w:val="002F2F06"/>
    <w:rsid w:val="002F2F3C"/>
    <w:rsid w:val="002F3168"/>
    <w:rsid w:val="002F316A"/>
    <w:rsid w:val="002F3171"/>
    <w:rsid w:val="002F3251"/>
    <w:rsid w:val="002F34E6"/>
    <w:rsid w:val="002F3630"/>
    <w:rsid w:val="002F36F5"/>
    <w:rsid w:val="002F375A"/>
    <w:rsid w:val="002F3927"/>
    <w:rsid w:val="002F3D04"/>
    <w:rsid w:val="002F3D56"/>
    <w:rsid w:val="002F3EDB"/>
    <w:rsid w:val="002F3EE8"/>
    <w:rsid w:val="002F3F18"/>
    <w:rsid w:val="002F3F6B"/>
    <w:rsid w:val="002F3FF1"/>
    <w:rsid w:val="002F4121"/>
    <w:rsid w:val="002F41FC"/>
    <w:rsid w:val="002F42D4"/>
    <w:rsid w:val="002F45C4"/>
    <w:rsid w:val="002F4703"/>
    <w:rsid w:val="002F4882"/>
    <w:rsid w:val="002F4A52"/>
    <w:rsid w:val="002F4A6D"/>
    <w:rsid w:val="002F4BCE"/>
    <w:rsid w:val="002F4C0A"/>
    <w:rsid w:val="002F4C53"/>
    <w:rsid w:val="002F4D0C"/>
    <w:rsid w:val="002F4D26"/>
    <w:rsid w:val="002F4D2D"/>
    <w:rsid w:val="002F4DA1"/>
    <w:rsid w:val="002F4DF0"/>
    <w:rsid w:val="002F4F21"/>
    <w:rsid w:val="002F516B"/>
    <w:rsid w:val="002F5539"/>
    <w:rsid w:val="002F55C1"/>
    <w:rsid w:val="002F565C"/>
    <w:rsid w:val="002F56B0"/>
    <w:rsid w:val="002F5AA1"/>
    <w:rsid w:val="002F5C43"/>
    <w:rsid w:val="002F5DCA"/>
    <w:rsid w:val="002F622E"/>
    <w:rsid w:val="002F64C0"/>
    <w:rsid w:val="002F66EB"/>
    <w:rsid w:val="002F6701"/>
    <w:rsid w:val="002F6949"/>
    <w:rsid w:val="002F69C1"/>
    <w:rsid w:val="002F6CC8"/>
    <w:rsid w:val="002F6ED7"/>
    <w:rsid w:val="002F7000"/>
    <w:rsid w:val="002F7158"/>
    <w:rsid w:val="002F77B0"/>
    <w:rsid w:val="002F7F9D"/>
    <w:rsid w:val="00300026"/>
    <w:rsid w:val="00300237"/>
    <w:rsid w:val="00300302"/>
    <w:rsid w:val="00300360"/>
    <w:rsid w:val="0030059B"/>
    <w:rsid w:val="00300686"/>
    <w:rsid w:val="0030072D"/>
    <w:rsid w:val="0030086F"/>
    <w:rsid w:val="00300A99"/>
    <w:rsid w:val="00300CC1"/>
    <w:rsid w:val="00300D45"/>
    <w:rsid w:val="00300DCF"/>
    <w:rsid w:val="00300FFE"/>
    <w:rsid w:val="00301064"/>
    <w:rsid w:val="0030132A"/>
    <w:rsid w:val="00301351"/>
    <w:rsid w:val="003013C6"/>
    <w:rsid w:val="0030154C"/>
    <w:rsid w:val="00301577"/>
    <w:rsid w:val="0030159A"/>
    <w:rsid w:val="003015F4"/>
    <w:rsid w:val="003016D0"/>
    <w:rsid w:val="00301826"/>
    <w:rsid w:val="003018F3"/>
    <w:rsid w:val="00301B4E"/>
    <w:rsid w:val="00301B98"/>
    <w:rsid w:val="00301E8D"/>
    <w:rsid w:val="00301F94"/>
    <w:rsid w:val="00301FD1"/>
    <w:rsid w:val="0030255C"/>
    <w:rsid w:val="00302591"/>
    <w:rsid w:val="00302762"/>
    <w:rsid w:val="00302C5E"/>
    <w:rsid w:val="00302E8C"/>
    <w:rsid w:val="003030BB"/>
    <w:rsid w:val="00303246"/>
    <w:rsid w:val="003034A6"/>
    <w:rsid w:val="003034BF"/>
    <w:rsid w:val="003038B3"/>
    <w:rsid w:val="00303AE0"/>
    <w:rsid w:val="00303B0E"/>
    <w:rsid w:val="00303B14"/>
    <w:rsid w:val="00303B4C"/>
    <w:rsid w:val="00303C85"/>
    <w:rsid w:val="00303D70"/>
    <w:rsid w:val="00303D84"/>
    <w:rsid w:val="00303EEC"/>
    <w:rsid w:val="00304042"/>
    <w:rsid w:val="003043F1"/>
    <w:rsid w:val="00304684"/>
    <w:rsid w:val="00304A19"/>
    <w:rsid w:val="00304C8B"/>
    <w:rsid w:val="00304D27"/>
    <w:rsid w:val="00304D62"/>
    <w:rsid w:val="00304DBC"/>
    <w:rsid w:val="00304EC0"/>
    <w:rsid w:val="00305181"/>
    <w:rsid w:val="00305222"/>
    <w:rsid w:val="00305298"/>
    <w:rsid w:val="00305299"/>
    <w:rsid w:val="00305358"/>
    <w:rsid w:val="003056E8"/>
    <w:rsid w:val="003058F2"/>
    <w:rsid w:val="0030599D"/>
    <w:rsid w:val="00305C53"/>
    <w:rsid w:val="00305DD2"/>
    <w:rsid w:val="00305E3D"/>
    <w:rsid w:val="00305F1A"/>
    <w:rsid w:val="003061AF"/>
    <w:rsid w:val="00306260"/>
    <w:rsid w:val="003063BC"/>
    <w:rsid w:val="00306885"/>
    <w:rsid w:val="003069BE"/>
    <w:rsid w:val="00306F56"/>
    <w:rsid w:val="00307170"/>
    <w:rsid w:val="003071BD"/>
    <w:rsid w:val="00307239"/>
    <w:rsid w:val="003075A1"/>
    <w:rsid w:val="003075CC"/>
    <w:rsid w:val="00307619"/>
    <w:rsid w:val="003077E8"/>
    <w:rsid w:val="00307A39"/>
    <w:rsid w:val="00307C27"/>
    <w:rsid w:val="00307ECC"/>
    <w:rsid w:val="003100A2"/>
    <w:rsid w:val="0031047C"/>
    <w:rsid w:val="0031089C"/>
    <w:rsid w:val="00310BC0"/>
    <w:rsid w:val="00310DBC"/>
    <w:rsid w:val="00310E32"/>
    <w:rsid w:val="0031103B"/>
    <w:rsid w:val="00311462"/>
    <w:rsid w:val="00311468"/>
    <w:rsid w:val="0031169E"/>
    <w:rsid w:val="0031173A"/>
    <w:rsid w:val="00311A78"/>
    <w:rsid w:val="00311B00"/>
    <w:rsid w:val="00311B5F"/>
    <w:rsid w:val="00311EF4"/>
    <w:rsid w:val="00311FCF"/>
    <w:rsid w:val="00312233"/>
    <w:rsid w:val="003122C2"/>
    <w:rsid w:val="00312430"/>
    <w:rsid w:val="00312454"/>
    <w:rsid w:val="003124C6"/>
    <w:rsid w:val="00312526"/>
    <w:rsid w:val="00312A82"/>
    <w:rsid w:val="00312C8C"/>
    <w:rsid w:val="00313224"/>
    <w:rsid w:val="00313248"/>
    <w:rsid w:val="003132AB"/>
    <w:rsid w:val="0031338D"/>
    <w:rsid w:val="0031339F"/>
    <w:rsid w:val="0031349D"/>
    <w:rsid w:val="003135AB"/>
    <w:rsid w:val="003135EE"/>
    <w:rsid w:val="003135F2"/>
    <w:rsid w:val="0031381C"/>
    <w:rsid w:val="003138EF"/>
    <w:rsid w:val="00313906"/>
    <w:rsid w:val="00313B9F"/>
    <w:rsid w:val="0031404A"/>
    <w:rsid w:val="0031456B"/>
    <w:rsid w:val="0031483A"/>
    <w:rsid w:val="00314E1A"/>
    <w:rsid w:val="00314E4D"/>
    <w:rsid w:val="00314F01"/>
    <w:rsid w:val="00315036"/>
    <w:rsid w:val="00315048"/>
    <w:rsid w:val="00315277"/>
    <w:rsid w:val="003152E8"/>
    <w:rsid w:val="00315422"/>
    <w:rsid w:val="00315BA5"/>
    <w:rsid w:val="00315BE3"/>
    <w:rsid w:val="00315C25"/>
    <w:rsid w:val="00315C5F"/>
    <w:rsid w:val="00315C88"/>
    <w:rsid w:val="00315DAA"/>
    <w:rsid w:val="00315E5B"/>
    <w:rsid w:val="0031612A"/>
    <w:rsid w:val="003161D2"/>
    <w:rsid w:val="00316208"/>
    <w:rsid w:val="003163E4"/>
    <w:rsid w:val="0031641B"/>
    <w:rsid w:val="00316489"/>
    <w:rsid w:val="003164AA"/>
    <w:rsid w:val="0031659C"/>
    <w:rsid w:val="0031668C"/>
    <w:rsid w:val="003167D6"/>
    <w:rsid w:val="003167F1"/>
    <w:rsid w:val="00316A10"/>
    <w:rsid w:val="00316B49"/>
    <w:rsid w:val="00316C28"/>
    <w:rsid w:val="00316D60"/>
    <w:rsid w:val="00316DFB"/>
    <w:rsid w:val="00317020"/>
    <w:rsid w:val="00317269"/>
    <w:rsid w:val="00317861"/>
    <w:rsid w:val="00317D92"/>
    <w:rsid w:val="00317DDF"/>
    <w:rsid w:val="0032011C"/>
    <w:rsid w:val="00320237"/>
    <w:rsid w:val="003202AA"/>
    <w:rsid w:val="003204E5"/>
    <w:rsid w:val="003204EC"/>
    <w:rsid w:val="003207F9"/>
    <w:rsid w:val="00320BEB"/>
    <w:rsid w:val="00320C4D"/>
    <w:rsid w:val="00320CAD"/>
    <w:rsid w:val="00320E28"/>
    <w:rsid w:val="00320EEE"/>
    <w:rsid w:val="00320F1A"/>
    <w:rsid w:val="00320F8A"/>
    <w:rsid w:val="003210E7"/>
    <w:rsid w:val="00321233"/>
    <w:rsid w:val="003214E5"/>
    <w:rsid w:val="00321546"/>
    <w:rsid w:val="00321751"/>
    <w:rsid w:val="00321773"/>
    <w:rsid w:val="0032182A"/>
    <w:rsid w:val="003218A4"/>
    <w:rsid w:val="003218ED"/>
    <w:rsid w:val="00321F83"/>
    <w:rsid w:val="003220D1"/>
    <w:rsid w:val="00322498"/>
    <w:rsid w:val="003225A1"/>
    <w:rsid w:val="00322C22"/>
    <w:rsid w:val="00322F0F"/>
    <w:rsid w:val="00323085"/>
    <w:rsid w:val="003234D9"/>
    <w:rsid w:val="003236B1"/>
    <w:rsid w:val="00323712"/>
    <w:rsid w:val="00323758"/>
    <w:rsid w:val="003237F6"/>
    <w:rsid w:val="00323AB3"/>
    <w:rsid w:val="00323F7D"/>
    <w:rsid w:val="003245B1"/>
    <w:rsid w:val="0032470D"/>
    <w:rsid w:val="00324A00"/>
    <w:rsid w:val="00324AF5"/>
    <w:rsid w:val="00324B52"/>
    <w:rsid w:val="0032555D"/>
    <w:rsid w:val="003259C5"/>
    <w:rsid w:val="00325DD8"/>
    <w:rsid w:val="00325EED"/>
    <w:rsid w:val="00325F44"/>
    <w:rsid w:val="00326260"/>
    <w:rsid w:val="00326329"/>
    <w:rsid w:val="00326AC3"/>
    <w:rsid w:val="00326ED1"/>
    <w:rsid w:val="00327355"/>
    <w:rsid w:val="003273FA"/>
    <w:rsid w:val="003276E5"/>
    <w:rsid w:val="00327793"/>
    <w:rsid w:val="003278D6"/>
    <w:rsid w:val="00327AE6"/>
    <w:rsid w:val="00327BA8"/>
    <w:rsid w:val="00327ED0"/>
    <w:rsid w:val="003306ED"/>
    <w:rsid w:val="003307B2"/>
    <w:rsid w:val="00330818"/>
    <w:rsid w:val="00330BED"/>
    <w:rsid w:val="003310D8"/>
    <w:rsid w:val="00331443"/>
    <w:rsid w:val="0033144B"/>
    <w:rsid w:val="0033165E"/>
    <w:rsid w:val="0033166E"/>
    <w:rsid w:val="00331897"/>
    <w:rsid w:val="00331950"/>
    <w:rsid w:val="00331D17"/>
    <w:rsid w:val="00331DF5"/>
    <w:rsid w:val="00331E23"/>
    <w:rsid w:val="00331E95"/>
    <w:rsid w:val="003322D2"/>
    <w:rsid w:val="003323B8"/>
    <w:rsid w:val="00332454"/>
    <w:rsid w:val="003327C5"/>
    <w:rsid w:val="0033288A"/>
    <w:rsid w:val="003328B1"/>
    <w:rsid w:val="00332AA6"/>
    <w:rsid w:val="00332B4C"/>
    <w:rsid w:val="00332BA8"/>
    <w:rsid w:val="00332C54"/>
    <w:rsid w:val="00332D0A"/>
    <w:rsid w:val="0033305F"/>
    <w:rsid w:val="00333109"/>
    <w:rsid w:val="00333320"/>
    <w:rsid w:val="00333553"/>
    <w:rsid w:val="00333557"/>
    <w:rsid w:val="0033398E"/>
    <w:rsid w:val="003339B0"/>
    <w:rsid w:val="00333C1C"/>
    <w:rsid w:val="00333D6E"/>
    <w:rsid w:val="00333E3E"/>
    <w:rsid w:val="00333F43"/>
    <w:rsid w:val="003343AA"/>
    <w:rsid w:val="003346C8"/>
    <w:rsid w:val="00334787"/>
    <w:rsid w:val="00334911"/>
    <w:rsid w:val="003349AA"/>
    <w:rsid w:val="00334AB1"/>
    <w:rsid w:val="00334CBB"/>
    <w:rsid w:val="00334EBD"/>
    <w:rsid w:val="003352B5"/>
    <w:rsid w:val="0033531E"/>
    <w:rsid w:val="00335378"/>
    <w:rsid w:val="00335438"/>
    <w:rsid w:val="00335596"/>
    <w:rsid w:val="003355B3"/>
    <w:rsid w:val="0033572C"/>
    <w:rsid w:val="00335917"/>
    <w:rsid w:val="00335B81"/>
    <w:rsid w:val="00335DBC"/>
    <w:rsid w:val="00335FA2"/>
    <w:rsid w:val="00336013"/>
    <w:rsid w:val="0033618E"/>
    <w:rsid w:val="003362D8"/>
    <w:rsid w:val="00336984"/>
    <w:rsid w:val="00336A11"/>
    <w:rsid w:val="00336A64"/>
    <w:rsid w:val="00336AA7"/>
    <w:rsid w:val="00336ABF"/>
    <w:rsid w:val="00336D45"/>
    <w:rsid w:val="00336DDB"/>
    <w:rsid w:val="00336DE1"/>
    <w:rsid w:val="00336F77"/>
    <w:rsid w:val="00337092"/>
    <w:rsid w:val="0033736D"/>
    <w:rsid w:val="003373B4"/>
    <w:rsid w:val="00337425"/>
    <w:rsid w:val="00337557"/>
    <w:rsid w:val="0033755B"/>
    <w:rsid w:val="00337657"/>
    <w:rsid w:val="0033784A"/>
    <w:rsid w:val="00337854"/>
    <w:rsid w:val="00337902"/>
    <w:rsid w:val="00337987"/>
    <w:rsid w:val="00337ABA"/>
    <w:rsid w:val="00337AEF"/>
    <w:rsid w:val="00337B94"/>
    <w:rsid w:val="00337D67"/>
    <w:rsid w:val="00337D92"/>
    <w:rsid w:val="00337EB3"/>
    <w:rsid w:val="00337EF0"/>
    <w:rsid w:val="003400FF"/>
    <w:rsid w:val="0034017B"/>
    <w:rsid w:val="0034028E"/>
    <w:rsid w:val="003402A5"/>
    <w:rsid w:val="003403F6"/>
    <w:rsid w:val="00340CF8"/>
    <w:rsid w:val="00340D27"/>
    <w:rsid w:val="00340D60"/>
    <w:rsid w:val="00340F4E"/>
    <w:rsid w:val="00341096"/>
    <w:rsid w:val="003414A1"/>
    <w:rsid w:val="00341622"/>
    <w:rsid w:val="0034169B"/>
    <w:rsid w:val="0034181A"/>
    <w:rsid w:val="0034181F"/>
    <w:rsid w:val="003418EB"/>
    <w:rsid w:val="00341BF5"/>
    <w:rsid w:val="00341CB4"/>
    <w:rsid w:val="00341CC9"/>
    <w:rsid w:val="00341E04"/>
    <w:rsid w:val="00341E5C"/>
    <w:rsid w:val="003423C4"/>
    <w:rsid w:val="003429BC"/>
    <w:rsid w:val="00342ED7"/>
    <w:rsid w:val="00342EE6"/>
    <w:rsid w:val="00343341"/>
    <w:rsid w:val="00343703"/>
    <w:rsid w:val="0034370C"/>
    <w:rsid w:val="003437DB"/>
    <w:rsid w:val="00343816"/>
    <w:rsid w:val="00343A16"/>
    <w:rsid w:val="00343A8A"/>
    <w:rsid w:val="00343B92"/>
    <w:rsid w:val="00343C8C"/>
    <w:rsid w:val="00343D4C"/>
    <w:rsid w:val="00343EB3"/>
    <w:rsid w:val="0034414C"/>
    <w:rsid w:val="003442A5"/>
    <w:rsid w:val="00344346"/>
    <w:rsid w:val="00344960"/>
    <w:rsid w:val="003449F7"/>
    <w:rsid w:val="00344B10"/>
    <w:rsid w:val="00344DC6"/>
    <w:rsid w:val="00344DD4"/>
    <w:rsid w:val="00344FF8"/>
    <w:rsid w:val="0034529E"/>
    <w:rsid w:val="0034561A"/>
    <w:rsid w:val="00345699"/>
    <w:rsid w:val="00345784"/>
    <w:rsid w:val="00345D3A"/>
    <w:rsid w:val="00345E76"/>
    <w:rsid w:val="00346006"/>
    <w:rsid w:val="0034617A"/>
    <w:rsid w:val="0034621E"/>
    <w:rsid w:val="00346342"/>
    <w:rsid w:val="003466CB"/>
    <w:rsid w:val="00346712"/>
    <w:rsid w:val="0034674E"/>
    <w:rsid w:val="0034681B"/>
    <w:rsid w:val="00346832"/>
    <w:rsid w:val="003468E0"/>
    <w:rsid w:val="00346AD3"/>
    <w:rsid w:val="00346E23"/>
    <w:rsid w:val="00346F2E"/>
    <w:rsid w:val="00346FC7"/>
    <w:rsid w:val="0034704D"/>
    <w:rsid w:val="003470E2"/>
    <w:rsid w:val="00347473"/>
    <w:rsid w:val="003474FF"/>
    <w:rsid w:val="00347546"/>
    <w:rsid w:val="00347660"/>
    <w:rsid w:val="00347666"/>
    <w:rsid w:val="00347844"/>
    <w:rsid w:val="00347AC3"/>
    <w:rsid w:val="00347C78"/>
    <w:rsid w:val="00347D6F"/>
    <w:rsid w:val="00347F2C"/>
    <w:rsid w:val="003502DB"/>
    <w:rsid w:val="00350406"/>
    <w:rsid w:val="0035085C"/>
    <w:rsid w:val="00350958"/>
    <w:rsid w:val="00350A0B"/>
    <w:rsid w:val="00350BCE"/>
    <w:rsid w:val="00350C24"/>
    <w:rsid w:val="00350E4C"/>
    <w:rsid w:val="00350E76"/>
    <w:rsid w:val="00350F3E"/>
    <w:rsid w:val="00350F87"/>
    <w:rsid w:val="00351106"/>
    <w:rsid w:val="0035133D"/>
    <w:rsid w:val="003515ED"/>
    <w:rsid w:val="003516F0"/>
    <w:rsid w:val="00351859"/>
    <w:rsid w:val="00351895"/>
    <w:rsid w:val="003518AA"/>
    <w:rsid w:val="00351A26"/>
    <w:rsid w:val="00351AAD"/>
    <w:rsid w:val="00351B19"/>
    <w:rsid w:val="00351F35"/>
    <w:rsid w:val="003522B5"/>
    <w:rsid w:val="00352579"/>
    <w:rsid w:val="003525FF"/>
    <w:rsid w:val="003530DD"/>
    <w:rsid w:val="003531AC"/>
    <w:rsid w:val="00353221"/>
    <w:rsid w:val="003534E8"/>
    <w:rsid w:val="003535F0"/>
    <w:rsid w:val="00353716"/>
    <w:rsid w:val="003539E3"/>
    <w:rsid w:val="00353A15"/>
    <w:rsid w:val="00353B1D"/>
    <w:rsid w:val="00353D60"/>
    <w:rsid w:val="00353D8E"/>
    <w:rsid w:val="00353F5C"/>
    <w:rsid w:val="00353F6C"/>
    <w:rsid w:val="00354134"/>
    <w:rsid w:val="00354191"/>
    <w:rsid w:val="003542CA"/>
    <w:rsid w:val="00354568"/>
    <w:rsid w:val="003546F9"/>
    <w:rsid w:val="00354785"/>
    <w:rsid w:val="00354882"/>
    <w:rsid w:val="00354A43"/>
    <w:rsid w:val="00354C2B"/>
    <w:rsid w:val="00354E08"/>
    <w:rsid w:val="00355540"/>
    <w:rsid w:val="00355552"/>
    <w:rsid w:val="00355692"/>
    <w:rsid w:val="0035583C"/>
    <w:rsid w:val="00355B54"/>
    <w:rsid w:val="00355ECF"/>
    <w:rsid w:val="003561DF"/>
    <w:rsid w:val="003565EA"/>
    <w:rsid w:val="003567E0"/>
    <w:rsid w:val="00356EEA"/>
    <w:rsid w:val="00357519"/>
    <w:rsid w:val="0035763B"/>
    <w:rsid w:val="0035794D"/>
    <w:rsid w:val="00357973"/>
    <w:rsid w:val="00357A29"/>
    <w:rsid w:val="00357C1D"/>
    <w:rsid w:val="00357C3E"/>
    <w:rsid w:val="00357CF6"/>
    <w:rsid w:val="00357E46"/>
    <w:rsid w:val="00357ECC"/>
    <w:rsid w:val="00360170"/>
    <w:rsid w:val="00360205"/>
    <w:rsid w:val="0036065A"/>
    <w:rsid w:val="00360811"/>
    <w:rsid w:val="00360A91"/>
    <w:rsid w:val="00360BFF"/>
    <w:rsid w:val="00360CEC"/>
    <w:rsid w:val="00360DCA"/>
    <w:rsid w:val="00360DFB"/>
    <w:rsid w:val="0036100A"/>
    <w:rsid w:val="003610E0"/>
    <w:rsid w:val="0036115D"/>
    <w:rsid w:val="00361289"/>
    <w:rsid w:val="003613F4"/>
    <w:rsid w:val="00361B7E"/>
    <w:rsid w:val="00361C3D"/>
    <w:rsid w:val="00361E05"/>
    <w:rsid w:val="00361E40"/>
    <w:rsid w:val="0036219E"/>
    <w:rsid w:val="00362546"/>
    <w:rsid w:val="003628F3"/>
    <w:rsid w:val="0036299B"/>
    <w:rsid w:val="00362A03"/>
    <w:rsid w:val="00362A44"/>
    <w:rsid w:val="00362AED"/>
    <w:rsid w:val="00362D76"/>
    <w:rsid w:val="00362DC3"/>
    <w:rsid w:val="00363105"/>
    <w:rsid w:val="0036369D"/>
    <w:rsid w:val="0036369E"/>
    <w:rsid w:val="003637C3"/>
    <w:rsid w:val="00363AD0"/>
    <w:rsid w:val="00363CAC"/>
    <w:rsid w:val="00363CDB"/>
    <w:rsid w:val="00363E16"/>
    <w:rsid w:val="00363FCC"/>
    <w:rsid w:val="003642DF"/>
    <w:rsid w:val="0036438C"/>
    <w:rsid w:val="00364666"/>
    <w:rsid w:val="003646D7"/>
    <w:rsid w:val="003646E1"/>
    <w:rsid w:val="00364718"/>
    <w:rsid w:val="00364C61"/>
    <w:rsid w:val="00364C6C"/>
    <w:rsid w:val="00364D14"/>
    <w:rsid w:val="00364FF9"/>
    <w:rsid w:val="00365067"/>
    <w:rsid w:val="0036528C"/>
    <w:rsid w:val="0036544C"/>
    <w:rsid w:val="00365744"/>
    <w:rsid w:val="00365AAE"/>
    <w:rsid w:val="00365B6C"/>
    <w:rsid w:val="00365D82"/>
    <w:rsid w:val="00365ED7"/>
    <w:rsid w:val="00365F19"/>
    <w:rsid w:val="0036603B"/>
    <w:rsid w:val="00366208"/>
    <w:rsid w:val="0036621B"/>
    <w:rsid w:val="0036625F"/>
    <w:rsid w:val="0036649F"/>
    <w:rsid w:val="00366AA9"/>
    <w:rsid w:val="00366B66"/>
    <w:rsid w:val="00366C15"/>
    <w:rsid w:val="00366C50"/>
    <w:rsid w:val="00366C9E"/>
    <w:rsid w:val="003670D1"/>
    <w:rsid w:val="00367294"/>
    <w:rsid w:val="00367520"/>
    <w:rsid w:val="00367717"/>
    <w:rsid w:val="00367D50"/>
    <w:rsid w:val="00367E9F"/>
    <w:rsid w:val="00367F76"/>
    <w:rsid w:val="003702A6"/>
    <w:rsid w:val="0037039D"/>
    <w:rsid w:val="00370499"/>
    <w:rsid w:val="0037060D"/>
    <w:rsid w:val="003706D6"/>
    <w:rsid w:val="0037072E"/>
    <w:rsid w:val="00370B23"/>
    <w:rsid w:val="00370BEB"/>
    <w:rsid w:val="00370CF7"/>
    <w:rsid w:val="00370E3E"/>
    <w:rsid w:val="00370E7F"/>
    <w:rsid w:val="003711A8"/>
    <w:rsid w:val="0037127F"/>
    <w:rsid w:val="00371282"/>
    <w:rsid w:val="0037137A"/>
    <w:rsid w:val="00371383"/>
    <w:rsid w:val="00371624"/>
    <w:rsid w:val="00371860"/>
    <w:rsid w:val="003718A7"/>
    <w:rsid w:val="0037192F"/>
    <w:rsid w:val="003719F6"/>
    <w:rsid w:val="00371C2E"/>
    <w:rsid w:val="00371C66"/>
    <w:rsid w:val="00371FEE"/>
    <w:rsid w:val="003720D4"/>
    <w:rsid w:val="003721AB"/>
    <w:rsid w:val="003721B7"/>
    <w:rsid w:val="003722A6"/>
    <w:rsid w:val="00372451"/>
    <w:rsid w:val="0037257B"/>
    <w:rsid w:val="00372860"/>
    <w:rsid w:val="003729BE"/>
    <w:rsid w:val="00372D31"/>
    <w:rsid w:val="00372E1C"/>
    <w:rsid w:val="00372E32"/>
    <w:rsid w:val="003732F6"/>
    <w:rsid w:val="0037341E"/>
    <w:rsid w:val="003734D6"/>
    <w:rsid w:val="003736C8"/>
    <w:rsid w:val="00373710"/>
    <w:rsid w:val="00373A06"/>
    <w:rsid w:val="00373AD1"/>
    <w:rsid w:val="00373B1E"/>
    <w:rsid w:val="00373F2C"/>
    <w:rsid w:val="00374151"/>
    <w:rsid w:val="003742D4"/>
    <w:rsid w:val="00374996"/>
    <w:rsid w:val="00374BD1"/>
    <w:rsid w:val="00374CEE"/>
    <w:rsid w:val="0037509C"/>
    <w:rsid w:val="003750DD"/>
    <w:rsid w:val="0037541E"/>
    <w:rsid w:val="0037545B"/>
    <w:rsid w:val="00375EEF"/>
    <w:rsid w:val="00376171"/>
    <w:rsid w:val="003761CF"/>
    <w:rsid w:val="00376421"/>
    <w:rsid w:val="00376458"/>
    <w:rsid w:val="00376549"/>
    <w:rsid w:val="00376618"/>
    <w:rsid w:val="003766C9"/>
    <w:rsid w:val="00376717"/>
    <w:rsid w:val="00376833"/>
    <w:rsid w:val="003768E6"/>
    <w:rsid w:val="003769AF"/>
    <w:rsid w:val="00376ACD"/>
    <w:rsid w:val="00376C2C"/>
    <w:rsid w:val="00376CFD"/>
    <w:rsid w:val="00376E49"/>
    <w:rsid w:val="00377048"/>
    <w:rsid w:val="00377055"/>
    <w:rsid w:val="003771BD"/>
    <w:rsid w:val="00377718"/>
    <w:rsid w:val="0037774F"/>
    <w:rsid w:val="00377C55"/>
    <w:rsid w:val="00377D3D"/>
    <w:rsid w:val="00377DBD"/>
    <w:rsid w:val="00377FAB"/>
    <w:rsid w:val="003800EE"/>
    <w:rsid w:val="0038014C"/>
    <w:rsid w:val="00380253"/>
    <w:rsid w:val="003803AB"/>
    <w:rsid w:val="00380A29"/>
    <w:rsid w:val="00380B71"/>
    <w:rsid w:val="00380DC9"/>
    <w:rsid w:val="0038105E"/>
    <w:rsid w:val="003812A3"/>
    <w:rsid w:val="00381559"/>
    <w:rsid w:val="003815CB"/>
    <w:rsid w:val="003815DB"/>
    <w:rsid w:val="003817AE"/>
    <w:rsid w:val="003817BF"/>
    <w:rsid w:val="003818B6"/>
    <w:rsid w:val="003819F0"/>
    <w:rsid w:val="00381A1F"/>
    <w:rsid w:val="00381B05"/>
    <w:rsid w:val="00381C2B"/>
    <w:rsid w:val="00381D5F"/>
    <w:rsid w:val="00381F12"/>
    <w:rsid w:val="00382069"/>
    <w:rsid w:val="003820AF"/>
    <w:rsid w:val="003822D2"/>
    <w:rsid w:val="00382402"/>
    <w:rsid w:val="00382D8C"/>
    <w:rsid w:val="00382F3C"/>
    <w:rsid w:val="00383108"/>
    <w:rsid w:val="00383546"/>
    <w:rsid w:val="003836A0"/>
    <w:rsid w:val="003836C5"/>
    <w:rsid w:val="00383738"/>
    <w:rsid w:val="00383BE0"/>
    <w:rsid w:val="00383F4F"/>
    <w:rsid w:val="00384153"/>
    <w:rsid w:val="00384202"/>
    <w:rsid w:val="00384269"/>
    <w:rsid w:val="00384413"/>
    <w:rsid w:val="0038443C"/>
    <w:rsid w:val="003846DA"/>
    <w:rsid w:val="0038484D"/>
    <w:rsid w:val="00384D8A"/>
    <w:rsid w:val="00384F1D"/>
    <w:rsid w:val="0038507A"/>
    <w:rsid w:val="0038524C"/>
    <w:rsid w:val="003852D5"/>
    <w:rsid w:val="0038545A"/>
    <w:rsid w:val="003856C1"/>
    <w:rsid w:val="003859FD"/>
    <w:rsid w:val="00385CB5"/>
    <w:rsid w:val="00385CCC"/>
    <w:rsid w:val="00385D30"/>
    <w:rsid w:val="0038629B"/>
    <w:rsid w:val="003863B9"/>
    <w:rsid w:val="0038644C"/>
    <w:rsid w:val="003864AC"/>
    <w:rsid w:val="003865D1"/>
    <w:rsid w:val="00386608"/>
    <w:rsid w:val="0038690E"/>
    <w:rsid w:val="00386BC9"/>
    <w:rsid w:val="00386BE2"/>
    <w:rsid w:val="00386C96"/>
    <w:rsid w:val="00386FD4"/>
    <w:rsid w:val="00386FD5"/>
    <w:rsid w:val="00387043"/>
    <w:rsid w:val="003872FA"/>
    <w:rsid w:val="0038748F"/>
    <w:rsid w:val="003875BD"/>
    <w:rsid w:val="003875C5"/>
    <w:rsid w:val="00387773"/>
    <w:rsid w:val="0038780F"/>
    <w:rsid w:val="00387859"/>
    <w:rsid w:val="00387AAE"/>
    <w:rsid w:val="00387D3F"/>
    <w:rsid w:val="00390048"/>
    <w:rsid w:val="003903C1"/>
    <w:rsid w:val="0039064F"/>
    <w:rsid w:val="003906A2"/>
    <w:rsid w:val="003906FA"/>
    <w:rsid w:val="0039095E"/>
    <w:rsid w:val="003909EA"/>
    <w:rsid w:val="00390A6B"/>
    <w:rsid w:val="00390A7D"/>
    <w:rsid w:val="00390A91"/>
    <w:rsid w:val="00390B06"/>
    <w:rsid w:val="00390B99"/>
    <w:rsid w:val="00390F00"/>
    <w:rsid w:val="003917CD"/>
    <w:rsid w:val="00391B21"/>
    <w:rsid w:val="00392073"/>
    <w:rsid w:val="003922E4"/>
    <w:rsid w:val="003923BE"/>
    <w:rsid w:val="0039291C"/>
    <w:rsid w:val="00392966"/>
    <w:rsid w:val="00392AAA"/>
    <w:rsid w:val="00392CFB"/>
    <w:rsid w:val="00392DA5"/>
    <w:rsid w:val="00393188"/>
    <w:rsid w:val="00393212"/>
    <w:rsid w:val="00393694"/>
    <w:rsid w:val="00393695"/>
    <w:rsid w:val="003936C3"/>
    <w:rsid w:val="003936CE"/>
    <w:rsid w:val="003938B1"/>
    <w:rsid w:val="00393BE6"/>
    <w:rsid w:val="00393F41"/>
    <w:rsid w:val="00394097"/>
    <w:rsid w:val="003940D4"/>
    <w:rsid w:val="003943B8"/>
    <w:rsid w:val="00394471"/>
    <w:rsid w:val="0039460B"/>
    <w:rsid w:val="003948CB"/>
    <w:rsid w:val="00394ADD"/>
    <w:rsid w:val="00394C58"/>
    <w:rsid w:val="00394E93"/>
    <w:rsid w:val="00394EEF"/>
    <w:rsid w:val="00395296"/>
    <w:rsid w:val="0039545D"/>
    <w:rsid w:val="003954C2"/>
    <w:rsid w:val="003955DA"/>
    <w:rsid w:val="00395651"/>
    <w:rsid w:val="003956B7"/>
    <w:rsid w:val="00395795"/>
    <w:rsid w:val="00395E2D"/>
    <w:rsid w:val="00395E3F"/>
    <w:rsid w:val="00396530"/>
    <w:rsid w:val="00396597"/>
    <w:rsid w:val="003968C9"/>
    <w:rsid w:val="00396AC3"/>
    <w:rsid w:val="00397071"/>
    <w:rsid w:val="003970AD"/>
    <w:rsid w:val="003972C7"/>
    <w:rsid w:val="003973B1"/>
    <w:rsid w:val="0039756F"/>
    <w:rsid w:val="00397612"/>
    <w:rsid w:val="003976AB"/>
    <w:rsid w:val="0039776A"/>
    <w:rsid w:val="00397826"/>
    <w:rsid w:val="003978F3"/>
    <w:rsid w:val="00397967"/>
    <w:rsid w:val="00397975"/>
    <w:rsid w:val="003979D9"/>
    <w:rsid w:val="00397AEE"/>
    <w:rsid w:val="00397FBB"/>
    <w:rsid w:val="003A0136"/>
    <w:rsid w:val="003A0394"/>
    <w:rsid w:val="003A03F1"/>
    <w:rsid w:val="003A0430"/>
    <w:rsid w:val="003A055A"/>
    <w:rsid w:val="003A07F3"/>
    <w:rsid w:val="003A08CF"/>
    <w:rsid w:val="003A0906"/>
    <w:rsid w:val="003A09A1"/>
    <w:rsid w:val="003A0ADF"/>
    <w:rsid w:val="003A0B90"/>
    <w:rsid w:val="003A0CF1"/>
    <w:rsid w:val="003A0D89"/>
    <w:rsid w:val="003A110E"/>
    <w:rsid w:val="003A175E"/>
    <w:rsid w:val="003A1817"/>
    <w:rsid w:val="003A1A71"/>
    <w:rsid w:val="003A1AE4"/>
    <w:rsid w:val="003A1C43"/>
    <w:rsid w:val="003A1DE3"/>
    <w:rsid w:val="003A1EFB"/>
    <w:rsid w:val="003A1F30"/>
    <w:rsid w:val="003A1F5A"/>
    <w:rsid w:val="003A23CA"/>
    <w:rsid w:val="003A2AD5"/>
    <w:rsid w:val="003A2CD9"/>
    <w:rsid w:val="003A2D1B"/>
    <w:rsid w:val="003A2D3D"/>
    <w:rsid w:val="003A2E8E"/>
    <w:rsid w:val="003A2F88"/>
    <w:rsid w:val="003A302A"/>
    <w:rsid w:val="003A30CF"/>
    <w:rsid w:val="003A3179"/>
    <w:rsid w:val="003A3366"/>
    <w:rsid w:val="003A3550"/>
    <w:rsid w:val="003A36B4"/>
    <w:rsid w:val="003A36D5"/>
    <w:rsid w:val="003A3702"/>
    <w:rsid w:val="003A3954"/>
    <w:rsid w:val="003A3A21"/>
    <w:rsid w:val="003A3D49"/>
    <w:rsid w:val="003A3F6E"/>
    <w:rsid w:val="003A41CE"/>
    <w:rsid w:val="003A4316"/>
    <w:rsid w:val="003A4541"/>
    <w:rsid w:val="003A45C2"/>
    <w:rsid w:val="003A4BF3"/>
    <w:rsid w:val="003A4CDB"/>
    <w:rsid w:val="003A503D"/>
    <w:rsid w:val="003A52A6"/>
    <w:rsid w:val="003A5736"/>
    <w:rsid w:val="003A584A"/>
    <w:rsid w:val="003A5914"/>
    <w:rsid w:val="003A5938"/>
    <w:rsid w:val="003A5A22"/>
    <w:rsid w:val="003A5B1D"/>
    <w:rsid w:val="003A5B8B"/>
    <w:rsid w:val="003A5CED"/>
    <w:rsid w:val="003A5CF8"/>
    <w:rsid w:val="003A5D37"/>
    <w:rsid w:val="003A5EEC"/>
    <w:rsid w:val="003A60A9"/>
    <w:rsid w:val="003A6208"/>
    <w:rsid w:val="003A621C"/>
    <w:rsid w:val="003A634A"/>
    <w:rsid w:val="003A6524"/>
    <w:rsid w:val="003A6718"/>
    <w:rsid w:val="003A6BBE"/>
    <w:rsid w:val="003A6CE2"/>
    <w:rsid w:val="003A7664"/>
    <w:rsid w:val="003A76E9"/>
    <w:rsid w:val="003A76EE"/>
    <w:rsid w:val="003A77AE"/>
    <w:rsid w:val="003A7948"/>
    <w:rsid w:val="003A794E"/>
    <w:rsid w:val="003A7988"/>
    <w:rsid w:val="003A79EF"/>
    <w:rsid w:val="003A7C11"/>
    <w:rsid w:val="003A7E0B"/>
    <w:rsid w:val="003B0B71"/>
    <w:rsid w:val="003B0C6E"/>
    <w:rsid w:val="003B0DD4"/>
    <w:rsid w:val="003B0E27"/>
    <w:rsid w:val="003B0E55"/>
    <w:rsid w:val="003B0F78"/>
    <w:rsid w:val="003B1096"/>
    <w:rsid w:val="003B1199"/>
    <w:rsid w:val="003B150B"/>
    <w:rsid w:val="003B164D"/>
    <w:rsid w:val="003B16F2"/>
    <w:rsid w:val="003B1722"/>
    <w:rsid w:val="003B1740"/>
    <w:rsid w:val="003B199A"/>
    <w:rsid w:val="003B19F4"/>
    <w:rsid w:val="003B1BF5"/>
    <w:rsid w:val="003B232B"/>
    <w:rsid w:val="003B2449"/>
    <w:rsid w:val="003B25DE"/>
    <w:rsid w:val="003B25FF"/>
    <w:rsid w:val="003B26A2"/>
    <w:rsid w:val="003B26AE"/>
    <w:rsid w:val="003B287B"/>
    <w:rsid w:val="003B28F5"/>
    <w:rsid w:val="003B297D"/>
    <w:rsid w:val="003B2B87"/>
    <w:rsid w:val="003B2C1E"/>
    <w:rsid w:val="003B2CA8"/>
    <w:rsid w:val="003B2CD6"/>
    <w:rsid w:val="003B2D69"/>
    <w:rsid w:val="003B2FD7"/>
    <w:rsid w:val="003B32B6"/>
    <w:rsid w:val="003B3629"/>
    <w:rsid w:val="003B374F"/>
    <w:rsid w:val="003B38F3"/>
    <w:rsid w:val="003B39D2"/>
    <w:rsid w:val="003B3D96"/>
    <w:rsid w:val="003B3E67"/>
    <w:rsid w:val="003B3FDE"/>
    <w:rsid w:val="003B3FE5"/>
    <w:rsid w:val="003B4168"/>
    <w:rsid w:val="003B4215"/>
    <w:rsid w:val="003B425D"/>
    <w:rsid w:val="003B4747"/>
    <w:rsid w:val="003B47D5"/>
    <w:rsid w:val="003B482C"/>
    <w:rsid w:val="003B48B4"/>
    <w:rsid w:val="003B4ABE"/>
    <w:rsid w:val="003B4AFA"/>
    <w:rsid w:val="003B4D3A"/>
    <w:rsid w:val="003B4EC0"/>
    <w:rsid w:val="003B510F"/>
    <w:rsid w:val="003B56B9"/>
    <w:rsid w:val="003B56D6"/>
    <w:rsid w:val="003B584F"/>
    <w:rsid w:val="003B589D"/>
    <w:rsid w:val="003B5B24"/>
    <w:rsid w:val="003B5CDF"/>
    <w:rsid w:val="003B5DBB"/>
    <w:rsid w:val="003B5E1E"/>
    <w:rsid w:val="003B62E4"/>
    <w:rsid w:val="003B6343"/>
    <w:rsid w:val="003B63DA"/>
    <w:rsid w:val="003B64CF"/>
    <w:rsid w:val="003B65F0"/>
    <w:rsid w:val="003B681E"/>
    <w:rsid w:val="003B6865"/>
    <w:rsid w:val="003B6950"/>
    <w:rsid w:val="003B6AE9"/>
    <w:rsid w:val="003B7126"/>
    <w:rsid w:val="003B73D3"/>
    <w:rsid w:val="003B75C6"/>
    <w:rsid w:val="003B7782"/>
    <w:rsid w:val="003B77A2"/>
    <w:rsid w:val="003B79E0"/>
    <w:rsid w:val="003C00B4"/>
    <w:rsid w:val="003C017B"/>
    <w:rsid w:val="003C018F"/>
    <w:rsid w:val="003C02CE"/>
    <w:rsid w:val="003C055F"/>
    <w:rsid w:val="003C08A9"/>
    <w:rsid w:val="003C08EE"/>
    <w:rsid w:val="003C091E"/>
    <w:rsid w:val="003C0A57"/>
    <w:rsid w:val="003C0BC0"/>
    <w:rsid w:val="003C0D2E"/>
    <w:rsid w:val="003C0D45"/>
    <w:rsid w:val="003C0D80"/>
    <w:rsid w:val="003C0FC2"/>
    <w:rsid w:val="003C1502"/>
    <w:rsid w:val="003C152B"/>
    <w:rsid w:val="003C157B"/>
    <w:rsid w:val="003C18D0"/>
    <w:rsid w:val="003C1A24"/>
    <w:rsid w:val="003C1F47"/>
    <w:rsid w:val="003C2090"/>
    <w:rsid w:val="003C20F8"/>
    <w:rsid w:val="003C21F6"/>
    <w:rsid w:val="003C2235"/>
    <w:rsid w:val="003C2512"/>
    <w:rsid w:val="003C25A4"/>
    <w:rsid w:val="003C2643"/>
    <w:rsid w:val="003C2975"/>
    <w:rsid w:val="003C2A0C"/>
    <w:rsid w:val="003C2B37"/>
    <w:rsid w:val="003C2C89"/>
    <w:rsid w:val="003C2D97"/>
    <w:rsid w:val="003C2EB7"/>
    <w:rsid w:val="003C2FBF"/>
    <w:rsid w:val="003C3314"/>
    <w:rsid w:val="003C335A"/>
    <w:rsid w:val="003C3782"/>
    <w:rsid w:val="003C3821"/>
    <w:rsid w:val="003C399F"/>
    <w:rsid w:val="003C3AD3"/>
    <w:rsid w:val="003C3DA1"/>
    <w:rsid w:val="003C3F24"/>
    <w:rsid w:val="003C3F92"/>
    <w:rsid w:val="003C4178"/>
    <w:rsid w:val="003C4651"/>
    <w:rsid w:val="003C46B1"/>
    <w:rsid w:val="003C47A9"/>
    <w:rsid w:val="003C4907"/>
    <w:rsid w:val="003C49CB"/>
    <w:rsid w:val="003C4A6D"/>
    <w:rsid w:val="003C4A9E"/>
    <w:rsid w:val="003C4AD0"/>
    <w:rsid w:val="003C4B30"/>
    <w:rsid w:val="003C5238"/>
    <w:rsid w:val="003C52C0"/>
    <w:rsid w:val="003C54FA"/>
    <w:rsid w:val="003C5519"/>
    <w:rsid w:val="003C56F9"/>
    <w:rsid w:val="003C58A9"/>
    <w:rsid w:val="003C5A4A"/>
    <w:rsid w:val="003C5B7E"/>
    <w:rsid w:val="003C5C4E"/>
    <w:rsid w:val="003C5CB7"/>
    <w:rsid w:val="003C5CE0"/>
    <w:rsid w:val="003C5D11"/>
    <w:rsid w:val="003C5D72"/>
    <w:rsid w:val="003C5E1F"/>
    <w:rsid w:val="003C5EE5"/>
    <w:rsid w:val="003C6166"/>
    <w:rsid w:val="003C652B"/>
    <w:rsid w:val="003C6629"/>
    <w:rsid w:val="003C66BF"/>
    <w:rsid w:val="003C6710"/>
    <w:rsid w:val="003C6B58"/>
    <w:rsid w:val="003C6C99"/>
    <w:rsid w:val="003C6CA2"/>
    <w:rsid w:val="003C6CE7"/>
    <w:rsid w:val="003C6D36"/>
    <w:rsid w:val="003C7122"/>
    <w:rsid w:val="003C71E2"/>
    <w:rsid w:val="003C7294"/>
    <w:rsid w:val="003C768B"/>
    <w:rsid w:val="003C79AB"/>
    <w:rsid w:val="003C79AF"/>
    <w:rsid w:val="003C7A0C"/>
    <w:rsid w:val="003C7A28"/>
    <w:rsid w:val="003C7ACF"/>
    <w:rsid w:val="003C7BAE"/>
    <w:rsid w:val="003C7E21"/>
    <w:rsid w:val="003C7E3C"/>
    <w:rsid w:val="003D026E"/>
    <w:rsid w:val="003D04EA"/>
    <w:rsid w:val="003D0518"/>
    <w:rsid w:val="003D0642"/>
    <w:rsid w:val="003D0B5C"/>
    <w:rsid w:val="003D0CE0"/>
    <w:rsid w:val="003D0F29"/>
    <w:rsid w:val="003D0F64"/>
    <w:rsid w:val="003D1013"/>
    <w:rsid w:val="003D106F"/>
    <w:rsid w:val="003D11DD"/>
    <w:rsid w:val="003D16AB"/>
    <w:rsid w:val="003D1BDC"/>
    <w:rsid w:val="003D1D69"/>
    <w:rsid w:val="003D1DEC"/>
    <w:rsid w:val="003D1E40"/>
    <w:rsid w:val="003D20C9"/>
    <w:rsid w:val="003D2279"/>
    <w:rsid w:val="003D25D0"/>
    <w:rsid w:val="003D298E"/>
    <w:rsid w:val="003D2B03"/>
    <w:rsid w:val="003D2C18"/>
    <w:rsid w:val="003D3422"/>
    <w:rsid w:val="003D342C"/>
    <w:rsid w:val="003D3C48"/>
    <w:rsid w:val="003D3F66"/>
    <w:rsid w:val="003D4083"/>
    <w:rsid w:val="003D4104"/>
    <w:rsid w:val="003D41D5"/>
    <w:rsid w:val="003D42E5"/>
    <w:rsid w:val="003D44D9"/>
    <w:rsid w:val="003D44F8"/>
    <w:rsid w:val="003D4550"/>
    <w:rsid w:val="003D45B4"/>
    <w:rsid w:val="003D464A"/>
    <w:rsid w:val="003D482C"/>
    <w:rsid w:val="003D4DE7"/>
    <w:rsid w:val="003D4E0B"/>
    <w:rsid w:val="003D5026"/>
    <w:rsid w:val="003D5038"/>
    <w:rsid w:val="003D5051"/>
    <w:rsid w:val="003D506D"/>
    <w:rsid w:val="003D50B8"/>
    <w:rsid w:val="003D52FD"/>
    <w:rsid w:val="003D535F"/>
    <w:rsid w:val="003D54C5"/>
    <w:rsid w:val="003D5817"/>
    <w:rsid w:val="003D5FE8"/>
    <w:rsid w:val="003D5FFC"/>
    <w:rsid w:val="003D62AB"/>
    <w:rsid w:val="003D6366"/>
    <w:rsid w:val="003D65D0"/>
    <w:rsid w:val="003D667D"/>
    <w:rsid w:val="003D69AD"/>
    <w:rsid w:val="003D6D63"/>
    <w:rsid w:val="003D763C"/>
    <w:rsid w:val="003D76C9"/>
    <w:rsid w:val="003D7779"/>
    <w:rsid w:val="003D7C7D"/>
    <w:rsid w:val="003D7CB8"/>
    <w:rsid w:val="003D7D87"/>
    <w:rsid w:val="003D7F5F"/>
    <w:rsid w:val="003E0531"/>
    <w:rsid w:val="003E063B"/>
    <w:rsid w:val="003E08B2"/>
    <w:rsid w:val="003E0959"/>
    <w:rsid w:val="003E0A4F"/>
    <w:rsid w:val="003E0C7F"/>
    <w:rsid w:val="003E0D1E"/>
    <w:rsid w:val="003E0E80"/>
    <w:rsid w:val="003E10D4"/>
    <w:rsid w:val="003E1181"/>
    <w:rsid w:val="003E12AC"/>
    <w:rsid w:val="003E169A"/>
    <w:rsid w:val="003E193C"/>
    <w:rsid w:val="003E1DAB"/>
    <w:rsid w:val="003E20C7"/>
    <w:rsid w:val="003E215E"/>
    <w:rsid w:val="003E23AC"/>
    <w:rsid w:val="003E25DB"/>
    <w:rsid w:val="003E2610"/>
    <w:rsid w:val="003E2629"/>
    <w:rsid w:val="003E2653"/>
    <w:rsid w:val="003E2744"/>
    <w:rsid w:val="003E2847"/>
    <w:rsid w:val="003E2969"/>
    <w:rsid w:val="003E2B80"/>
    <w:rsid w:val="003E2BC0"/>
    <w:rsid w:val="003E2C03"/>
    <w:rsid w:val="003E2EDE"/>
    <w:rsid w:val="003E2F63"/>
    <w:rsid w:val="003E309E"/>
    <w:rsid w:val="003E318D"/>
    <w:rsid w:val="003E3452"/>
    <w:rsid w:val="003E34FC"/>
    <w:rsid w:val="003E3592"/>
    <w:rsid w:val="003E373E"/>
    <w:rsid w:val="003E3742"/>
    <w:rsid w:val="003E3D4E"/>
    <w:rsid w:val="003E3EFC"/>
    <w:rsid w:val="003E3FF1"/>
    <w:rsid w:val="003E4000"/>
    <w:rsid w:val="003E40B1"/>
    <w:rsid w:val="003E40D4"/>
    <w:rsid w:val="003E42F6"/>
    <w:rsid w:val="003E44BC"/>
    <w:rsid w:val="003E465B"/>
    <w:rsid w:val="003E46A2"/>
    <w:rsid w:val="003E48B9"/>
    <w:rsid w:val="003E496F"/>
    <w:rsid w:val="003E4B19"/>
    <w:rsid w:val="003E4BC5"/>
    <w:rsid w:val="003E4C69"/>
    <w:rsid w:val="003E4F2D"/>
    <w:rsid w:val="003E4FC1"/>
    <w:rsid w:val="003E5262"/>
    <w:rsid w:val="003E564D"/>
    <w:rsid w:val="003E56BD"/>
    <w:rsid w:val="003E57D2"/>
    <w:rsid w:val="003E58B4"/>
    <w:rsid w:val="003E5AF2"/>
    <w:rsid w:val="003E5B2C"/>
    <w:rsid w:val="003E5F30"/>
    <w:rsid w:val="003E5FE7"/>
    <w:rsid w:val="003E61C5"/>
    <w:rsid w:val="003E6361"/>
    <w:rsid w:val="003E63A6"/>
    <w:rsid w:val="003E64C7"/>
    <w:rsid w:val="003E69D4"/>
    <w:rsid w:val="003E6B4D"/>
    <w:rsid w:val="003E6D49"/>
    <w:rsid w:val="003E6DB8"/>
    <w:rsid w:val="003E6DCF"/>
    <w:rsid w:val="003E73AF"/>
    <w:rsid w:val="003E744E"/>
    <w:rsid w:val="003E7885"/>
    <w:rsid w:val="003E79EE"/>
    <w:rsid w:val="003E7A9D"/>
    <w:rsid w:val="003E7FE4"/>
    <w:rsid w:val="003F00D1"/>
    <w:rsid w:val="003F027B"/>
    <w:rsid w:val="003F076B"/>
    <w:rsid w:val="003F0945"/>
    <w:rsid w:val="003F09EB"/>
    <w:rsid w:val="003F0C35"/>
    <w:rsid w:val="003F0D5F"/>
    <w:rsid w:val="003F0E4C"/>
    <w:rsid w:val="003F0F2E"/>
    <w:rsid w:val="003F0FF6"/>
    <w:rsid w:val="003F11AF"/>
    <w:rsid w:val="003F14A4"/>
    <w:rsid w:val="003F1535"/>
    <w:rsid w:val="003F1627"/>
    <w:rsid w:val="003F184C"/>
    <w:rsid w:val="003F185B"/>
    <w:rsid w:val="003F189A"/>
    <w:rsid w:val="003F1ABF"/>
    <w:rsid w:val="003F1BDC"/>
    <w:rsid w:val="003F1DC4"/>
    <w:rsid w:val="003F20B2"/>
    <w:rsid w:val="003F2335"/>
    <w:rsid w:val="003F237E"/>
    <w:rsid w:val="003F2438"/>
    <w:rsid w:val="003F268E"/>
    <w:rsid w:val="003F26F9"/>
    <w:rsid w:val="003F29CC"/>
    <w:rsid w:val="003F2A59"/>
    <w:rsid w:val="003F2E9F"/>
    <w:rsid w:val="003F317D"/>
    <w:rsid w:val="003F3223"/>
    <w:rsid w:val="003F3308"/>
    <w:rsid w:val="003F33B8"/>
    <w:rsid w:val="003F3612"/>
    <w:rsid w:val="003F3833"/>
    <w:rsid w:val="003F39C2"/>
    <w:rsid w:val="003F3E35"/>
    <w:rsid w:val="003F40F1"/>
    <w:rsid w:val="003F4156"/>
    <w:rsid w:val="003F416C"/>
    <w:rsid w:val="003F4607"/>
    <w:rsid w:val="003F4783"/>
    <w:rsid w:val="003F4841"/>
    <w:rsid w:val="003F4A15"/>
    <w:rsid w:val="003F4D8C"/>
    <w:rsid w:val="003F4E48"/>
    <w:rsid w:val="003F4F02"/>
    <w:rsid w:val="003F4FCC"/>
    <w:rsid w:val="003F4FDC"/>
    <w:rsid w:val="003F5033"/>
    <w:rsid w:val="003F5534"/>
    <w:rsid w:val="003F5551"/>
    <w:rsid w:val="003F562D"/>
    <w:rsid w:val="003F572F"/>
    <w:rsid w:val="003F580D"/>
    <w:rsid w:val="003F59EE"/>
    <w:rsid w:val="003F5A7E"/>
    <w:rsid w:val="003F5BA8"/>
    <w:rsid w:val="003F5BE3"/>
    <w:rsid w:val="003F5BEC"/>
    <w:rsid w:val="003F5F22"/>
    <w:rsid w:val="003F5F62"/>
    <w:rsid w:val="003F60DC"/>
    <w:rsid w:val="003F6314"/>
    <w:rsid w:val="003F63AB"/>
    <w:rsid w:val="003F6964"/>
    <w:rsid w:val="003F6B6E"/>
    <w:rsid w:val="003F6C3D"/>
    <w:rsid w:val="003F6CAF"/>
    <w:rsid w:val="003F6CD6"/>
    <w:rsid w:val="003F6EF3"/>
    <w:rsid w:val="003F6FE5"/>
    <w:rsid w:val="003F6FF4"/>
    <w:rsid w:val="003F7447"/>
    <w:rsid w:val="003F7556"/>
    <w:rsid w:val="003F778C"/>
    <w:rsid w:val="003F7816"/>
    <w:rsid w:val="003F7CD1"/>
    <w:rsid w:val="0040011C"/>
    <w:rsid w:val="004003FF"/>
    <w:rsid w:val="00400571"/>
    <w:rsid w:val="00400634"/>
    <w:rsid w:val="004008E8"/>
    <w:rsid w:val="00400A81"/>
    <w:rsid w:val="0040103E"/>
    <w:rsid w:val="0040109E"/>
    <w:rsid w:val="0040116B"/>
    <w:rsid w:val="00401236"/>
    <w:rsid w:val="00401345"/>
    <w:rsid w:val="00401467"/>
    <w:rsid w:val="004014C6"/>
    <w:rsid w:val="00401775"/>
    <w:rsid w:val="00401778"/>
    <w:rsid w:val="00401BBB"/>
    <w:rsid w:val="00401DFA"/>
    <w:rsid w:val="00401FEB"/>
    <w:rsid w:val="0040205A"/>
    <w:rsid w:val="004021FA"/>
    <w:rsid w:val="004024AE"/>
    <w:rsid w:val="004026A3"/>
    <w:rsid w:val="00402C19"/>
    <w:rsid w:val="00402F96"/>
    <w:rsid w:val="00403094"/>
    <w:rsid w:val="00403501"/>
    <w:rsid w:val="0040374A"/>
    <w:rsid w:val="00403AB3"/>
    <w:rsid w:val="00403AEA"/>
    <w:rsid w:val="00403C1D"/>
    <w:rsid w:val="00403F06"/>
    <w:rsid w:val="00403F89"/>
    <w:rsid w:val="00404034"/>
    <w:rsid w:val="004040C5"/>
    <w:rsid w:val="0040411E"/>
    <w:rsid w:val="00404404"/>
    <w:rsid w:val="00404522"/>
    <w:rsid w:val="004045BB"/>
    <w:rsid w:val="00404765"/>
    <w:rsid w:val="00404767"/>
    <w:rsid w:val="00404AD7"/>
    <w:rsid w:val="00404B39"/>
    <w:rsid w:val="00404CF2"/>
    <w:rsid w:val="00404D25"/>
    <w:rsid w:val="00404FAA"/>
    <w:rsid w:val="00404FBE"/>
    <w:rsid w:val="0040500C"/>
    <w:rsid w:val="004050BF"/>
    <w:rsid w:val="004050D9"/>
    <w:rsid w:val="00405342"/>
    <w:rsid w:val="00405416"/>
    <w:rsid w:val="0040548F"/>
    <w:rsid w:val="00405590"/>
    <w:rsid w:val="0040559E"/>
    <w:rsid w:val="0040567E"/>
    <w:rsid w:val="00405712"/>
    <w:rsid w:val="004059DF"/>
    <w:rsid w:val="00405BB8"/>
    <w:rsid w:val="00405C68"/>
    <w:rsid w:val="00405F19"/>
    <w:rsid w:val="00405FA3"/>
    <w:rsid w:val="00406130"/>
    <w:rsid w:val="00406133"/>
    <w:rsid w:val="00406170"/>
    <w:rsid w:val="0040617D"/>
    <w:rsid w:val="00406214"/>
    <w:rsid w:val="004062F4"/>
    <w:rsid w:val="0040654C"/>
    <w:rsid w:val="00406580"/>
    <w:rsid w:val="004068C6"/>
    <w:rsid w:val="004068DC"/>
    <w:rsid w:val="0040692A"/>
    <w:rsid w:val="004069DD"/>
    <w:rsid w:val="00406BDD"/>
    <w:rsid w:val="00406C4E"/>
    <w:rsid w:val="00406CC1"/>
    <w:rsid w:val="00406D63"/>
    <w:rsid w:val="0040716C"/>
    <w:rsid w:val="00407517"/>
    <w:rsid w:val="00407852"/>
    <w:rsid w:val="00407AC4"/>
    <w:rsid w:val="00407AFB"/>
    <w:rsid w:val="00407D87"/>
    <w:rsid w:val="0041003B"/>
    <w:rsid w:val="004104C5"/>
    <w:rsid w:val="0041092D"/>
    <w:rsid w:val="00410A92"/>
    <w:rsid w:val="00410B04"/>
    <w:rsid w:val="00410D91"/>
    <w:rsid w:val="0041117D"/>
    <w:rsid w:val="00411227"/>
    <w:rsid w:val="00411241"/>
    <w:rsid w:val="004112EA"/>
    <w:rsid w:val="004114B7"/>
    <w:rsid w:val="004114D3"/>
    <w:rsid w:val="004119D0"/>
    <w:rsid w:val="00411C69"/>
    <w:rsid w:val="00411D03"/>
    <w:rsid w:val="00411EE0"/>
    <w:rsid w:val="00411FE7"/>
    <w:rsid w:val="0041219B"/>
    <w:rsid w:val="00412306"/>
    <w:rsid w:val="0041241C"/>
    <w:rsid w:val="00412493"/>
    <w:rsid w:val="00412A88"/>
    <w:rsid w:val="00412B85"/>
    <w:rsid w:val="00412D80"/>
    <w:rsid w:val="0041311C"/>
    <w:rsid w:val="004132B4"/>
    <w:rsid w:val="00413362"/>
    <w:rsid w:val="004133E7"/>
    <w:rsid w:val="004134BC"/>
    <w:rsid w:val="00413633"/>
    <w:rsid w:val="004136AD"/>
    <w:rsid w:val="004136C2"/>
    <w:rsid w:val="00413894"/>
    <w:rsid w:val="00413944"/>
    <w:rsid w:val="004139D0"/>
    <w:rsid w:val="00413BE0"/>
    <w:rsid w:val="00413D0E"/>
    <w:rsid w:val="00413F8A"/>
    <w:rsid w:val="004140ED"/>
    <w:rsid w:val="004141B6"/>
    <w:rsid w:val="00414260"/>
    <w:rsid w:val="00414266"/>
    <w:rsid w:val="004142B5"/>
    <w:rsid w:val="00414374"/>
    <w:rsid w:val="00414469"/>
    <w:rsid w:val="0041454D"/>
    <w:rsid w:val="0041472C"/>
    <w:rsid w:val="004147E2"/>
    <w:rsid w:val="00414973"/>
    <w:rsid w:val="00414B4A"/>
    <w:rsid w:val="00414CE3"/>
    <w:rsid w:val="004150C9"/>
    <w:rsid w:val="00415115"/>
    <w:rsid w:val="00415154"/>
    <w:rsid w:val="004153F2"/>
    <w:rsid w:val="00415535"/>
    <w:rsid w:val="0041574C"/>
    <w:rsid w:val="004157D6"/>
    <w:rsid w:val="00415BC1"/>
    <w:rsid w:val="004161E2"/>
    <w:rsid w:val="004163CD"/>
    <w:rsid w:val="0041641C"/>
    <w:rsid w:val="004164A3"/>
    <w:rsid w:val="00416657"/>
    <w:rsid w:val="004166A3"/>
    <w:rsid w:val="00416783"/>
    <w:rsid w:val="0041693D"/>
    <w:rsid w:val="004169D2"/>
    <w:rsid w:val="004169E8"/>
    <w:rsid w:val="00416A5F"/>
    <w:rsid w:val="00416E2D"/>
    <w:rsid w:val="0041718E"/>
    <w:rsid w:val="004174FC"/>
    <w:rsid w:val="00417A92"/>
    <w:rsid w:val="00420148"/>
    <w:rsid w:val="00420951"/>
    <w:rsid w:val="00420F71"/>
    <w:rsid w:val="00421010"/>
    <w:rsid w:val="004210A1"/>
    <w:rsid w:val="004211A4"/>
    <w:rsid w:val="0042130D"/>
    <w:rsid w:val="00421330"/>
    <w:rsid w:val="0042136A"/>
    <w:rsid w:val="0042185A"/>
    <w:rsid w:val="00421A0A"/>
    <w:rsid w:val="00421B3F"/>
    <w:rsid w:val="00422120"/>
    <w:rsid w:val="00422444"/>
    <w:rsid w:val="004224E2"/>
    <w:rsid w:val="00422538"/>
    <w:rsid w:val="004225BE"/>
    <w:rsid w:val="0042265F"/>
    <w:rsid w:val="0042266A"/>
    <w:rsid w:val="00422838"/>
    <w:rsid w:val="00422E77"/>
    <w:rsid w:val="0042304B"/>
    <w:rsid w:val="004230B2"/>
    <w:rsid w:val="004232F9"/>
    <w:rsid w:val="0042332F"/>
    <w:rsid w:val="004233B4"/>
    <w:rsid w:val="0042341B"/>
    <w:rsid w:val="00423BC8"/>
    <w:rsid w:val="00423D15"/>
    <w:rsid w:val="00423D18"/>
    <w:rsid w:val="00423D9D"/>
    <w:rsid w:val="00423E68"/>
    <w:rsid w:val="00424181"/>
    <w:rsid w:val="0042419F"/>
    <w:rsid w:val="004242BB"/>
    <w:rsid w:val="00424451"/>
    <w:rsid w:val="004244E9"/>
    <w:rsid w:val="0042472D"/>
    <w:rsid w:val="00424730"/>
    <w:rsid w:val="004248C8"/>
    <w:rsid w:val="004249EB"/>
    <w:rsid w:val="004249F1"/>
    <w:rsid w:val="00424AB7"/>
    <w:rsid w:val="00424C48"/>
    <w:rsid w:val="00424F32"/>
    <w:rsid w:val="00424FAC"/>
    <w:rsid w:val="00425025"/>
    <w:rsid w:val="00425066"/>
    <w:rsid w:val="004250BC"/>
    <w:rsid w:val="004250E7"/>
    <w:rsid w:val="00425202"/>
    <w:rsid w:val="00425291"/>
    <w:rsid w:val="00425422"/>
    <w:rsid w:val="00425438"/>
    <w:rsid w:val="0042546C"/>
    <w:rsid w:val="00425627"/>
    <w:rsid w:val="00425954"/>
    <w:rsid w:val="00425981"/>
    <w:rsid w:val="00425D26"/>
    <w:rsid w:val="00425D5A"/>
    <w:rsid w:val="00425EC8"/>
    <w:rsid w:val="00425F35"/>
    <w:rsid w:val="00425F95"/>
    <w:rsid w:val="004261DC"/>
    <w:rsid w:val="00426A50"/>
    <w:rsid w:val="00426A97"/>
    <w:rsid w:val="00427245"/>
    <w:rsid w:val="004272FA"/>
    <w:rsid w:val="004273B3"/>
    <w:rsid w:val="00427646"/>
    <w:rsid w:val="00427CD4"/>
    <w:rsid w:val="00430009"/>
    <w:rsid w:val="0043027E"/>
    <w:rsid w:val="004303D5"/>
    <w:rsid w:val="00430418"/>
    <w:rsid w:val="00430457"/>
    <w:rsid w:val="004305D3"/>
    <w:rsid w:val="004305E1"/>
    <w:rsid w:val="00430846"/>
    <w:rsid w:val="004309C0"/>
    <w:rsid w:val="00430B52"/>
    <w:rsid w:val="00430D19"/>
    <w:rsid w:val="00430E6F"/>
    <w:rsid w:val="00430F21"/>
    <w:rsid w:val="00430FC0"/>
    <w:rsid w:val="00431078"/>
    <w:rsid w:val="0043129E"/>
    <w:rsid w:val="00431313"/>
    <w:rsid w:val="004313FC"/>
    <w:rsid w:val="0043142B"/>
    <w:rsid w:val="00431856"/>
    <w:rsid w:val="0043190F"/>
    <w:rsid w:val="00431B03"/>
    <w:rsid w:val="00431C6C"/>
    <w:rsid w:val="00431FDC"/>
    <w:rsid w:val="00432017"/>
    <w:rsid w:val="004321E0"/>
    <w:rsid w:val="004323D5"/>
    <w:rsid w:val="004324CB"/>
    <w:rsid w:val="004324F6"/>
    <w:rsid w:val="00432673"/>
    <w:rsid w:val="00432792"/>
    <w:rsid w:val="004328B9"/>
    <w:rsid w:val="00432971"/>
    <w:rsid w:val="00432AD4"/>
    <w:rsid w:val="00432C19"/>
    <w:rsid w:val="00433002"/>
    <w:rsid w:val="004330D0"/>
    <w:rsid w:val="0043318F"/>
    <w:rsid w:val="00433235"/>
    <w:rsid w:val="00433371"/>
    <w:rsid w:val="0043341F"/>
    <w:rsid w:val="00433438"/>
    <w:rsid w:val="00433541"/>
    <w:rsid w:val="0043359D"/>
    <w:rsid w:val="00433870"/>
    <w:rsid w:val="00434039"/>
    <w:rsid w:val="0043409F"/>
    <w:rsid w:val="004343ED"/>
    <w:rsid w:val="0043441E"/>
    <w:rsid w:val="004344AA"/>
    <w:rsid w:val="00434702"/>
    <w:rsid w:val="00434BED"/>
    <w:rsid w:val="00434DA8"/>
    <w:rsid w:val="004350F0"/>
    <w:rsid w:val="00435340"/>
    <w:rsid w:val="00435350"/>
    <w:rsid w:val="00435587"/>
    <w:rsid w:val="00435609"/>
    <w:rsid w:val="004356C7"/>
    <w:rsid w:val="004358C9"/>
    <w:rsid w:val="00435964"/>
    <w:rsid w:val="00435F76"/>
    <w:rsid w:val="00436051"/>
    <w:rsid w:val="004365DC"/>
    <w:rsid w:val="00436E8E"/>
    <w:rsid w:val="00436EF2"/>
    <w:rsid w:val="0043701B"/>
    <w:rsid w:val="004375A3"/>
    <w:rsid w:val="004375D2"/>
    <w:rsid w:val="00437817"/>
    <w:rsid w:val="00437846"/>
    <w:rsid w:val="004378E1"/>
    <w:rsid w:val="00437C08"/>
    <w:rsid w:val="0044002C"/>
    <w:rsid w:val="004403B9"/>
    <w:rsid w:val="00440442"/>
    <w:rsid w:val="004404F2"/>
    <w:rsid w:val="00440569"/>
    <w:rsid w:val="0044079F"/>
    <w:rsid w:val="004407BB"/>
    <w:rsid w:val="0044085F"/>
    <w:rsid w:val="00440995"/>
    <w:rsid w:val="004409D3"/>
    <w:rsid w:val="00440CDD"/>
    <w:rsid w:val="00440D6D"/>
    <w:rsid w:val="00441003"/>
    <w:rsid w:val="00441131"/>
    <w:rsid w:val="004411FA"/>
    <w:rsid w:val="00441230"/>
    <w:rsid w:val="00441405"/>
    <w:rsid w:val="0044141C"/>
    <w:rsid w:val="0044143D"/>
    <w:rsid w:val="00441460"/>
    <w:rsid w:val="004414E5"/>
    <w:rsid w:val="00441806"/>
    <w:rsid w:val="00441B31"/>
    <w:rsid w:val="00441B8B"/>
    <w:rsid w:val="00441C6C"/>
    <w:rsid w:val="00441D3D"/>
    <w:rsid w:val="00441E6E"/>
    <w:rsid w:val="004423CA"/>
    <w:rsid w:val="00442427"/>
    <w:rsid w:val="00442461"/>
    <w:rsid w:val="0044262E"/>
    <w:rsid w:val="004427C1"/>
    <w:rsid w:val="00442916"/>
    <w:rsid w:val="0044295E"/>
    <w:rsid w:val="00442D92"/>
    <w:rsid w:val="00442D9B"/>
    <w:rsid w:val="00442DC1"/>
    <w:rsid w:val="00442ED4"/>
    <w:rsid w:val="00442F47"/>
    <w:rsid w:val="00442FFB"/>
    <w:rsid w:val="0044307A"/>
    <w:rsid w:val="0044318B"/>
    <w:rsid w:val="00443524"/>
    <w:rsid w:val="004435BA"/>
    <w:rsid w:val="00443613"/>
    <w:rsid w:val="00443A0C"/>
    <w:rsid w:val="00443D76"/>
    <w:rsid w:val="00443D83"/>
    <w:rsid w:val="00443E64"/>
    <w:rsid w:val="004440E2"/>
    <w:rsid w:val="0044412C"/>
    <w:rsid w:val="00444175"/>
    <w:rsid w:val="004441BD"/>
    <w:rsid w:val="0044428E"/>
    <w:rsid w:val="004444E8"/>
    <w:rsid w:val="00444598"/>
    <w:rsid w:val="0044481E"/>
    <w:rsid w:val="00444BBC"/>
    <w:rsid w:val="00444CD7"/>
    <w:rsid w:val="00444E75"/>
    <w:rsid w:val="00445232"/>
    <w:rsid w:val="004452D4"/>
    <w:rsid w:val="00445373"/>
    <w:rsid w:val="00445431"/>
    <w:rsid w:val="004454D5"/>
    <w:rsid w:val="004455E6"/>
    <w:rsid w:val="004455EC"/>
    <w:rsid w:val="004455FA"/>
    <w:rsid w:val="004458D8"/>
    <w:rsid w:val="00445DE8"/>
    <w:rsid w:val="0044611F"/>
    <w:rsid w:val="0044612F"/>
    <w:rsid w:val="0044659D"/>
    <w:rsid w:val="004468E0"/>
    <w:rsid w:val="00446977"/>
    <w:rsid w:val="00446A6F"/>
    <w:rsid w:val="0044707D"/>
    <w:rsid w:val="0044719E"/>
    <w:rsid w:val="004472A1"/>
    <w:rsid w:val="0044731F"/>
    <w:rsid w:val="00447354"/>
    <w:rsid w:val="00447457"/>
    <w:rsid w:val="00447506"/>
    <w:rsid w:val="004479DD"/>
    <w:rsid w:val="00447A5C"/>
    <w:rsid w:val="00447B1F"/>
    <w:rsid w:val="00447C66"/>
    <w:rsid w:val="004500A6"/>
    <w:rsid w:val="004501B5"/>
    <w:rsid w:val="00450611"/>
    <w:rsid w:val="00450708"/>
    <w:rsid w:val="004508F0"/>
    <w:rsid w:val="00450C87"/>
    <w:rsid w:val="00450C95"/>
    <w:rsid w:val="00451051"/>
    <w:rsid w:val="004510B5"/>
    <w:rsid w:val="00451177"/>
    <w:rsid w:val="0045124A"/>
    <w:rsid w:val="00451362"/>
    <w:rsid w:val="00451496"/>
    <w:rsid w:val="004514D5"/>
    <w:rsid w:val="00451668"/>
    <w:rsid w:val="00451705"/>
    <w:rsid w:val="00451A45"/>
    <w:rsid w:val="00451D2A"/>
    <w:rsid w:val="00451E0A"/>
    <w:rsid w:val="0045204F"/>
    <w:rsid w:val="00452097"/>
    <w:rsid w:val="00452126"/>
    <w:rsid w:val="004521D8"/>
    <w:rsid w:val="00452584"/>
    <w:rsid w:val="004526B3"/>
    <w:rsid w:val="00452B93"/>
    <w:rsid w:val="00452FF8"/>
    <w:rsid w:val="00453006"/>
    <w:rsid w:val="00453174"/>
    <w:rsid w:val="00453972"/>
    <w:rsid w:val="0045399B"/>
    <w:rsid w:val="004539D9"/>
    <w:rsid w:val="00453DB4"/>
    <w:rsid w:val="00453E6C"/>
    <w:rsid w:val="00453EF6"/>
    <w:rsid w:val="004540D2"/>
    <w:rsid w:val="00454105"/>
    <w:rsid w:val="004541CD"/>
    <w:rsid w:val="00454548"/>
    <w:rsid w:val="00454659"/>
    <w:rsid w:val="0045479A"/>
    <w:rsid w:val="004549C8"/>
    <w:rsid w:val="00454B2F"/>
    <w:rsid w:val="00454DEB"/>
    <w:rsid w:val="00454F8C"/>
    <w:rsid w:val="00454FB5"/>
    <w:rsid w:val="00455615"/>
    <w:rsid w:val="0045588A"/>
    <w:rsid w:val="004558D5"/>
    <w:rsid w:val="00455905"/>
    <w:rsid w:val="0045596D"/>
    <w:rsid w:val="004559F0"/>
    <w:rsid w:val="00455A41"/>
    <w:rsid w:val="00455AF8"/>
    <w:rsid w:val="00455C4A"/>
    <w:rsid w:val="00455EA8"/>
    <w:rsid w:val="004560C7"/>
    <w:rsid w:val="00456507"/>
    <w:rsid w:val="00456777"/>
    <w:rsid w:val="00457190"/>
    <w:rsid w:val="00457354"/>
    <w:rsid w:val="00457391"/>
    <w:rsid w:val="004574BB"/>
    <w:rsid w:val="004574EF"/>
    <w:rsid w:val="00457654"/>
    <w:rsid w:val="004577E4"/>
    <w:rsid w:val="00457891"/>
    <w:rsid w:val="00457A8C"/>
    <w:rsid w:val="00457B93"/>
    <w:rsid w:val="00457EB7"/>
    <w:rsid w:val="00457F12"/>
    <w:rsid w:val="0046023C"/>
    <w:rsid w:val="0046036A"/>
    <w:rsid w:val="00460517"/>
    <w:rsid w:val="00460644"/>
    <w:rsid w:val="0046088E"/>
    <w:rsid w:val="004609E0"/>
    <w:rsid w:val="00460C03"/>
    <w:rsid w:val="00460ECA"/>
    <w:rsid w:val="00461198"/>
    <w:rsid w:val="00461482"/>
    <w:rsid w:val="004614F0"/>
    <w:rsid w:val="00461732"/>
    <w:rsid w:val="004617F3"/>
    <w:rsid w:val="00461819"/>
    <w:rsid w:val="00461905"/>
    <w:rsid w:val="00461A09"/>
    <w:rsid w:val="00461B2F"/>
    <w:rsid w:val="00461D5A"/>
    <w:rsid w:val="00461EE4"/>
    <w:rsid w:val="00462435"/>
    <w:rsid w:val="00462615"/>
    <w:rsid w:val="00462809"/>
    <w:rsid w:val="0046281A"/>
    <w:rsid w:val="004628CA"/>
    <w:rsid w:val="00462944"/>
    <w:rsid w:val="00462945"/>
    <w:rsid w:val="00462983"/>
    <w:rsid w:val="00462BF6"/>
    <w:rsid w:val="00462CF2"/>
    <w:rsid w:val="00462D7D"/>
    <w:rsid w:val="00463082"/>
    <w:rsid w:val="004630E6"/>
    <w:rsid w:val="0046319D"/>
    <w:rsid w:val="004632BB"/>
    <w:rsid w:val="00463377"/>
    <w:rsid w:val="004636D0"/>
    <w:rsid w:val="0046377A"/>
    <w:rsid w:val="004637FD"/>
    <w:rsid w:val="004639B9"/>
    <w:rsid w:val="00463BAB"/>
    <w:rsid w:val="00463CCB"/>
    <w:rsid w:val="00463D5F"/>
    <w:rsid w:val="0046421F"/>
    <w:rsid w:val="00464428"/>
    <w:rsid w:val="0046448F"/>
    <w:rsid w:val="0046468D"/>
    <w:rsid w:val="004647E8"/>
    <w:rsid w:val="00464CD8"/>
    <w:rsid w:val="00464EE2"/>
    <w:rsid w:val="00465589"/>
    <w:rsid w:val="00465653"/>
    <w:rsid w:val="00465787"/>
    <w:rsid w:val="00465C48"/>
    <w:rsid w:val="00465C69"/>
    <w:rsid w:val="00465D7E"/>
    <w:rsid w:val="00465DD4"/>
    <w:rsid w:val="00465EC5"/>
    <w:rsid w:val="004661FA"/>
    <w:rsid w:val="0046626A"/>
    <w:rsid w:val="0046641D"/>
    <w:rsid w:val="00466468"/>
    <w:rsid w:val="0046654B"/>
    <w:rsid w:val="00466698"/>
    <w:rsid w:val="004666F5"/>
    <w:rsid w:val="0046679B"/>
    <w:rsid w:val="00466A15"/>
    <w:rsid w:val="00466A7D"/>
    <w:rsid w:val="00466AF5"/>
    <w:rsid w:val="00466B25"/>
    <w:rsid w:val="00466B9A"/>
    <w:rsid w:val="00466E55"/>
    <w:rsid w:val="00466F13"/>
    <w:rsid w:val="00466FC9"/>
    <w:rsid w:val="004672B5"/>
    <w:rsid w:val="00467392"/>
    <w:rsid w:val="0046754A"/>
    <w:rsid w:val="00467635"/>
    <w:rsid w:val="004676BA"/>
    <w:rsid w:val="0046792A"/>
    <w:rsid w:val="00467A50"/>
    <w:rsid w:val="00467B20"/>
    <w:rsid w:val="00467C13"/>
    <w:rsid w:val="00467D85"/>
    <w:rsid w:val="00467F2B"/>
    <w:rsid w:val="00470045"/>
    <w:rsid w:val="004701AF"/>
    <w:rsid w:val="004702C5"/>
    <w:rsid w:val="0047040E"/>
    <w:rsid w:val="0047059A"/>
    <w:rsid w:val="004705DF"/>
    <w:rsid w:val="0047063D"/>
    <w:rsid w:val="00470688"/>
    <w:rsid w:val="00470698"/>
    <w:rsid w:val="004706B2"/>
    <w:rsid w:val="004708FD"/>
    <w:rsid w:val="0047098C"/>
    <w:rsid w:val="00470AED"/>
    <w:rsid w:val="00470B43"/>
    <w:rsid w:val="00470C4C"/>
    <w:rsid w:val="00470D23"/>
    <w:rsid w:val="00470E34"/>
    <w:rsid w:val="00471609"/>
    <w:rsid w:val="004716F8"/>
    <w:rsid w:val="00471912"/>
    <w:rsid w:val="00471D37"/>
    <w:rsid w:val="00471E67"/>
    <w:rsid w:val="004723E7"/>
    <w:rsid w:val="0047287B"/>
    <w:rsid w:val="004728AA"/>
    <w:rsid w:val="0047296C"/>
    <w:rsid w:val="004729F4"/>
    <w:rsid w:val="00472A71"/>
    <w:rsid w:val="00472BEA"/>
    <w:rsid w:val="00472C85"/>
    <w:rsid w:val="00472D48"/>
    <w:rsid w:val="00472D4E"/>
    <w:rsid w:val="00472E00"/>
    <w:rsid w:val="00472F25"/>
    <w:rsid w:val="004730B0"/>
    <w:rsid w:val="004731AE"/>
    <w:rsid w:val="00473388"/>
    <w:rsid w:val="004733E9"/>
    <w:rsid w:val="004734B2"/>
    <w:rsid w:val="00473735"/>
    <w:rsid w:val="00473819"/>
    <w:rsid w:val="00473945"/>
    <w:rsid w:val="00473950"/>
    <w:rsid w:val="00473B45"/>
    <w:rsid w:val="0047444F"/>
    <w:rsid w:val="00474735"/>
    <w:rsid w:val="00474AEC"/>
    <w:rsid w:val="00474B38"/>
    <w:rsid w:val="00474DE2"/>
    <w:rsid w:val="00474F83"/>
    <w:rsid w:val="00475297"/>
    <w:rsid w:val="004755A7"/>
    <w:rsid w:val="0047589A"/>
    <w:rsid w:val="00475CDF"/>
    <w:rsid w:val="004763F2"/>
    <w:rsid w:val="004764D3"/>
    <w:rsid w:val="004764DA"/>
    <w:rsid w:val="0047651D"/>
    <w:rsid w:val="00476566"/>
    <w:rsid w:val="004767D1"/>
    <w:rsid w:val="00476C9C"/>
    <w:rsid w:val="0047706E"/>
    <w:rsid w:val="0047717F"/>
    <w:rsid w:val="00477247"/>
    <w:rsid w:val="004773CB"/>
    <w:rsid w:val="00477AF0"/>
    <w:rsid w:val="00477B2C"/>
    <w:rsid w:val="00477D39"/>
    <w:rsid w:val="00477F12"/>
    <w:rsid w:val="0048016C"/>
    <w:rsid w:val="0048029B"/>
    <w:rsid w:val="004806E3"/>
    <w:rsid w:val="004809BA"/>
    <w:rsid w:val="00480A22"/>
    <w:rsid w:val="00480C43"/>
    <w:rsid w:val="00480CC1"/>
    <w:rsid w:val="00480E07"/>
    <w:rsid w:val="00480FF2"/>
    <w:rsid w:val="004812BF"/>
    <w:rsid w:val="004813A7"/>
    <w:rsid w:val="00481413"/>
    <w:rsid w:val="00481472"/>
    <w:rsid w:val="004818FB"/>
    <w:rsid w:val="0048192C"/>
    <w:rsid w:val="00481BEC"/>
    <w:rsid w:val="00481DF5"/>
    <w:rsid w:val="00482279"/>
    <w:rsid w:val="004825E1"/>
    <w:rsid w:val="00482605"/>
    <w:rsid w:val="004826B4"/>
    <w:rsid w:val="004828E2"/>
    <w:rsid w:val="00482AE2"/>
    <w:rsid w:val="00482CD8"/>
    <w:rsid w:val="00482D07"/>
    <w:rsid w:val="00482FAD"/>
    <w:rsid w:val="004831BE"/>
    <w:rsid w:val="004832D1"/>
    <w:rsid w:val="0048345F"/>
    <w:rsid w:val="00483565"/>
    <w:rsid w:val="004835D5"/>
    <w:rsid w:val="00483D89"/>
    <w:rsid w:val="00483F38"/>
    <w:rsid w:val="00484210"/>
    <w:rsid w:val="00484221"/>
    <w:rsid w:val="00484263"/>
    <w:rsid w:val="00484462"/>
    <w:rsid w:val="00484500"/>
    <w:rsid w:val="00484563"/>
    <w:rsid w:val="00484638"/>
    <w:rsid w:val="00484900"/>
    <w:rsid w:val="00484BA9"/>
    <w:rsid w:val="00484BCA"/>
    <w:rsid w:val="00484E24"/>
    <w:rsid w:val="004850F9"/>
    <w:rsid w:val="00485175"/>
    <w:rsid w:val="00485329"/>
    <w:rsid w:val="00485330"/>
    <w:rsid w:val="00485627"/>
    <w:rsid w:val="00485AA8"/>
    <w:rsid w:val="00485B2C"/>
    <w:rsid w:val="00485C6F"/>
    <w:rsid w:val="00485DEC"/>
    <w:rsid w:val="00485EEB"/>
    <w:rsid w:val="0048601C"/>
    <w:rsid w:val="00486188"/>
    <w:rsid w:val="00486465"/>
    <w:rsid w:val="0048670C"/>
    <w:rsid w:val="0048685F"/>
    <w:rsid w:val="0048687A"/>
    <w:rsid w:val="00486AC2"/>
    <w:rsid w:val="00486FF2"/>
    <w:rsid w:val="0048703B"/>
    <w:rsid w:val="004870F3"/>
    <w:rsid w:val="00487278"/>
    <w:rsid w:val="00487799"/>
    <w:rsid w:val="00487874"/>
    <w:rsid w:val="00487889"/>
    <w:rsid w:val="00487A79"/>
    <w:rsid w:val="00487CC5"/>
    <w:rsid w:val="00487CC7"/>
    <w:rsid w:val="004900CD"/>
    <w:rsid w:val="00490168"/>
    <w:rsid w:val="0049025E"/>
    <w:rsid w:val="00490278"/>
    <w:rsid w:val="00490368"/>
    <w:rsid w:val="00490450"/>
    <w:rsid w:val="004907DF"/>
    <w:rsid w:val="0049081A"/>
    <w:rsid w:val="00490897"/>
    <w:rsid w:val="0049090C"/>
    <w:rsid w:val="00490C59"/>
    <w:rsid w:val="00490CE3"/>
    <w:rsid w:val="00490F79"/>
    <w:rsid w:val="00491091"/>
    <w:rsid w:val="00491228"/>
    <w:rsid w:val="004912F7"/>
    <w:rsid w:val="004916C6"/>
    <w:rsid w:val="004918FC"/>
    <w:rsid w:val="004919A8"/>
    <w:rsid w:val="00491A0B"/>
    <w:rsid w:val="00491A76"/>
    <w:rsid w:val="00491CA2"/>
    <w:rsid w:val="00491DBF"/>
    <w:rsid w:val="00491F5C"/>
    <w:rsid w:val="0049220B"/>
    <w:rsid w:val="00492211"/>
    <w:rsid w:val="0049224F"/>
    <w:rsid w:val="0049236D"/>
    <w:rsid w:val="004924CF"/>
    <w:rsid w:val="004925F2"/>
    <w:rsid w:val="0049274B"/>
    <w:rsid w:val="00492913"/>
    <w:rsid w:val="00492A7B"/>
    <w:rsid w:val="00492AF3"/>
    <w:rsid w:val="00492BE4"/>
    <w:rsid w:val="00492C0E"/>
    <w:rsid w:val="00492F52"/>
    <w:rsid w:val="004932F3"/>
    <w:rsid w:val="0049335E"/>
    <w:rsid w:val="00493391"/>
    <w:rsid w:val="00493411"/>
    <w:rsid w:val="00493639"/>
    <w:rsid w:val="004937F6"/>
    <w:rsid w:val="00493B4F"/>
    <w:rsid w:val="00493E3C"/>
    <w:rsid w:val="004941E1"/>
    <w:rsid w:val="0049477C"/>
    <w:rsid w:val="00494CEB"/>
    <w:rsid w:val="004950ED"/>
    <w:rsid w:val="0049521D"/>
    <w:rsid w:val="00495469"/>
    <w:rsid w:val="004954AE"/>
    <w:rsid w:val="004955BE"/>
    <w:rsid w:val="00495969"/>
    <w:rsid w:val="00495A16"/>
    <w:rsid w:val="00495ABE"/>
    <w:rsid w:val="00495BEB"/>
    <w:rsid w:val="00495BF5"/>
    <w:rsid w:val="00495E66"/>
    <w:rsid w:val="0049602A"/>
    <w:rsid w:val="0049608E"/>
    <w:rsid w:val="004960D3"/>
    <w:rsid w:val="004962B9"/>
    <w:rsid w:val="004962BD"/>
    <w:rsid w:val="0049630B"/>
    <w:rsid w:val="0049632A"/>
    <w:rsid w:val="0049657E"/>
    <w:rsid w:val="004967E7"/>
    <w:rsid w:val="004968E8"/>
    <w:rsid w:val="00496A3C"/>
    <w:rsid w:val="00496DF4"/>
    <w:rsid w:val="00496E59"/>
    <w:rsid w:val="00497051"/>
    <w:rsid w:val="00497198"/>
    <w:rsid w:val="00497224"/>
    <w:rsid w:val="004972F0"/>
    <w:rsid w:val="00497451"/>
    <w:rsid w:val="004975A2"/>
    <w:rsid w:val="00497797"/>
    <w:rsid w:val="00497B13"/>
    <w:rsid w:val="00497D7D"/>
    <w:rsid w:val="00497EBE"/>
    <w:rsid w:val="00497F7F"/>
    <w:rsid w:val="004A002F"/>
    <w:rsid w:val="004A0216"/>
    <w:rsid w:val="004A032A"/>
    <w:rsid w:val="004A0377"/>
    <w:rsid w:val="004A03DB"/>
    <w:rsid w:val="004A058C"/>
    <w:rsid w:val="004A069B"/>
    <w:rsid w:val="004A06E6"/>
    <w:rsid w:val="004A08BE"/>
    <w:rsid w:val="004A0AFD"/>
    <w:rsid w:val="004A0C9E"/>
    <w:rsid w:val="004A0F0A"/>
    <w:rsid w:val="004A138B"/>
    <w:rsid w:val="004A1414"/>
    <w:rsid w:val="004A1483"/>
    <w:rsid w:val="004A14D4"/>
    <w:rsid w:val="004A168D"/>
    <w:rsid w:val="004A16C2"/>
    <w:rsid w:val="004A1795"/>
    <w:rsid w:val="004A18FD"/>
    <w:rsid w:val="004A1957"/>
    <w:rsid w:val="004A1A00"/>
    <w:rsid w:val="004A1B81"/>
    <w:rsid w:val="004A1C42"/>
    <w:rsid w:val="004A1CBC"/>
    <w:rsid w:val="004A1CF0"/>
    <w:rsid w:val="004A1FC8"/>
    <w:rsid w:val="004A1FCE"/>
    <w:rsid w:val="004A1FEE"/>
    <w:rsid w:val="004A20C7"/>
    <w:rsid w:val="004A2378"/>
    <w:rsid w:val="004A2832"/>
    <w:rsid w:val="004A2B72"/>
    <w:rsid w:val="004A32C6"/>
    <w:rsid w:val="004A3682"/>
    <w:rsid w:val="004A3B0E"/>
    <w:rsid w:val="004A3C80"/>
    <w:rsid w:val="004A3D1B"/>
    <w:rsid w:val="004A3DFD"/>
    <w:rsid w:val="004A417F"/>
    <w:rsid w:val="004A41C5"/>
    <w:rsid w:val="004A420F"/>
    <w:rsid w:val="004A439A"/>
    <w:rsid w:val="004A43FD"/>
    <w:rsid w:val="004A440B"/>
    <w:rsid w:val="004A4641"/>
    <w:rsid w:val="004A467C"/>
    <w:rsid w:val="004A4715"/>
    <w:rsid w:val="004A476E"/>
    <w:rsid w:val="004A50BA"/>
    <w:rsid w:val="004A50DE"/>
    <w:rsid w:val="004A531E"/>
    <w:rsid w:val="004A55D9"/>
    <w:rsid w:val="004A55FA"/>
    <w:rsid w:val="004A56FD"/>
    <w:rsid w:val="004A579E"/>
    <w:rsid w:val="004A5D5F"/>
    <w:rsid w:val="004A65AA"/>
    <w:rsid w:val="004A662F"/>
    <w:rsid w:val="004A6B43"/>
    <w:rsid w:val="004A6CEB"/>
    <w:rsid w:val="004A6DF5"/>
    <w:rsid w:val="004A6FB8"/>
    <w:rsid w:val="004A70AF"/>
    <w:rsid w:val="004A72DE"/>
    <w:rsid w:val="004A7445"/>
    <w:rsid w:val="004A7515"/>
    <w:rsid w:val="004A7582"/>
    <w:rsid w:val="004A75DE"/>
    <w:rsid w:val="004A7676"/>
    <w:rsid w:val="004A797D"/>
    <w:rsid w:val="004A797E"/>
    <w:rsid w:val="004A7AB9"/>
    <w:rsid w:val="004A7E0C"/>
    <w:rsid w:val="004B00AC"/>
    <w:rsid w:val="004B00FE"/>
    <w:rsid w:val="004B0334"/>
    <w:rsid w:val="004B0589"/>
    <w:rsid w:val="004B05A6"/>
    <w:rsid w:val="004B07E7"/>
    <w:rsid w:val="004B087E"/>
    <w:rsid w:val="004B09D9"/>
    <w:rsid w:val="004B0B40"/>
    <w:rsid w:val="004B10FE"/>
    <w:rsid w:val="004B1196"/>
    <w:rsid w:val="004B124C"/>
    <w:rsid w:val="004B14FC"/>
    <w:rsid w:val="004B1A32"/>
    <w:rsid w:val="004B1CBB"/>
    <w:rsid w:val="004B1D15"/>
    <w:rsid w:val="004B1F96"/>
    <w:rsid w:val="004B20AB"/>
    <w:rsid w:val="004B2164"/>
    <w:rsid w:val="004B26FF"/>
    <w:rsid w:val="004B2BBA"/>
    <w:rsid w:val="004B305D"/>
    <w:rsid w:val="004B3433"/>
    <w:rsid w:val="004B3498"/>
    <w:rsid w:val="004B3943"/>
    <w:rsid w:val="004B3C32"/>
    <w:rsid w:val="004B3E80"/>
    <w:rsid w:val="004B4039"/>
    <w:rsid w:val="004B405A"/>
    <w:rsid w:val="004B415D"/>
    <w:rsid w:val="004B41BB"/>
    <w:rsid w:val="004B4452"/>
    <w:rsid w:val="004B448C"/>
    <w:rsid w:val="004B45CE"/>
    <w:rsid w:val="004B4BF0"/>
    <w:rsid w:val="004B4C8B"/>
    <w:rsid w:val="004B4E98"/>
    <w:rsid w:val="004B4EFE"/>
    <w:rsid w:val="004B5334"/>
    <w:rsid w:val="004B5427"/>
    <w:rsid w:val="004B546D"/>
    <w:rsid w:val="004B5620"/>
    <w:rsid w:val="004B56CF"/>
    <w:rsid w:val="004B5843"/>
    <w:rsid w:val="004B588B"/>
    <w:rsid w:val="004B5BB7"/>
    <w:rsid w:val="004B5E3A"/>
    <w:rsid w:val="004B5E92"/>
    <w:rsid w:val="004B624F"/>
    <w:rsid w:val="004B6571"/>
    <w:rsid w:val="004B68C7"/>
    <w:rsid w:val="004B6AB0"/>
    <w:rsid w:val="004B6DDC"/>
    <w:rsid w:val="004B6EB7"/>
    <w:rsid w:val="004B6F9C"/>
    <w:rsid w:val="004B6FE0"/>
    <w:rsid w:val="004B730D"/>
    <w:rsid w:val="004B76A8"/>
    <w:rsid w:val="004B7752"/>
    <w:rsid w:val="004B79AD"/>
    <w:rsid w:val="004B7A25"/>
    <w:rsid w:val="004B7AC9"/>
    <w:rsid w:val="004B7BC8"/>
    <w:rsid w:val="004B7DCE"/>
    <w:rsid w:val="004B7EC8"/>
    <w:rsid w:val="004B7FC6"/>
    <w:rsid w:val="004C069B"/>
    <w:rsid w:val="004C08BC"/>
    <w:rsid w:val="004C0A0B"/>
    <w:rsid w:val="004C105D"/>
    <w:rsid w:val="004C10E8"/>
    <w:rsid w:val="004C1313"/>
    <w:rsid w:val="004C1415"/>
    <w:rsid w:val="004C19BF"/>
    <w:rsid w:val="004C1F87"/>
    <w:rsid w:val="004C1F98"/>
    <w:rsid w:val="004C1FB8"/>
    <w:rsid w:val="004C2268"/>
    <w:rsid w:val="004C264C"/>
    <w:rsid w:val="004C265B"/>
    <w:rsid w:val="004C273F"/>
    <w:rsid w:val="004C2890"/>
    <w:rsid w:val="004C2AE8"/>
    <w:rsid w:val="004C2B45"/>
    <w:rsid w:val="004C31AD"/>
    <w:rsid w:val="004C329E"/>
    <w:rsid w:val="004C33A1"/>
    <w:rsid w:val="004C33E0"/>
    <w:rsid w:val="004C3509"/>
    <w:rsid w:val="004C362D"/>
    <w:rsid w:val="004C379C"/>
    <w:rsid w:val="004C3826"/>
    <w:rsid w:val="004C3940"/>
    <w:rsid w:val="004C3B0E"/>
    <w:rsid w:val="004C3C86"/>
    <w:rsid w:val="004C3CB9"/>
    <w:rsid w:val="004C3D4A"/>
    <w:rsid w:val="004C3E6E"/>
    <w:rsid w:val="004C403E"/>
    <w:rsid w:val="004C42DD"/>
    <w:rsid w:val="004C43A4"/>
    <w:rsid w:val="004C45BA"/>
    <w:rsid w:val="004C47B1"/>
    <w:rsid w:val="004C4A7A"/>
    <w:rsid w:val="004C4DD4"/>
    <w:rsid w:val="004C4ECA"/>
    <w:rsid w:val="004C4FED"/>
    <w:rsid w:val="004C5717"/>
    <w:rsid w:val="004C59EF"/>
    <w:rsid w:val="004C5BCF"/>
    <w:rsid w:val="004C5E76"/>
    <w:rsid w:val="004C64A9"/>
    <w:rsid w:val="004C6518"/>
    <w:rsid w:val="004C652F"/>
    <w:rsid w:val="004C6821"/>
    <w:rsid w:val="004C68D1"/>
    <w:rsid w:val="004C69F6"/>
    <w:rsid w:val="004C6BDB"/>
    <w:rsid w:val="004C6CE0"/>
    <w:rsid w:val="004C6D3D"/>
    <w:rsid w:val="004C6E65"/>
    <w:rsid w:val="004C70F9"/>
    <w:rsid w:val="004C7211"/>
    <w:rsid w:val="004C731A"/>
    <w:rsid w:val="004C75B2"/>
    <w:rsid w:val="004C766C"/>
    <w:rsid w:val="004C7979"/>
    <w:rsid w:val="004C799D"/>
    <w:rsid w:val="004C7B6C"/>
    <w:rsid w:val="004C7C26"/>
    <w:rsid w:val="004D0225"/>
    <w:rsid w:val="004D02FD"/>
    <w:rsid w:val="004D0411"/>
    <w:rsid w:val="004D0805"/>
    <w:rsid w:val="004D082C"/>
    <w:rsid w:val="004D089C"/>
    <w:rsid w:val="004D094F"/>
    <w:rsid w:val="004D0A2F"/>
    <w:rsid w:val="004D0A48"/>
    <w:rsid w:val="004D0A88"/>
    <w:rsid w:val="004D0B70"/>
    <w:rsid w:val="004D0E9C"/>
    <w:rsid w:val="004D13BB"/>
    <w:rsid w:val="004D15C5"/>
    <w:rsid w:val="004D1986"/>
    <w:rsid w:val="004D1ABB"/>
    <w:rsid w:val="004D1B9E"/>
    <w:rsid w:val="004D1C15"/>
    <w:rsid w:val="004D1C47"/>
    <w:rsid w:val="004D1CA6"/>
    <w:rsid w:val="004D1E2C"/>
    <w:rsid w:val="004D1F39"/>
    <w:rsid w:val="004D1FA7"/>
    <w:rsid w:val="004D2207"/>
    <w:rsid w:val="004D26E8"/>
    <w:rsid w:val="004D286D"/>
    <w:rsid w:val="004D28AC"/>
    <w:rsid w:val="004D354D"/>
    <w:rsid w:val="004D3588"/>
    <w:rsid w:val="004D35B7"/>
    <w:rsid w:val="004D3836"/>
    <w:rsid w:val="004D38BE"/>
    <w:rsid w:val="004D3A6C"/>
    <w:rsid w:val="004D3BAD"/>
    <w:rsid w:val="004D3C1A"/>
    <w:rsid w:val="004D413D"/>
    <w:rsid w:val="004D415E"/>
    <w:rsid w:val="004D46F3"/>
    <w:rsid w:val="004D4A18"/>
    <w:rsid w:val="004D4C3C"/>
    <w:rsid w:val="004D4CDC"/>
    <w:rsid w:val="004D4D70"/>
    <w:rsid w:val="004D5006"/>
    <w:rsid w:val="004D5248"/>
    <w:rsid w:val="004D528B"/>
    <w:rsid w:val="004D5324"/>
    <w:rsid w:val="004D5537"/>
    <w:rsid w:val="004D55C9"/>
    <w:rsid w:val="004D5872"/>
    <w:rsid w:val="004D5AB3"/>
    <w:rsid w:val="004D5D8C"/>
    <w:rsid w:val="004D5E27"/>
    <w:rsid w:val="004D6144"/>
    <w:rsid w:val="004D63BB"/>
    <w:rsid w:val="004D64B2"/>
    <w:rsid w:val="004D6501"/>
    <w:rsid w:val="004D6655"/>
    <w:rsid w:val="004D6709"/>
    <w:rsid w:val="004D6869"/>
    <w:rsid w:val="004D6967"/>
    <w:rsid w:val="004D6A9C"/>
    <w:rsid w:val="004D6F4E"/>
    <w:rsid w:val="004D7109"/>
    <w:rsid w:val="004D7211"/>
    <w:rsid w:val="004D721A"/>
    <w:rsid w:val="004D72B5"/>
    <w:rsid w:val="004D7306"/>
    <w:rsid w:val="004D731E"/>
    <w:rsid w:val="004D75C3"/>
    <w:rsid w:val="004D76B1"/>
    <w:rsid w:val="004D796C"/>
    <w:rsid w:val="004D7CEE"/>
    <w:rsid w:val="004D7E7F"/>
    <w:rsid w:val="004D7E8C"/>
    <w:rsid w:val="004D7E92"/>
    <w:rsid w:val="004E0308"/>
    <w:rsid w:val="004E033B"/>
    <w:rsid w:val="004E0362"/>
    <w:rsid w:val="004E03EF"/>
    <w:rsid w:val="004E0436"/>
    <w:rsid w:val="004E05A0"/>
    <w:rsid w:val="004E066F"/>
    <w:rsid w:val="004E0797"/>
    <w:rsid w:val="004E0958"/>
    <w:rsid w:val="004E0A07"/>
    <w:rsid w:val="004E0CA7"/>
    <w:rsid w:val="004E0D96"/>
    <w:rsid w:val="004E11AB"/>
    <w:rsid w:val="004E138A"/>
    <w:rsid w:val="004E14D5"/>
    <w:rsid w:val="004E157C"/>
    <w:rsid w:val="004E16A2"/>
    <w:rsid w:val="004E16B2"/>
    <w:rsid w:val="004E1724"/>
    <w:rsid w:val="004E18F9"/>
    <w:rsid w:val="004E1A82"/>
    <w:rsid w:val="004E1F60"/>
    <w:rsid w:val="004E20CC"/>
    <w:rsid w:val="004E20E9"/>
    <w:rsid w:val="004E213C"/>
    <w:rsid w:val="004E2170"/>
    <w:rsid w:val="004E21C5"/>
    <w:rsid w:val="004E235A"/>
    <w:rsid w:val="004E26ED"/>
    <w:rsid w:val="004E26F4"/>
    <w:rsid w:val="004E2839"/>
    <w:rsid w:val="004E287D"/>
    <w:rsid w:val="004E2A95"/>
    <w:rsid w:val="004E2AC5"/>
    <w:rsid w:val="004E2BF4"/>
    <w:rsid w:val="004E2C91"/>
    <w:rsid w:val="004E2E09"/>
    <w:rsid w:val="004E2E88"/>
    <w:rsid w:val="004E2F37"/>
    <w:rsid w:val="004E3097"/>
    <w:rsid w:val="004E30F2"/>
    <w:rsid w:val="004E3151"/>
    <w:rsid w:val="004E346F"/>
    <w:rsid w:val="004E374C"/>
    <w:rsid w:val="004E3789"/>
    <w:rsid w:val="004E37A9"/>
    <w:rsid w:val="004E3839"/>
    <w:rsid w:val="004E3A0B"/>
    <w:rsid w:val="004E3DE3"/>
    <w:rsid w:val="004E3F62"/>
    <w:rsid w:val="004E3FF9"/>
    <w:rsid w:val="004E434F"/>
    <w:rsid w:val="004E4576"/>
    <w:rsid w:val="004E47FA"/>
    <w:rsid w:val="004E483B"/>
    <w:rsid w:val="004E4877"/>
    <w:rsid w:val="004E4949"/>
    <w:rsid w:val="004E4B97"/>
    <w:rsid w:val="004E4BA5"/>
    <w:rsid w:val="004E4BC0"/>
    <w:rsid w:val="004E4D68"/>
    <w:rsid w:val="004E4D70"/>
    <w:rsid w:val="004E4F89"/>
    <w:rsid w:val="004E50E0"/>
    <w:rsid w:val="004E552C"/>
    <w:rsid w:val="004E58C1"/>
    <w:rsid w:val="004E5918"/>
    <w:rsid w:val="004E644A"/>
    <w:rsid w:val="004E6450"/>
    <w:rsid w:val="004E64A0"/>
    <w:rsid w:val="004E6763"/>
    <w:rsid w:val="004E6A11"/>
    <w:rsid w:val="004E6AA9"/>
    <w:rsid w:val="004E6E24"/>
    <w:rsid w:val="004E6FE0"/>
    <w:rsid w:val="004E7003"/>
    <w:rsid w:val="004E701E"/>
    <w:rsid w:val="004E704A"/>
    <w:rsid w:val="004E761C"/>
    <w:rsid w:val="004E7735"/>
    <w:rsid w:val="004E773A"/>
    <w:rsid w:val="004E7851"/>
    <w:rsid w:val="004E795D"/>
    <w:rsid w:val="004E7AB7"/>
    <w:rsid w:val="004E7AC7"/>
    <w:rsid w:val="004E7B16"/>
    <w:rsid w:val="004F036F"/>
    <w:rsid w:val="004F057D"/>
    <w:rsid w:val="004F059F"/>
    <w:rsid w:val="004F0772"/>
    <w:rsid w:val="004F0783"/>
    <w:rsid w:val="004F0846"/>
    <w:rsid w:val="004F0B1E"/>
    <w:rsid w:val="004F0C4B"/>
    <w:rsid w:val="004F0C91"/>
    <w:rsid w:val="004F0DA5"/>
    <w:rsid w:val="004F0E92"/>
    <w:rsid w:val="004F0FBE"/>
    <w:rsid w:val="004F1646"/>
    <w:rsid w:val="004F175C"/>
    <w:rsid w:val="004F1B87"/>
    <w:rsid w:val="004F1D45"/>
    <w:rsid w:val="004F1E84"/>
    <w:rsid w:val="004F1F28"/>
    <w:rsid w:val="004F1FBA"/>
    <w:rsid w:val="004F211C"/>
    <w:rsid w:val="004F217F"/>
    <w:rsid w:val="004F219B"/>
    <w:rsid w:val="004F23AC"/>
    <w:rsid w:val="004F25A5"/>
    <w:rsid w:val="004F26C6"/>
    <w:rsid w:val="004F2827"/>
    <w:rsid w:val="004F2AE3"/>
    <w:rsid w:val="004F2B35"/>
    <w:rsid w:val="004F2CAD"/>
    <w:rsid w:val="004F2CFB"/>
    <w:rsid w:val="004F2DDD"/>
    <w:rsid w:val="004F2DE2"/>
    <w:rsid w:val="004F2EDB"/>
    <w:rsid w:val="004F3015"/>
    <w:rsid w:val="004F3018"/>
    <w:rsid w:val="004F3648"/>
    <w:rsid w:val="004F3D91"/>
    <w:rsid w:val="004F400B"/>
    <w:rsid w:val="004F40E2"/>
    <w:rsid w:val="004F4BEB"/>
    <w:rsid w:val="004F4E34"/>
    <w:rsid w:val="004F4FBB"/>
    <w:rsid w:val="004F503F"/>
    <w:rsid w:val="004F5080"/>
    <w:rsid w:val="004F5194"/>
    <w:rsid w:val="004F52FA"/>
    <w:rsid w:val="004F5342"/>
    <w:rsid w:val="004F5710"/>
    <w:rsid w:val="004F5AC3"/>
    <w:rsid w:val="004F5AF6"/>
    <w:rsid w:val="004F5B4C"/>
    <w:rsid w:val="004F5C5E"/>
    <w:rsid w:val="004F5D4A"/>
    <w:rsid w:val="004F619A"/>
    <w:rsid w:val="004F61A2"/>
    <w:rsid w:val="004F62B9"/>
    <w:rsid w:val="004F6333"/>
    <w:rsid w:val="004F6912"/>
    <w:rsid w:val="004F6AAD"/>
    <w:rsid w:val="004F6ACD"/>
    <w:rsid w:val="004F6B40"/>
    <w:rsid w:val="004F6E88"/>
    <w:rsid w:val="004F6EB2"/>
    <w:rsid w:val="004F6FD2"/>
    <w:rsid w:val="004F7258"/>
    <w:rsid w:val="004F7435"/>
    <w:rsid w:val="004F755A"/>
    <w:rsid w:val="004F7773"/>
    <w:rsid w:val="004F78C8"/>
    <w:rsid w:val="004F78EB"/>
    <w:rsid w:val="004F7C5D"/>
    <w:rsid w:val="004F7E15"/>
    <w:rsid w:val="005000F1"/>
    <w:rsid w:val="00500107"/>
    <w:rsid w:val="00500300"/>
    <w:rsid w:val="005007F7"/>
    <w:rsid w:val="00500A96"/>
    <w:rsid w:val="00500C58"/>
    <w:rsid w:val="00500CC3"/>
    <w:rsid w:val="00500D58"/>
    <w:rsid w:val="00501008"/>
    <w:rsid w:val="00501034"/>
    <w:rsid w:val="00501334"/>
    <w:rsid w:val="005013A4"/>
    <w:rsid w:val="005015E5"/>
    <w:rsid w:val="00501983"/>
    <w:rsid w:val="00501F75"/>
    <w:rsid w:val="00502019"/>
    <w:rsid w:val="005020B3"/>
    <w:rsid w:val="005022E2"/>
    <w:rsid w:val="00502557"/>
    <w:rsid w:val="00502968"/>
    <w:rsid w:val="005029CD"/>
    <w:rsid w:val="00502CDB"/>
    <w:rsid w:val="00502EC2"/>
    <w:rsid w:val="00502EDA"/>
    <w:rsid w:val="00502FDB"/>
    <w:rsid w:val="00503003"/>
    <w:rsid w:val="0050312C"/>
    <w:rsid w:val="00503153"/>
    <w:rsid w:val="00503284"/>
    <w:rsid w:val="005032B6"/>
    <w:rsid w:val="005032D9"/>
    <w:rsid w:val="00503748"/>
    <w:rsid w:val="00503B21"/>
    <w:rsid w:val="00503B44"/>
    <w:rsid w:val="00503CF9"/>
    <w:rsid w:val="00503DA3"/>
    <w:rsid w:val="00503DC3"/>
    <w:rsid w:val="00503F34"/>
    <w:rsid w:val="005044C7"/>
    <w:rsid w:val="00504564"/>
    <w:rsid w:val="00504714"/>
    <w:rsid w:val="0050478F"/>
    <w:rsid w:val="005047EF"/>
    <w:rsid w:val="00504EE9"/>
    <w:rsid w:val="005050A4"/>
    <w:rsid w:val="0050526F"/>
    <w:rsid w:val="005052DB"/>
    <w:rsid w:val="0050545B"/>
    <w:rsid w:val="00505811"/>
    <w:rsid w:val="0050589E"/>
    <w:rsid w:val="005058FE"/>
    <w:rsid w:val="005059A8"/>
    <w:rsid w:val="005059EB"/>
    <w:rsid w:val="00505C98"/>
    <w:rsid w:val="00505D15"/>
    <w:rsid w:val="00505F22"/>
    <w:rsid w:val="00505F6B"/>
    <w:rsid w:val="00506044"/>
    <w:rsid w:val="00506185"/>
    <w:rsid w:val="005062F8"/>
    <w:rsid w:val="0050631C"/>
    <w:rsid w:val="005064E9"/>
    <w:rsid w:val="005065E1"/>
    <w:rsid w:val="00506785"/>
    <w:rsid w:val="005068F9"/>
    <w:rsid w:val="00506AF0"/>
    <w:rsid w:val="00506D43"/>
    <w:rsid w:val="00506D84"/>
    <w:rsid w:val="00507800"/>
    <w:rsid w:val="005078CB"/>
    <w:rsid w:val="00507CB3"/>
    <w:rsid w:val="00507D45"/>
    <w:rsid w:val="00507E6D"/>
    <w:rsid w:val="0051015C"/>
    <w:rsid w:val="005101C9"/>
    <w:rsid w:val="00510454"/>
    <w:rsid w:val="00510737"/>
    <w:rsid w:val="005109D2"/>
    <w:rsid w:val="00510A21"/>
    <w:rsid w:val="00510DAB"/>
    <w:rsid w:val="00510FBB"/>
    <w:rsid w:val="00510FEB"/>
    <w:rsid w:val="005110E8"/>
    <w:rsid w:val="00511256"/>
    <w:rsid w:val="0051158E"/>
    <w:rsid w:val="0051169E"/>
    <w:rsid w:val="00511A46"/>
    <w:rsid w:val="00511B2E"/>
    <w:rsid w:val="00511F09"/>
    <w:rsid w:val="00512247"/>
    <w:rsid w:val="0051228D"/>
    <w:rsid w:val="00512584"/>
    <w:rsid w:val="00512736"/>
    <w:rsid w:val="0051282F"/>
    <w:rsid w:val="00512BBE"/>
    <w:rsid w:val="00512C2A"/>
    <w:rsid w:val="00512C6D"/>
    <w:rsid w:val="00512DDC"/>
    <w:rsid w:val="00512EE9"/>
    <w:rsid w:val="005133C7"/>
    <w:rsid w:val="0051349A"/>
    <w:rsid w:val="00513702"/>
    <w:rsid w:val="00513980"/>
    <w:rsid w:val="00513D61"/>
    <w:rsid w:val="00513D70"/>
    <w:rsid w:val="00513DB6"/>
    <w:rsid w:val="00513E34"/>
    <w:rsid w:val="00513EAD"/>
    <w:rsid w:val="00513F17"/>
    <w:rsid w:val="00514492"/>
    <w:rsid w:val="00514845"/>
    <w:rsid w:val="00514A11"/>
    <w:rsid w:val="00514A4F"/>
    <w:rsid w:val="00514C6E"/>
    <w:rsid w:val="00514C91"/>
    <w:rsid w:val="00514EC2"/>
    <w:rsid w:val="005150E5"/>
    <w:rsid w:val="005151E6"/>
    <w:rsid w:val="00515208"/>
    <w:rsid w:val="005153C7"/>
    <w:rsid w:val="005155AF"/>
    <w:rsid w:val="005155FA"/>
    <w:rsid w:val="00515885"/>
    <w:rsid w:val="00515A50"/>
    <w:rsid w:val="00515A61"/>
    <w:rsid w:val="00515C48"/>
    <w:rsid w:val="00515D12"/>
    <w:rsid w:val="00515D3E"/>
    <w:rsid w:val="00515E82"/>
    <w:rsid w:val="00515F1B"/>
    <w:rsid w:val="00516405"/>
    <w:rsid w:val="0051651E"/>
    <w:rsid w:val="00516524"/>
    <w:rsid w:val="00516576"/>
    <w:rsid w:val="005168ED"/>
    <w:rsid w:val="00516AB2"/>
    <w:rsid w:val="00516C76"/>
    <w:rsid w:val="00516CD8"/>
    <w:rsid w:val="00517158"/>
    <w:rsid w:val="005172CC"/>
    <w:rsid w:val="00517312"/>
    <w:rsid w:val="0051737F"/>
    <w:rsid w:val="00517667"/>
    <w:rsid w:val="005179AE"/>
    <w:rsid w:val="00517A06"/>
    <w:rsid w:val="00517A41"/>
    <w:rsid w:val="00517A66"/>
    <w:rsid w:val="00517C9B"/>
    <w:rsid w:val="00517DDC"/>
    <w:rsid w:val="00517F26"/>
    <w:rsid w:val="0052018F"/>
    <w:rsid w:val="00520296"/>
    <w:rsid w:val="0052043D"/>
    <w:rsid w:val="005205A6"/>
    <w:rsid w:val="005205E4"/>
    <w:rsid w:val="00520800"/>
    <w:rsid w:val="00520A15"/>
    <w:rsid w:val="00520ACF"/>
    <w:rsid w:val="00520B25"/>
    <w:rsid w:val="00520CCE"/>
    <w:rsid w:val="00520D50"/>
    <w:rsid w:val="00520D9A"/>
    <w:rsid w:val="00520E6F"/>
    <w:rsid w:val="00520FAB"/>
    <w:rsid w:val="0052113B"/>
    <w:rsid w:val="005211AD"/>
    <w:rsid w:val="0052152A"/>
    <w:rsid w:val="005216C6"/>
    <w:rsid w:val="00521727"/>
    <w:rsid w:val="005217BA"/>
    <w:rsid w:val="005218F6"/>
    <w:rsid w:val="00521A2D"/>
    <w:rsid w:val="00521AD3"/>
    <w:rsid w:val="00521C9A"/>
    <w:rsid w:val="00521CC8"/>
    <w:rsid w:val="00521E6A"/>
    <w:rsid w:val="005220B1"/>
    <w:rsid w:val="005221C3"/>
    <w:rsid w:val="005221C5"/>
    <w:rsid w:val="0052221D"/>
    <w:rsid w:val="00522595"/>
    <w:rsid w:val="0052271C"/>
    <w:rsid w:val="0052275F"/>
    <w:rsid w:val="00522CAB"/>
    <w:rsid w:val="0052314F"/>
    <w:rsid w:val="00523218"/>
    <w:rsid w:val="005234B3"/>
    <w:rsid w:val="0052368A"/>
    <w:rsid w:val="005239BA"/>
    <w:rsid w:val="00523C79"/>
    <w:rsid w:val="00523D26"/>
    <w:rsid w:val="00523D7B"/>
    <w:rsid w:val="00524130"/>
    <w:rsid w:val="0052424F"/>
    <w:rsid w:val="00524335"/>
    <w:rsid w:val="00524387"/>
    <w:rsid w:val="00524C6C"/>
    <w:rsid w:val="00524E62"/>
    <w:rsid w:val="00525127"/>
    <w:rsid w:val="00525196"/>
    <w:rsid w:val="005257FA"/>
    <w:rsid w:val="0052599F"/>
    <w:rsid w:val="005259E4"/>
    <w:rsid w:val="00525A27"/>
    <w:rsid w:val="00525D56"/>
    <w:rsid w:val="00526415"/>
    <w:rsid w:val="00526882"/>
    <w:rsid w:val="00526C25"/>
    <w:rsid w:val="00526CB7"/>
    <w:rsid w:val="00526FDB"/>
    <w:rsid w:val="0052711B"/>
    <w:rsid w:val="0052732A"/>
    <w:rsid w:val="00527390"/>
    <w:rsid w:val="00527433"/>
    <w:rsid w:val="0052798D"/>
    <w:rsid w:val="00527C0B"/>
    <w:rsid w:val="00527D1A"/>
    <w:rsid w:val="00527E53"/>
    <w:rsid w:val="005300D2"/>
    <w:rsid w:val="0053029C"/>
    <w:rsid w:val="0053047D"/>
    <w:rsid w:val="00530839"/>
    <w:rsid w:val="00530870"/>
    <w:rsid w:val="00530DD0"/>
    <w:rsid w:val="00530DD3"/>
    <w:rsid w:val="00530DFE"/>
    <w:rsid w:val="00531029"/>
    <w:rsid w:val="005311B8"/>
    <w:rsid w:val="005313EE"/>
    <w:rsid w:val="00531537"/>
    <w:rsid w:val="0053162E"/>
    <w:rsid w:val="005316C0"/>
    <w:rsid w:val="00531705"/>
    <w:rsid w:val="00531810"/>
    <w:rsid w:val="00531971"/>
    <w:rsid w:val="00531993"/>
    <w:rsid w:val="00531D52"/>
    <w:rsid w:val="00531F8F"/>
    <w:rsid w:val="00531FC9"/>
    <w:rsid w:val="00532072"/>
    <w:rsid w:val="005321A1"/>
    <w:rsid w:val="00532236"/>
    <w:rsid w:val="005322B3"/>
    <w:rsid w:val="005322FB"/>
    <w:rsid w:val="00532390"/>
    <w:rsid w:val="00532544"/>
    <w:rsid w:val="005326B0"/>
    <w:rsid w:val="005326E4"/>
    <w:rsid w:val="005327EB"/>
    <w:rsid w:val="00532873"/>
    <w:rsid w:val="00532C24"/>
    <w:rsid w:val="00532D20"/>
    <w:rsid w:val="00532F65"/>
    <w:rsid w:val="0053302A"/>
    <w:rsid w:val="00533042"/>
    <w:rsid w:val="00533058"/>
    <w:rsid w:val="00533099"/>
    <w:rsid w:val="00533200"/>
    <w:rsid w:val="0053335B"/>
    <w:rsid w:val="0053337D"/>
    <w:rsid w:val="005333C2"/>
    <w:rsid w:val="005335D6"/>
    <w:rsid w:val="0053360C"/>
    <w:rsid w:val="0053371C"/>
    <w:rsid w:val="005338F0"/>
    <w:rsid w:val="005339C4"/>
    <w:rsid w:val="00533B11"/>
    <w:rsid w:val="00533B23"/>
    <w:rsid w:val="00533B44"/>
    <w:rsid w:val="00533B8C"/>
    <w:rsid w:val="00533E7C"/>
    <w:rsid w:val="00533F88"/>
    <w:rsid w:val="00533FA9"/>
    <w:rsid w:val="0053404F"/>
    <w:rsid w:val="0053405D"/>
    <w:rsid w:val="0053408B"/>
    <w:rsid w:val="005342B2"/>
    <w:rsid w:val="005342C8"/>
    <w:rsid w:val="00534475"/>
    <w:rsid w:val="005345D5"/>
    <w:rsid w:val="005348DF"/>
    <w:rsid w:val="00534A36"/>
    <w:rsid w:val="00534C40"/>
    <w:rsid w:val="00534EA0"/>
    <w:rsid w:val="00534EC7"/>
    <w:rsid w:val="00534F52"/>
    <w:rsid w:val="00534FED"/>
    <w:rsid w:val="005350BB"/>
    <w:rsid w:val="005352BE"/>
    <w:rsid w:val="005352F3"/>
    <w:rsid w:val="00535875"/>
    <w:rsid w:val="00535964"/>
    <w:rsid w:val="00535A8A"/>
    <w:rsid w:val="00535AC2"/>
    <w:rsid w:val="00535BBE"/>
    <w:rsid w:val="00535C15"/>
    <w:rsid w:val="00535C2B"/>
    <w:rsid w:val="00535D13"/>
    <w:rsid w:val="00535FD6"/>
    <w:rsid w:val="00536131"/>
    <w:rsid w:val="00536329"/>
    <w:rsid w:val="005364A3"/>
    <w:rsid w:val="005364EA"/>
    <w:rsid w:val="005366C8"/>
    <w:rsid w:val="005367B8"/>
    <w:rsid w:val="00536C35"/>
    <w:rsid w:val="00536D77"/>
    <w:rsid w:val="00536E38"/>
    <w:rsid w:val="00536E72"/>
    <w:rsid w:val="0053715C"/>
    <w:rsid w:val="0053724B"/>
    <w:rsid w:val="00537392"/>
    <w:rsid w:val="005374B0"/>
    <w:rsid w:val="005374B3"/>
    <w:rsid w:val="00537543"/>
    <w:rsid w:val="005375A0"/>
    <w:rsid w:val="00537D2A"/>
    <w:rsid w:val="00540196"/>
    <w:rsid w:val="005401AC"/>
    <w:rsid w:val="005407D3"/>
    <w:rsid w:val="00540846"/>
    <w:rsid w:val="00540F4C"/>
    <w:rsid w:val="00541005"/>
    <w:rsid w:val="005411B0"/>
    <w:rsid w:val="00541233"/>
    <w:rsid w:val="005412D0"/>
    <w:rsid w:val="00541425"/>
    <w:rsid w:val="00541443"/>
    <w:rsid w:val="0054149F"/>
    <w:rsid w:val="005416F7"/>
    <w:rsid w:val="0054177F"/>
    <w:rsid w:val="005418DD"/>
    <w:rsid w:val="00541924"/>
    <w:rsid w:val="00541A6D"/>
    <w:rsid w:val="00541A8C"/>
    <w:rsid w:val="00541E3C"/>
    <w:rsid w:val="00541E52"/>
    <w:rsid w:val="00541FC5"/>
    <w:rsid w:val="005420FC"/>
    <w:rsid w:val="005423B1"/>
    <w:rsid w:val="00542518"/>
    <w:rsid w:val="005425A9"/>
    <w:rsid w:val="005426F7"/>
    <w:rsid w:val="0054278D"/>
    <w:rsid w:val="00542875"/>
    <w:rsid w:val="005428FD"/>
    <w:rsid w:val="00542908"/>
    <w:rsid w:val="005429CC"/>
    <w:rsid w:val="00542ABF"/>
    <w:rsid w:val="00542BEC"/>
    <w:rsid w:val="00542C17"/>
    <w:rsid w:val="00542C59"/>
    <w:rsid w:val="00542DDB"/>
    <w:rsid w:val="00542E32"/>
    <w:rsid w:val="00542EEC"/>
    <w:rsid w:val="005431BD"/>
    <w:rsid w:val="0054335E"/>
    <w:rsid w:val="005434B3"/>
    <w:rsid w:val="005435EC"/>
    <w:rsid w:val="005439E4"/>
    <w:rsid w:val="00543B63"/>
    <w:rsid w:val="00543E48"/>
    <w:rsid w:val="00544122"/>
    <w:rsid w:val="005442E9"/>
    <w:rsid w:val="005445D3"/>
    <w:rsid w:val="005445D5"/>
    <w:rsid w:val="00544611"/>
    <w:rsid w:val="00544669"/>
    <w:rsid w:val="00544D79"/>
    <w:rsid w:val="00544DAF"/>
    <w:rsid w:val="00544DBA"/>
    <w:rsid w:val="00544F4E"/>
    <w:rsid w:val="00545009"/>
    <w:rsid w:val="00545133"/>
    <w:rsid w:val="005452ED"/>
    <w:rsid w:val="0054561D"/>
    <w:rsid w:val="00545D15"/>
    <w:rsid w:val="00545D34"/>
    <w:rsid w:val="00545EE2"/>
    <w:rsid w:val="00546136"/>
    <w:rsid w:val="00546459"/>
    <w:rsid w:val="00546723"/>
    <w:rsid w:val="00546792"/>
    <w:rsid w:val="00546A2C"/>
    <w:rsid w:val="00546B49"/>
    <w:rsid w:val="00546C47"/>
    <w:rsid w:val="00547104"/>
    <w:rsid w:val="0054714D"/>
    <w:rsid w:val="005477C5"/>
    <w:rsid w:val="005477E1"/>
    <w:rsid w:val="0054787A"/>
    <w:rsid w:val="0054795E"/>
    <w:rsid w:val="005479C8"/>
    <w:rsid w:val="00547C8A"/>
    <w:rsid w:val="005501D7"/>
    <w:rsid w:val="00550279"/>
    <w:rsid w:val="0055028E"/>
    <w:rsid w:val="00550362"/>
    <w:rsid w:val="00550532"/>
    <w:rsid w:val="005506B0"/>
    <w:rsid w:val="0055081D"/>
    <w:rsid w:val="00550850"/>
    <w:rsid w:val="0055096C"/>
    <w:rsid w:val="005509E7"/>
    <w:rsid w:val="00550A45"/>
    <w:rsid w:val="00550ABA"/>
    <w:rsid w:val="00550B95"/>
    <w:rsid w:val="00550EFA"/>
    <w:rsid w:val="00551096"/>
    <w:rsid w:val="005510BB"/>
    <w:rsid w:val="00551171"/>
    <w:rsid w:val="005512AD"/>
    <w:rsid w:val="005514DD"/>
    <w:rsid w:val="0055185F"/>
    <w:rsid w:val="00551910"/>
    <w:rsid w:val="00551986"/>
    <w:rsid w:val="00551D6D"/>
    <w:rsid w:val="00551DDE"/>
    <w:rsid w:val="00551E2C"/>
    <w:rsid w:val="005522F4"/>
    <w:rsid w:val="00552434"/>
    <w:rsid w:val="00552808"/>
    <w:rsid w:val="00552BDA"/>
    <w:rsid w:val="00552CDC"/>
    <w:rsid w:val="005530F6"/>
    <w:rsid w:val="005532A9"/>
    <w:rsid w:val="0055357A"/>
    <w:rsid w:val="005535D3"/>
    <w:rsid w:val="00553867"/>
    <w:rsid w:val="00553A14"/>
    <w:rsid w:val="00553EE6"/>
    <w:rsid w:val="00553F60"/>
    <w:rsid w:val="005541CE"/>
    <w:rsid w:val="00554487"/>
    <w:rsid w:val="005544FF"/>
    <w:rsid w:val="0055467E"/>
    <w:rsid w:val="00554D13"/>
    <w:rsid w:val="00554E72"/>
    <w:rsid w:val="005552CA"/>
    <w:rsid w:val="005552DB"/>
    <w:rsid w:val="005553B6"/>
    <w:rsid w:val="00555691"/>
    <w:rsid w:val="00555A68"/>
    <w:rsid w:val="00555D29"/>
    <w:rsid w:val="00556142"/>
    <w:rsid w:val="005561C0"/>
    <w:rsid w:val="0055629A"/>
    <w:rsid w:val="0055667F"/>
    <w:rsid w:val="005568EF"/>
    <w:rsid w:val="00556A01"/>
    <w:rsid w:val="00556A13"/>
    <w:rsid w:val="00556A93"/>
    <w:rsid w:val="00556D27"/>
    <w:rsid w:val="0055734D"/>
    <w:rsid w:val="0055736B"/>
    <w:rsid w:val="0055757E"/>
    <w:rsid w:val="005575BF"/>
    <w:rsid w:val="005576E6"/>
    <w:rsid w:val="005577F7"/>
    <w:rsid w:val="00557811"/>
    <w:rsid w:val="00557817"/>
    <w:rsid w:val="00557EB5"/>
    <w:rsid w:val="00560214"/>
    <w:rsid w:val="00560756"/>
    <w:rsid w:val="00560815"/>
    <w:rsid w:val="00560836"/>
    <w:rsid w:val="00560ADC"/>
    <w:rsid w:val="00560B59"/>
    <w:rsid w:val="00560B74"/>
    <w:rsid w:val="00560BA5"/>
    <w:rsid w:val="00561210"/>
    <w:rsid w:val="0056139D"/>
    <w:rsid w:val="005613DF"/>
    <w:rsid w:val="00561574"/>
    <w:rsid w:val="00561899"/>
    <w:rsid w:val="00561AA3"/>
    <w:rsid w:val="00561B20"/>
    <w:rsid w:val="00561BEE"/>
    <w:rsid w:val="00561C34"/>
    <w:rsid w:val="00561CD4"/>
    <w:rsid w:val="00561D0C"/>
    <w:rsid w:val="00561D2F"/>
    <w:rsid w:val="00561D96"/>
    <w:rsid w:val="005621E6"/>
    <w:rsid w:val="00562235"/>
    <w:rsid w:val="005626DF"/>
    <w:rsid w:val="0056272A"/>
    <w:rsid w:val="005627D9"/>
    <w:rsid w:val="00562A17"/>
    <w:rsid w:val="00562A45"/>
    <w:rsid w:val="00562CB9"/>
    <w:rsid w:val="00562F16"/>
    <w:rsid w:val="005630F6"/>
    <w:rsid w:val="0056320A"/>
    <w:rsid w:val="00563238"/>
    <w:rsid w:val="00563731"/>
    <w:rsid w:val="005638A9"/>
    <w:rsid w:val="005638F1"/>
    <w:rsid w:val="00563A4D"/>
    <w:rsid w:val="00563C14"/>
    <w:rsid w:val="00563D81"/>
    <w:rsid w:val="00563F1A"/>
    <w:rsid w:val="00564005"/>
    <w:rsid w:val="0056457F"/>
    <w:rsid w:val="0056463F"/>
    <w:rsid w:val="005649AC"/>
    <w:rsid w:val="00564A36"/>
    <w:rsid w:val="00564BF9"/>
    <w:rsid w:val="00564EA9"/>
    <w:rsid w:val="00565115"/>
    <w:rsid w:val="00565266"/>
    <w:rsid w:val="00565288"/>
    <w:rsid w:val="00565588"/>
    <w:rsid w:val="005655E4"/>
    <w:rsid w:val="005659EB"/>
    <w:rsid w:val="00565B0C"/>
    <w:rsid w:val="00565FCA"/>
    <w:rsid w:val="0056610B"/>
    <w:rsid w:val="00566183"/>
    <w:rsid w:val="005661D0"/>
    <w:rsid w:val="005663BD"/>
    <w:rsid w:val="00566478"/>
    <w:rsid w:val="005665CF"/>
    <w:rsid w:val="0056688A"/>
    <w:rsid w:val="00566B68"/>
    <w:rsid w:val="00566D5C"/>
    <w:rsid w:val="00566F6F"/>
    <w:rsid w:val="005671EE"/>
    <w:rsid w:val="005674FD"/>
    <w:rsid w:val="00567614"/>
    <w:rsid w:val="005676BB"/>
    <w:rsid w:val="005677F8"/>
    <w:rsid w:val="005678A9"/>
    <w:rsid w:val="00567976"/>
    <w:rsid w:val="005679A6"/>
    <w:rsid w:val="00567E2B"/>
    <w:rsid w:val="00570048"/>
    <w:rsid w:val="00570170"/>
    <w:rsid w:val="00570433"/>
    <w:rsid w:val="00570553"/>
    <w:rsid w:val="005705B9"/>
    <w:rsid w:val="005705CC"/>
    <w:rsid w:val="00570627"/>
    <w:rsid w:val="005706EB"/>
    <w:rsid w:val="0057099A"/>
    <w:rsid w:val="00570DFA"/>
    <w:rsid w:val="005711C6"/>
    <w:rsid w:val="005717FA"/>
    <w:rsid w:val="00571A8B"/>
    <w:rsid w:val="00571AD8"/>
    <w:rsid w:val="00571C36"/>
    <w:rsid w:val="00571CD9"/>
    <w:rsid w:val="00571DB4"/>
    <w:rsid w:val="00571FAA"/>
    <w:rsid w:val="005725B6"/>
    <w:rsid w:val="00572600"/>
    <w:rsid w:val="0057261F"/>
    <w:rsid w:val="0057277F"/>
    <w:rsid w:val="005727A1"/>
    <w:rsid w:val="00572829"/>
    <w:rsid w:val="00572915"/>
    <w:rsid w:val="005729D3"/>
    <w:rsid w:val="00572A2F"/>
    <w:rsid w:val="00572BD3"/>
    <w:rsid w:val="00572D8D"/>
    <w:rsid w:val="00572EF8"/>
    <w:rsid w:val="00572F34"/>
    <w:rsid w:val="00573047"/>
    <w:rsid w:val="0057313C"/>
    <w:rsid w:val="0057324C"/>
    <w:rsid w:val="005734AE"/>
    <w:rsid w:val="005734B4"/>
    <w:rsid w:val="005735E1"/>
    <w:rsid w:val="005738AB"/>
    <w:rsid w:val="005738C0"/>
    <w:rsid w:val="00573A26"/>
    <w:rsid w:val="00573B72"/>
    <w:rsid w:val="00573B84"/>
    <w:rsid w:val="0057403D"/>
    <w:rsid w:val="005740C8"/>
    <w:rsid w:val="0057410C"/>
    <w:rsid w:val="0057413B"/>
    <w:rsid w:val="00574192"/>
    <w:rsid w:val="00574322"/>
    <w:rsid w:val="005743A9"/>
    <w:rsid w:val="005744CB"/>
    <w:rsid w:val="0057473A"/>
    <w:rsid w:val="00574778"/>
    <w:rsid w:val="00574779"/>
    <w:rsid w:val="00574B6C"/>
    <w:rsid w:val="00574BCA"/>
    <w:rsid w:val="00574C70"/>
    <w:rsid w:val="00574DB5"/>
    <w:rsid w:val="005750EF"/>
    <w:rsid w:val="005751E7"/>
    <w:rsid w:val="005752DE"/>
    <w:rsid w:val="00575574"/>
    <w:rsid w:val="0057562B"/>
    <w:rsid w:val="005756C2"/>
    <w:rsid w:val="005757DF"/>
    <w:rsid w:val="00575928"/>
    <w:rsid w:val="00575C0B"/>
    <w:rsid w:val="00575C99"/>
    <w:rsid w:val="00575CAD"/>
    <w:rsid w:val="00575EAC"/>
    <w:rsid w:val="00575F44"/>
    <w:rsid w:val="00575F7E"/>
    <w:rsid w:val="005765D7"/>
    <w:rsid w:val="0057668D"/>
    <w:rsid w:val="005766EE"/>
    <w:rsid w:val="00576D11"/>
    <w:rsid w:val="00576D28"/>
    <w:rsid w:val="00576E7A"/>
    <w:rsid w:val="0057700D"/>
    <w:rsid w:val="005770A6"/>
    <w:rsid w:val="00577128"/>
    <w:rsid w:val="00577549"/>
    <w:rsid w:val="00577AB0"/>
    <w:rsid w:val="00577B4F"/>
    <w:rsid w:val="00577CC4"/>
    <w:rsid w:val="00577E3F"/>
    <w:rsid w:val="00580221"/>
    <w:rsid w:val="00580638"/>
    <w:rsid w:val="00580883"/>
    <w:rsid w:val="00580D92"/>
    <w:rsid w:val="00580DED"/>
    <w:rsid w:val="00580F4F"/>
    <w:rsid w:val="00581797"/>
    <w:rsid w:val="00581A8F"/>
    <w:rsid w:val="00581CC6"/>
    <w:rsid w:val="00581E3E"/>
    <w:rsid w:val="0058225F"/>
    <w:rsid w:val="005823BF"/>
    <w:rsid w:val="005828B8"/>
    <w:rsid w:val="00582C21"/>
    <w:rsid w:val="00582DCB"/>
    <w:rsid w:val="00582E43"/>
    <w:rsid w:val="00582E64"/>
    <w:rsid w:val="00582F45"/>
    <w:rsid w:val="005831AD"/>
    <w:rsid w:val="00583218"/>
    <w:rsid w:val="00583279"/>
    <w:rsid w:val="0058330A"/>
    <w:rsid w:val="005834D0"/>
    <w:rsid w:val="005835C8"/>
    <w:rsid w:val="00583D20"/>
    <w:rsid w:val="00583E6F"/>
    <w:rsid w:val="0058416A"/>
    <w:rsid w:val="005841FB"/>
    <w:rsid w:val="00584497"/>
    <w:rsid w:val="005846C8"/>
    <w:rsid w:val="005846F0"/>
    <w:rsid w:val="005847CF"/>
    <w:rsid w:val="005848D2"/>
    <w:rsid w:val="00584E40"/>
    <w:rsid w:val="00584E90"/>
    <w:rsid w:val="005852DB"/>
    <w:rsid w:val="005852E7"/>
    <w:rsid w:val="00585351"/>
    <w:rsid w:val="00585372"/>
    <w:rsid w:val="005853EC"/>
    <w:rsid w:val="00585459"/>
    <w:rsid w:val="0058562A"/>
    <w:rsid w:val="00585841"/>
    <w:rsid w:val="00585978"/>
    <w:rsid w:val="00585A97"/>
    <w:rsid w:val="00585B8A"/>
    <w:rsid w:val="00585CD2"/>
    <w:rsid w:val="005860FD"/>
    <w:rsid w:val="005861EE"/>
    <w:rsid w:val="005862EB"/>
    <w:rsid w:val="00586406"/>
    <w:rsid w:val="00586532"/>
    <w:rsid w:val="005866F3"/>
    <w:rsid w:val="005867D4"/>
    <w:rsid w:val="00586C1C"/>
    <w:rsid w:val="00586E78"/>
    <w:rsid w:val="005873A2"/>
    <w:rsid w:val="00587588"/>
    <w:rsid w:val="005875B1"/>
    <w:rsid w:val="0058762A"/>
    <w:rsid w:val="00587660"/>
    <w:rsid w:val="005876C2"/>
    <w:rsid w:val="005876E4"/>
    <w:rsid w:val="005878B0"/>
    <w:rsid w:val="00587A39"/>
    <w:rsid w:val="00590518"/>
    <w:rsid w:val="00590542"/>
    <w:rsid w:val="005906E3"/>
    <w:rsid w:val="005907CF"/>
    <w:rsid w:val="005908B9"/>
    <w:rsid w:val="00590B77"/>
    <w:rsid w:val="00590EEF"/>
    <w:rsid w:val="00590F5D"/>
    <w:rsid w:val="005910E8"/>
    <w:rsid w:val="0059152D"/>
    <w:rsid w:val="005918A2"/>
    <w:rsid w:val="00591950"/>
    <w:rsid w:val="00591B4B"/>
    <w:rsid w:val="00591C58"/>
    <w:rsid w:val="00591C76"/>
    <w:rsid w:val="00591C78"/>
    <w:rsid w:val="00591CB1"/>
    <w:rsid w:val="00591CD6"/>
    <w:rsid w:val="00591D00"/>
    <w:rsid w:val="00591DB2"/>
    <w:rsid w:val="00591F8F"/>
    <w:rsid w:val="00592048"/>
    <w:rsid w:val="005922CB"/>
    <w:rsid w:val="005924AC"/>
    <w:rsid w:val="005927BE"/>
    <w:rsid w:val="0059288A"/>
    <w:rsid w:val="00592946"/>
    <w:rsid w:val="00592A36"/>
    <w:rsid w:val="00592C65"/>
    <w:rsid w:val="00592CD0"/>
    <w:rsid w:val="00592ECC"/>
    <w:rsid w:val="00592F4C"/>
    <w:rsid w:val="005937FA"/>
    <w:rsid w:val="005939DB"/>
    <w:rsid w:val="005939E0"/>
    <w:rsid w:val="00593D50"/>
    <w:rsid w:val="00593FCD"/>
    <w:rsid w:val="00594002"/>
    <w:rsid w:val="005940BA"/>
    <w:rsid w:val="0059437A"/>
    <w:rsid w:val="00594388"/>
    <w:rsid w:val="00594816"/>
    <w:rsid w:val="0059496B"/>
    <w:rsid w:val="00594B6B"/>
    <w:rsid w:val="00594D25"/>
    <w:rsid w:val="00594E91"/>
    <w:rsid w:val="005950DB"/>
    <w:rsid w:val="0059516A"/>
    <w:rsid w:val="00595274"/>
    <w:rsid w:val="0059529C"/>
    <w:rsid w:val="005952CA"/>
    <w:rsid w:val="00595362"/>
    <w:rsid w:val="0059561C"/>
    <w:rsid w:val="00595AFC"/>
    <w:rsid w:val="00595B12"/>
    <w:rsid w:val="00595B6E"/>
    <w:rsid w:val="00595DF8"/>
    <w:rsid w:val="00595E83"/>
    <w:rsid w:val="00595FE5"/>
    <w:rsid w:val="00596013"/>
    <w:rsid w:val="0059620C"/>
    <w:rsid w:val="0059631D"/>
    <w:rsid w:val="005963CC"/>
    <w:rsid w:val="00596814"/>
    <w:rsid w:val="00596A51"/>
    <w:rsid w:val="00596B8C"/>
    <w:rsid w:val="00596D05"/>
    <w:rsid w:val="00596D06"/>
    <w:rsid w:val="00596DDE"/>
    <w:rsid w:val="00596FBC"/>
    <w:rsid w:val="0059700E"/>
    <w:rsid w:val="0059710E"/>
    <w:rsid w:val="005974DC"/>
    <w:rsid w:val="005974EE"/>
    <w:rsid w:val="00597972"/>
    <w:rsid w:val="00597B14"/>
    <w:rsid w:val="005A008F"/>
    <w:rsid w:val="005A04C3"/>
    <w:rsid w:val="005A060B"/>
    <w:rsid w:val="005A0A18"/>
    <w:rsid w:val="005A0B27"/>
    <w:rsid w:val="005A0D8D"/>
    <w:rsid w:val="005A10F9"/>
    <w:rsid w:val="005A117D"/>
    <w:rsid w:val="005A1535"/>
    <w:rsid w:val="005A15F5"/>
    <w:rsid w:val="005A1861"/>
    <w:rsid w:val="005A188D"/>
    <w:rsid w:val="005A19D0"/>
    <w:rsid w:val="005A19E7"/>
    <w:rsid w:val="005A1AFF"/>
    <w:rsid w:val="005A1C85"/>
    <w:rsid w:val="005A1D12"/>
    <w:rsid w:val="005A1D4B"/>
    <w:rsid w:val="005A1E8F"/>
    <w:rsid w:val="005A1F58"/>
    <w:rsid w:val="005A1FC2"/>
    <w:rsid w:val="005A27B3"/>
    <w:rsid w:val="005A29B4"/>
    <w:rsid w:val="005A2B08"/>
    <w:rsid w:val="005A2B2F"/>
    <w:rsid w:val="005A2C85"/>
    <w:rsid w:val="005A2F3C"/>
    <w:rsid w:val="005A31A7"/>
    <w:rsid w:val="005A32B3"/>
    <w:rsid w:val="005A3335"/>
    <w:rsid w:val="005A36DB"/>
    <w:rsid w:val="005A3ABB"/>
    <w:rsid w:val="005A3E8E"/>
    <w:rsid w:val="005A3F6B"/>
    <w:rsid w:val="005A3F7F"/>
    <w:rsid w:val="005A407D"/>
    <w:rsid w:val="005A45F1"/>
    <w:rsid w:val="005A46F1"/>
    <w:rsid w:val="005A4708"/>
    <w:rsid w:val="005A4881"/>
    <w:rsid w:val="005A4BB1"/>
    <w:rsid w:val="005A4C3C"/>
    <w:rsid w:val="005A4D12"/>
    <w:rsid w:val="005A4F4B"/>
    <w:rsid w:val="005A523C"/>
    <w:rsid w:val="005A539B"/>
    <w:rsid w:val="005A5419"/>
    <w:rsid w:val="005A567E"/>
    <w:rsid w:val="005A58C0"/>
    <w:rsid w:val="005A5A73"/>
    <w:rsid w:val="005A5B17"/>
    <w:rsid w:val="005A5C04"/>
    <w:rsid w:val="005A5D2D"/>
    <w:rsid w:val="005A5E6C"/>
    <w:rsid w:val="005A5EEC"/>
    <w:rsid w:val="005A60BF"/>
    <w:rsid w:val="005A61A6"/>
    <w:rsid w:val="005A6227"/>
    <w:rsid w:val="005A6355"/>
    <w:rsid w:val="005A662F"/>
    <w:rsid w:val="005A6739"/>
    <w:rsid w:val="005A6ABD"/>
    <w:rsid w:val="005A6D4B"/>
    <w:rsid w:val="005A6E29"/>
    <w:rsid w:val="005A6E52"/>
    <w:rsid w:val="005A71D8"/>
    <w:rsid w:val="005A7580"/>
    <w:rsid w:val="005A75E5"/>
    <w:rsid w:val="005A771C"/>
    <w:rsid w:val="005A786F"/>
    <w:rsid w:val="005A7A7C"/>
    <w:rsid w:val="005A7B4B"/>
    <w:rsid w:val="005B02C7"/>
    <w:rsid w:val="005B0330"/>
    <w:rsid w:val="005B0497"/>
    <w:rsid w:val="005B0533"/>
    <w:rsid w:val="005B0545"/>
    <w:rsid w:val="005B06EF"/>
    <w:rsid w:val="005B0A6D"/>
    <w:rsid w:val="005B0A9C"/>
    <w:rsid w:val="005B0C9F"/>
    <w:rsid w:val="005B0CB4"/>
    <w:rsid w:val="005B0D1C"/>
    <w:rsid w:val="005B0D31"/>
    <w:rsid w:val="005B0EC4"/>
    <w:rsid w:val="005B1005"/>
    <w:rsid w:val="005B12E1"/>
    <w:rsid w:val="005B13CE"/>
    <w:rsid w:val="005B153E"/>
    <w:rsid w:val="005B17C1"/>
    <w:rsid w:val="005B17DB"/>
    <w:rsid w:val="005B1870"/>
    <w:rsid w:val="005B18A1"/>
    <w:rsid w:val="005B1E40"/>
    <w:rsid w:val="005B1EAE"/>
    <w:rsid w:val="005B1F44"/>
    <w:rsid w:val="005B1F5D"/>
    <w:rsid w:val="005B1FE8"/>
    <w:rsid w:val="005B2337"/>
    <w:rsid w:val="005B267D"/>
    <w:rsid w:val="005B2723"/>
    <w:rsid w:val="005B299A"/>
    <w:rsid w:val="005B2A93"/>
    <w:rsid w:val="005B2CC1"/>
    <w:rsid w:val="005B2D23"/>
    <w:rsid w:val="005B2FAD"/>
    <w:rsid w:val="005B3080"/>
    <w:rsid w:val="005B327D"/>
    <w:rsid w:val="005B32D9"/>
    <w:rsid w:val="005B3410"/>
    <w:rsid w:val="005B347F"/>
    <w:rsid w:val="005B3494"/>
    <w:rsid w:val="005B394E"/>
    <w:rsid w:val="005B39C2"/>
    <w:rsid w:val="005B39D8"/>
    <w:rsid w:val="005B3CBD"/>
    <w:rsid w:val="005B3F9E"/>
    <w:rsid w:val="005B405A"/>
    <w:rsid w:val="005B406D"/>
    <w:rsid w:val="005B4BF0"/>
    <w:rsid w:val="005B4C20"/>
    <w:rsid w:val="005B4CF0"/>
    <w:rsid w:val="005B4FE3"/>
    <w:rsid w:val="005B516E"/>
    <w:rsid w:val="005B530B"/>
    <w:rsid w:val="005B5376"/>
    <w:rsid w:val="005B5888"/>
    <w:rsid w:val="005B5900"/>
    <w:rsid w:val="005B5CD7"/>
    <w:rsid w:val="005B603F"/>
    <w:rsid w:val="005B629C"/>
    <w:rsid w:val="005B6BE7"/>
    <w:rsid w:val="005B6C63"/>
    <w:rsid w:val="005B6E02"/>
    <w:rsid w:val="005B7168"/>
    <w:rsid w:val="005B7351"/>
    <w:rsid w:val="005B765F"/>
    <w:rsid w:val="005B788B"/>
    <w:rsid w:val="005B7953"/>
    <w:rsid w:val="005B7A96"/>
    <w:rsid w:val="005B7B39"/>
    <w:rsid w:val="005B7BB9"/>
    <w:rsid w:val="005B7C9C"/>
    <w:rsid w:val="005B7D4D"/>
    <w:rsid w:val="005B7E8C"/>
    <w:rsid w:val="005C0153"/>
    <w:rsid w:val="005C0370"/>
    <w:rsid w:val="005C04CE"/>
    <w:rsid w:val="005C059C"/>
    <w:rsid w:val="005C0796"/>
    <w:rsid w:val="005C07EC"/>
    <w:rsid w:val="005C0910"/>
    <w:rsid w:val="005C0A60"/>
    <w:rsid w:val="005C0AD1"/>
    <w:rsid w:val="005C0B2D"/>
    <w:rsid w:val="005C0B5F"/>
    <w:rsid w:val="005C0C49"/>
    <w:rsid w:val="005C0C86"/>
    <w:rsid w:val="005C0D36"/>
    <w:rsid w:val="005C0DC8"/>
    <w:rsid w:val="005C10A5"/>
    <w:rsid w:val="005C1348"/>
    <w:rsid w:val="005C15C7"/>
    <w:rsid w:val="005C1843"/>
    <w:rsid w:val="005C1A3C"/>
    <w:rsid w:val="005C2081"/>
    <w:rsid w:val="005C22D2"/>
    <w:rsid w:val="005C26F2"/>
    <w:rsid w:val="005C2762"/>
    <w:rsid w:val="005C2A9F"/>
    <w:rsid w:val="005C2D99"/>
    <w:rsid w:val="005C2E51"/>
    <w:rsid w:val="005C2EC7"/>
    <w:rsid w:val="005C2FD0"/>
    <w:rsid w:val="005C3457"/>
    <w:rsid w:val="005C34D6"/>
    <w:rsid w:val="005C358B"/>
    <w:rsid w:val="005C38B8"/>
    <w:rsid w:val="005C39E4"/>
    <w:rsid w:val="005C3B10"/>
    <w:rsid w:val="005C3FE3"/>
    <w:rsid w:val="005C3FE6"/>
    <w:rsid w:val="005C4023"/>
    <w:rsid w:val="005C406A"/>
    <w:rsid w:val="005C4103"/>
    <w:rsid w:val="005C4380"/>
    <w:rsid w:val="005C45CE"/>
    <w:rsid w:val="005C45D6"/>
    <w:rsid w:val="005C4691"/>
    <w:rsid w:val="005C47EE"/>
    <w:rsid w:val="005C4A34"/>
    <w:rsid w:val="005C4BF8"/>
    <w:rsid w:val="005C4C69"/>
    <w:rsid w:val="005C4CF7"/>
    <w:rsid w:val="005C4DB8"/>
    <w:rsid w:val="005C4EBF"/>
    <w:rsid w:val="005C4EE4"/>
    <w:rsid w:val="005C5004"/>
    <w:rsid w:val="005C5160"/>
    <w:rsid w:val="005C53B0"/>
    <w:rsid w:val="005C53FD"/>
    <w:rsid w:val="005C53FE"/>
    <w:rsid w:val="005C5581"/>
    <w:rsid w:val="005C584F"/>
    <w:rsid w:val="005C59F2"/>
    <w:rsid w:val="005C5A96"/>
    <w:rsid w:val="005C5B1A"/>
    <w:rsid w:val="005C5E35"/>
    <w:rsid w:val="005C5FDF"/>
    <w:rsid w:val="005C60E2"/>
    <w:rsid w:val="005C60EF"/>
    <w:rsid w:val="005C6511"/>
    <w:rsid w:val="005C68DB"/>
    <w:rsid w:val="005C6AAD"/>
    <w:rsid w:val="005C6FF9"/>
    <w:rsid w:val="005C7011"/>
    <w:rsid w:val="005C7037"/>
    <w:rsid w:val="005C703C"/>
    <w:rsid w:val="005C729F"/>
    <w:rsid w:val="005C72AC"/>
    <w:rsid w:val="005C734F"/>
    <w:rsid w:val="005C7467"/>
    <w:rsid w:val="005C7599"/>
    <w:rsid w:val="005C75C2"/>
    <w:rsid w:val="005C75F8"/>
    <w:rsid w:val="005C773D"/>
    <w:rsid w:val="005C778E"/>
    <w:rsid w:val="005C7A7B"/>
    <w:rsid w:val="005D00B0"/>
    <w:rsid w:val="005D0365"/>
    <w:rsid w:val="005D0411"/>
    <w:rsid w:val="005D051B"/>
    <w:rsid w:val="005D0538"/>
    <w:rsid w:val="005D0541"/>
    <w:rsid w:val="005D055B"/>
    <w:rsid w:val="005D0803"/>
    <w:rsid w:val="005D0BD7"/>
    <w:rsid w:val="005D0C65"/>
    <w:rsid w:val="005D0D53"/>
    <w:rsid w:val="005D0E49"/>
    <w:rsid w:val="005D0ECE"/>
    <w:rsid w:val="005D0F3D"/>
    <w:rsid w:val="005D1027"/>
    <w:rsid w:val="005D1037"/>
    <w:rsid w:val="005D10E6"/>
    <w:rsid w:val="005D134B"/>
    <w:rsid w:val="005D1356"/>
    <w:rsid w:val="005D14BE"/>
    <w:rsid w:val="005D15C3"/>
    <w:rsid w:val="005D1939"/>
    <w:rsid w:val="005D19EE"/>
    <w:rsid w:val="005D21A8"/>
    <w:rsid w:val="005D2282"/>
    <w:rsid w:val="005D2687"/>
    <w:rsid w:val="005D2702"/>
    <w:rsid w:val="005D2799"/>
    <w:rsid w:val="005D282C"/>
    <w:rsid w:val="005D32B1"/>
    <w:rsid w:val="005D32FA"/>
    <w:rsid w:val="005D332D"/>
    <w:rsid w:val="005D3465"/>
    <w:rsid w:val="005D34E6"/>
    <w:rsid w:val="005D389E"/>
    <w:rsid w:val="005D3B0B"/>
    <w:rsid w:val="005D3D4B"/>
    <w:rsid w:val="005D3DE7"/>
    <w:rsid w:val="005D3E49"/>
    <w:rsid w:val="005D40A9"/>
    <w:rsid w:val="005D41BD"/>
    <w:rsid w:val="005D424F"/>
    <w:rsid w:val="005D4493"/>
    <w:rsid w:val="005D4507"/>
    <w:rsid w:val="005D4984"/>
    <w:rsid w:val="005D49B9"/>
    <w:rsid w:val="005D4ADB"/>
    <w:rsid w:val="005D4C91"/>
    <w:rsid w:val="005D4CB1"/>
    <w:rsid w:val="005D4D83"/>
    <w:rsid w:val="005D4F8F"/>
    <w:rsid w:val="005D527A"/>
    <w:rsid w:val="005D5287"/>
    <w:rsid w:val="005D53EC"/>
    <w:rsid w:val="005D53F6"/>
    <w:rsid w:val="005D54B3"/>
    <w:rsid w:val="005D54D1"/>
    <w:rsid w:val="005D54F8"/>
    <w:rsid w:val="005D55B4"/>
    <w:rsid w:val="005D56D5"/>
    <w:rsid w:val="005D578E"/>
    <w:rsid w:val="005D5862"/>
    <w:rsid w:val="005D5927"/>
    <w:rsid w:val="005D5BD9"/>
    <w:rsid w:val="005D5C6E"/>
    <w:rsid w:val="005D5CC1"/>
    <w:rsid w:val="005D5CC9"/>
    <w:rsid w:val="005D5CE0"/>
    <w:rsid w:val="005D60B5"/>
    <w:rsid w:val="005D625E"/>
    <w:rsid w:val="005D63C0"/>
    <w:rsid w:val="005D68AA"/>
    <w:rsid w:val="005D6B22"/>
    <w:rsid w:val="005D6BD0"/>
    <w:rsid w:val="005D6C75"/>
    <w:rsid w:val="005D71AC"/>
    <w:rsid w:val="005D724D"/>
    <w:rsid w:val="005D7305"/>
    <w:rsid w:val="005D778F"/>
    <w:rsid w:val="005D78A5"/>
    <w:rsid w:val="005E0212"/>
    <w:rsid w:val="005E0625"/>
    <w:rsid w:val="005E06AD"/>
    <w:rsid w:val="005E075B"/>
    <w:rsid w:val="005E077B"/>
    <w:rsid w:val="005E07DC"/>
    <w:rsid w:val="005E0867"/>
    <w:rsid w:val="005E0886"/>
    <w:rsid w:val="005E0A00"/>
    <w:rsid w:val="005E0B51"/>
    <w:rsid w:val="005E0D60"/>
    <w:rsid w:val="005E0E5B"/>
    <w:rsid w:val="005E1206"/>
    <w:rsid w:val="005E1812"/>
    <w:rsid w:val="005E1BBF"/>
    <w:rsid w:val="005E1FE6"/>
    <w:rsid w:val="005E209A"/>
    <w:rsid w:val="005E2336"/>
    <w:rsid w:val="005E23A6"/>
    <w:rsid w:val="005E23C1"/>
    <w:rsid w:val="005E2504"/>
    <w:rsid w:val="005E25FA"/>
    <w:rsid w:val="005E28ED"/>
    <w:rsid w:val="005E2AEB"/>
    <w:rsid w:val="005E2B16"/>
    <w:rsid w:val="005E2B5C"/>
    <w:rsid w:val="005E2B95"/>
    <w:rsid w:val="005E3054"/>
    <w:rsid w:val="005E30B3"/>
    <w:rsid w:val="005E37EC"/>
    <w:rsid w:val="005E3C99"/>
    <w:rsid w:val="005E3E7D"/>
    <w:rsid w:val="005E4EF2"/>
    <w:rsid w:val="005E4FC7"/>
    <w:rsid w:val="005E516F"/>
    <w:rsid w:val="005E5230"/>
    <w:rsid w:val="005E5244"/>
    <w:rsid w:val="005E5297"/>
    <w:rsid w:val="005E5434"/>
    <w:rsid w:val="005E546C"/>
    <w:rsid w:val="005E5604"/>
    <w:rsid w:val="005E5931"/>
    <w:rsid w:val="005E5937"/>
    <w:rsid w:val="005E5A9E"/>
    <w:rsid w:val="005E5B7B"/>
    <w:rsid w:val="005E5C55"/>
    <w:rsid w:val="005E5D7D"/>
    <w:rsid w:val="005E60A4"/>
    <w:rsid w:val="005E6383"/>
    <w:rsid w:val="005E64EC"/>
    <w:rsid w:val="005E6561"/>
    <w:rsid w:val="005E65B3"/>
    <w:rsid w:val="005E6AA4"/>
    <w:rsid w:val="005E6C39"/>
    <w:rsid w:val="005E6C63"/>
    <w:rsid w:val="005E6D4A"/>
    <w:rsid w:val="005E6DB3"/>
    <w:rsid w:val="005E6F53"/>
    <w:rsid w:val="005E6F75"/>
    <w:rsid w:val="005E7018"/>
    <w:rsid w:val="005E7186"/>
    <w:rsid w:val="005E7235"/>
    <w:rsid w:val="005E72E2"/>
    <w:rsid w:val="005E7330"/>
    <w:rsid w:val="005E746C"/>
    <w:rsid w:val="005E7907"/>
    <w:rsid w:val="005E7AA0"/>
    <w:rsid w:val="005E7B3E"/>
    <w:rsid w:val="005F0006"/>
    <w:rsid w:val="005F0048"/>
    <w:rsid w:val="005F01E6"/>
    <w:rsid w:val="005F02DC"/>
    <w:rsid w:val="005F06C9"/>
    <w:rsid w:val="005F0713"/>
    <w:rsid w:val="005F0751"/>
    <w:rsid w:val="005F09E6"/>
    <w:rsid w:val="005F09FC"/>
    <w:rsid w:val="005F0AD1"/>
    <w:rsid w:val="005F0AEB"/>
    <w:rsid w:val="005F0BEE"/>
    <w:rsid w:val="005F0C0A"/>
    <w:rsid w:val="005F0DE6"/>
    <w:rsid w:val="005F1170"/>
    <w:rsid w:val="005F134B"/>
    <w:rsid w:val="005F14D1"/>
    <w:rsid w:val="005F169A"/>
    <w:rsid w:val="005F1A3A"/>
    <w:rsid w:val="005F1C47"/>
    <w:rsid w:val="005F1F0B"/>
    <w:rsid w:val="005F20E1"/>
    <w:rsid w:val="005F2172"/>
    <w:rsid w:val="005F239E"/>
    <w:rsid w:val="005F2412"/>
    <w:rsid w:val="005F25BE"/>
    <w:rsid w:val="005F2634"/>
    <w:rsid w:val="005F2698"/>
    <w:rsid w:val="005F269F"/>
    <w:rsid w:val="005F2791"/>
    <w:rsid w:val="005F279B"/>
    <w:rsid w:val="005F2827"/>
    <w:rsid w:val="005F2986"/>
    <w:rsid w:val="005F29C7"/>
    <w:rsid w:val="005F2BA0"/>
    <w:rsid w:val="005F2BE7"/>
    <w:rsid w:val="005F2D87"/>
    <w:rsid w:val="005F2E08"/>
    <w:rsid w:val="005F3162"/>
    <w:rsid w:val="005F3558"/>
    <w:rsid w:val="005F37E1"/>
    <w:rsid w:val="005F38EA"/>
    <w:rsid w:val="005F3916"/>
    <w:rsid w:val="005F39CF"/>
    <w:rsid w:val="005F39DB"/>
    <w:rsid w:val="005F3A6F"/>
    <w:rsid w:val="005F3B9B"/>
    <w:rsid w:val="005F3BB2"/>
    <w:rsid w:val="005F3C94"/>
    <w:rsid w:val="005F3CA0"/>
    <w:rsid w:val="005F3CAA"/>
    <w:rsid w:val="005F3CDC"/>
    <w:rsid w:val="005F3F39"/>
    <w:rsid w:val="005F4110"/>
    <w:rsid w:val="005F41E4"/>
    <w:rsid w:val="005F45F5"/>
    <w:rsid w:val="005F49D4"/>
    <w:rsid w:val="005F4B39"/>
    <w:rsid w:val="005F4C22"/>
    <w:rsid w:val="005F4CDA"/>
    <w:rsid w:val="005F4D57"/>
    <w:rsid w:val="005F4E62"/>
    <w:rsid w:val="005F4F12"/>
    <w:rsid w:val="005F4FD9"/>
    <w:rsid w:val="005F52B6"/>
    <w:rsid w:val="005F5702"/>
    <w:rsid w:val="005F5C20"/>
    <w:rsid w:val="005F5E38"/>
    <w:rsid w:val="005F6009"/>
    <w:rsid w:val="005F6201"/>
    <w:rsid w:val="005F628D"/>
    <w:rsid w:val="005F66EC"/>
    <w:rsid w:val="005F6808"/>
    <w:rsid w:val="005F691A"/>
    <w:rsid w:val="005F6B04"/>
    <w:rsid w:val="005F6B69"/>
    <w:rsid w:val="005F6D07"/>
    <w:rsid w:val="005F702F"/>
    <w:rsid w:val="005F7034"/>
    <w:rsid w:val="005F7176"/>
    <w:rsid w:val="005F7734"/>
    <w:rsid w:val="005F7740"/>
    <w:rsid w:val="005F7810"/>
    <w:rsid w:val="005F7961"/>
    <w:rsid w:val="005F79D4"/>
    <w:rsid w:val="005F7BCC"/>
    <w:rsid w:val="005F7CF4"/>
    <w:rsid w:val="005F7DC2"/>
    <w:rsid w:val="005F7E0F"/>
    <w:rsid w:val="005F7ECC"/>
    <w:rsid w:val="005F7F79"/>
    <w:rsid w:val="00600045"/>
    <w:rsid w:val="006000D0"/>
    <w:rsid w:val="00600253"/>
    <w:rsid w:val="0060027C"/>
    <w:rsid w:val="00600315"/>
    <w:rsid w:val="00600410"/>
    <w:rsid w:val="00600699"/>
    <w:rsid w:val="00600830"/>
    <w:rsid w:val="00600873"/>
    <w:rsid w:val="00600C4B"/>
    <w:rsid w:val="00600CFA"/>
    <w:rsid w:val="00600DBD"/>
    <w:rsid w:val="00600E98"/>
    <w:rsid w:val="00600EBB"/>
    <w:rsid w:val="00600F02"/>
    <w:rsid w:val="00601159"/>
    <w:rsid w:val="006014AD"/>
    <w:rsid w:val="0060158B"/>
    <w:rsid w:val="00601775"/>
    <w:rsid w:val="00601924"/>
    <w:rsid w:val="00601E72"/>
    <w:rsid w:val="00601EBF"/>
    <w:rsid w:val="006021E0"/>
    <w:rsid w:val="00602652"/>
    <w:rsid w:val="0060287E"/>
    <w:rsid w:val="00602DE4"/>
    <w:rsid w:val="006031D1"/>
    <w:rsid w:val="006039FD"/>
    <w:rsid w:val="00604015"/>
    <w:rsid w:val="006041B5"/>
    <w:rsid w:val="0060429E"/>
    <w:rsid w:val="00604309"/>
    <w:rsid w:val="0060441F"/>
    <w:rsid w:val="006044D2"/>
    <w:rsid w:val="006044D9"/>
    <w:rsid w:val="00604687"/>
    <w:rsid w:val="006048D2"/>
    <w:rsid w:val="0060490F"/>
    <w:rsid w:val="00604961"/>
    <w:rsid w:val="00604FD9"/>
    <w:rsid w:val="006050C1"/>
    <w:rsid w:val="006051D3"/>
    <w:rsid w:val="00605269"/>
    <w:rsid w:val="006052D3"/>
    <w:rsid w:val="0060536B"/>
    <w:rsid w:val="0060565E"/>
    <w:rsid w:val="00605670"/>
    <w:rsid w:val="00605780"/>
    <w:rsid w:val="006057E5"/>
    <w:rsid w:val="00605868"/>
    <w:rsid w:val="00605916"/>
    <w:rsid w:val="0060597E"/>
    <w:rsid w:val="00605D7B"/>
    <w:rsid w:val="00605DDB"/>
    <w:rsid w:val="00606253"/>
    <w:rsid w:val="006062B4"/>
    <w:rsid w:val="006063EA"/>
    <w:rsid w:val="006068E5"/>
    <w:rsid w:val="00606A87"/>
    <w:rsid w:val="00606CB7"/>
    <w:rsid w:val="00606D9F"/>
    <w:rsid w:val="00606E53"/>
    <w:rsid w:val="00606F08"/>
    <w:rsid w:val="00606F4F"/>
    <w:rsid w:val="00606FF8"/>
    <w:rsid w:val="0060729F"/>
    <w:rsid w:val="0060742D"/>
    <w:rsid w:val="0060761D"/>
    <w:rsid w:val="00607679"/>
    <w:rsid w:val="00607B4D"/>
    <w:rsid w:val="00607B83"/>
    <w:rsid w:val="00607CF5"/>
    <w:rsid w:val="00607D99"/>
    <w:rsid w:val="00607F8D"/>
    <w:rsid w:val="00610172"/>
    <w:rsid w:val="006102FD"/>
    <w:rsid w:val="00610485"/>
    <w:rsid w:val="006104EE"/>
    <w:rsid w:val="00610723"/>
    <w:rsid w:val="006107CD"/>
    <w:rsid w:val="00610ACB"/>
    <w:rsid w:val="00610DDD"/>
    <w:rsid w:val="00610EDA"/>
    <w:rsid w:val="006115B4"/>
    <w:rsid w:val="006117DC"/>
    <w:rsid w:val="0061185C"/>
    <w:rsid w:val="006119F1"/>
    <w:rsid w:val="00611B73"/>
    <w:rsid w:val="00611B97"/>
    <w:rsid w:val="00611CD2"/>
    <w:rsid w:val="006121DB"/>
    <w:rsid w:val="00612214"/>
    <w:rsid w:val="00612350"/>
    <w:rsid w:val="00612467"/>
    <w:rsid w:val="00612512"/>
    <w:rsid w:val="006126F6"/>
    <w:rsid w:val="00612891"/>
    <w:rsid w:val="006129EF"/>
    <w:rsid w:val="00612AE2"/>
    <w:rsid w:val="00612D1F"/>
    <w:rsid w:val="00612DB9"/>
    <w:rsid w:val="00612EA5"/>
    <w:rsid w:val="00612F9B"/>
    <w:rsid w:val="00613047"/>
    <w:rsid w:val="00613055"/>
    <w:rsid w:val="0061315A"/>
    <w:rsid w:val="006134EA"/>
    <w:rsid w:val="006134FF"/>
    <w:rsid w:val="00613667"/>
    <w:rsid w:val="00613ADE"/>
    <w:rsid w:val="00613C4D"/>
    <w:rsid w:val="00613EE6"/>
    <w:rsid w:val="00613F9A"/>
    <w:rsid w:val="00614374"/>
    <w:rsid w:val="0061441D"/>
    <w:rsid w:val="00614457"/>
    <w:rsid w:val="006147FF"/>
    <w:rsid w:val="00614874"/>
    <w:rsid w:val="006148C0"/>
    <w:rsid w:val="0061498C"/>
    <w:rsid w:val="00614CDC"/>
    <w:rsid w:val="00614D99"/>
    <w:rsid w:val="00614E21"/>
    <w:rsid w:val="00614E5A"/>
    <w:rsid w:val="00614E70"/>
    <w:rsid w:val="00614F32"/>
    <w:rsid w:val="00615058"/>
    <w:rsid w:val="006150CF"/>
    <w:rsid w:val="006152A6"/>
    <w:rsid w:val="006153BA"/>
    <w:rsid w:val="00615938"/>
    <w:rsid w:val="00615A2C"/>
    <w:rsid w:val="00615C83"/>
    <w:rsid w:val="00615D0F"/>
    <w:rsid w:val="00615E34"/>
    <w:rsid w:val="00615FF1"/>
    <w:rsid w:val="006162C6"/>
    <w:rsid w:val="00616477"/>
    <w:rsid w:val="0061664C"/>
    <w:rsid w:val="00616B28"/>
    <w:rsid w:val="00616D1A"/>
    <w:rsid w:val="00616F18"/>
    <w:rsid w:val="00616F65"/>
    <w:rsid w:val="00617063"/>
    <w:rsid w:val="0061710E"/>
    <w:rsid w:val="006172C5"/>
    <w:rsid w:val="00617567"/>
    <w:rsid w:val="00617B2A"/>
    <w:rsid w:val="00617C09"/>
    <w:rsid w:val="00620274"/>
    <w:rsid w:val="00620279"/>
    <w:rsid w:val="0062045C"/>
    <w:rsid w:val="0062048E"/>
    <w:rsid w:val="00620550"/>
    <w:rsid w:val="006206C7"/>
    <w:rsid w:val="006206D5"/>
    <w:rsid w:val="006206E9"/>
    <w:rsid w:val="0062096E"/>
    <w:rsid w:val="00620AB1"/>
    <w:rsid w:val="00620AE7"/>
    <w:rsid w:val="00620BA2"/>
    <w:rsid w:val="00620BC0"/>
    <w:rsid w:val="00621227"/>
    <w:rsid w:val="006213AD"/>
    <w:rsid w:val="0062141B"/>
    <w:rsid w:val="00621463"/>
    <w:rsid w:val="006217F7"/>
    <w:rsid w:val="0062190C"/>
    <w:rsid w:val="00621D98"/>
    <w:rsid w:val="00622011"/>
    <w:rsid w:val="006221DA"/>
    <w:rsid w:val="00622C6B"/>
    <w:rsid w:val="00622D9E"/>
    <w:rsid w:val="0062301D"/>
    <w:rsid w:val="006230C9"/>
    <w:rsid w:val="00623502"/>
    <w:rsid w:val="00623627"/>
    <w:rsid w:val="0062369B"/>
    <w:rsid w:val="00623952"/>
    <w:rsid w:val="00623A91"/>
    <w:rsid w:val="00623C35"/>
    <w:rsid w:val="00623CBD"/>
    <w:rsid w:val="00623E9A"/>
    <w:rsid w:val="00623F9E"/>
    <w:rsid w:val="00624416"/>
    <w:rsid w:val="006245B4"/>
    <w:rsid w:val="006246BD"/>
    <w:rsid w:val="006247C2"/>
    <w:rsid w:val="006247E0"/>
    <w:rsid w:val="006248C4"/>
    <w:rsid w:val="00624A52"/>
    <w:rsid w:val="00624DD2"/>
    <w:rsid w:val="00624F13"/>
    <w:rsid w:val="00625051"/>
    <w:rsid w:val="006250BC"/>
    <w:rsid w:val="006250BD"/>
    <w:rsid w:val="00625298"/>
    <w:rsid w:val="0062565F"/>
    <w:rsid w:val="006257E3"/>
    <w:rsid w:val="00625873"/>
    <w:rsid w:val="00625955"/>
    <w:rsid w:val="00625978"/>
    <w:rsid w:val="00625985"/>
    <w:rsid w:val="00625DD1"/>
    <w:rsid w:val="00625E0D"/>
    <w:rsid w:val="00625FB8"/>
    <w:rsid w:val="00625FC2"/>
    <w:rsid w:val="0062630B"/>
    <w:rsid w:val="0062641F"/>
    <w:rsid w:val="00626465"/>
    <w:rsid w:val="00626672"/>
    <w:rsid w:val="00626B3B"/>
    <w:rsid w:val="00626B9F"/>
    <w:rsid w:val="00626DF6"/>
    <w:rsid w:val="00626F2B"/>
    <w:rsid w:val="0062707A"/>
    <w:rsid w:val="006271B6"/>
    <w:rsid w:val="00627593"/>
    <w:rsid w:val="0062760A"/>
    <w:rsid w:val="006276A7"/>
    <w:rsid w:val="00627718"/>
    <w:rsid w:val="006277AF"/>
    <w:rsid w:val="0062792A"/>
    <w:rsid w:val="00627A8A"/>
    <w:rsid w:val="00627AA0"/>
    <w:rsid w:val="00627B7C"/>
    <w:rsid w:val="00627CBF"/>
    <w:rsid w:val="00627EB2"/>
    <w:rsid w:val="006302B4"/>
    <w:rsid w:val="00630630"/>
    <w:rsid w:val="006307B5"/>
    <w:rsid w:val="00630840"/>
    <w:rsid w:val="00630B02"/>
    <w:rsid w:val="00630E8D"/>
    <w:rsid w:val="00630FB8"/>
    <w:rsid w:val="00631251"/>
    <w:rsid w:val="006312ED"/>
    <w:rsid w:val="00631423"/>
    <w:rsid w:val="006314FB"/>
    <w:rsid w:val="006316BC"/>
    <w:rsid w:val="00631722"/>
    <w:rsid w:val="0063180F"/>
    <w:rsid w:val="00631B58"/>
    <w:rsid w:val="00631F3F"/>
    <w:rsid w:val="006320A2"/>
    <w:rsid w:val="006323FC"/>
    <w:rsid w:val="0063242C"/>
    <w:rsid w:val="00632710"/>
    <w:rsid w:val="0063273D"/>
    <w:rsid w:val="0063293D"/>
    <w:rsid w:val="00632CFB"/>
    <w:rsid w:val="00632DFB"/>
    <w:rsid w:val="006332F5"/>
    <w:rsid w:val="006335AD"/>
    <w:rsid w:val="006336A1"/>
    <w:rsid w:val="00633935"/>
    <w:rsid w:val="00633AF5"/>
    <w:rsid w:val="00633CB9"/>
    <w:rsid w:val="00633D58"/>
    <w:rsid w:val="00634054"/>
    <w:rsid w:val="0063407D"/>
    <w:rsid w:val="006340B3"/>
    <w:rsid w:val="006341AB"/>
    <w:rsid w:val="0063426C"/>
    <w:rsid w:val="006343CF"/>
    <w:rsid w:val="006344A0"/>
    <w:rsid w:val="006344B8"/>
    <w:rsid w:val="006346C7"/>
    <w:rsid w:val="00634897"/>
    <w:rsid w:val="00634C00"/>
    <w:rsid w:val="00634DC1"/>
    <w:rsid w:val="00634FA7"/>
    <w:rsid w:val="00634FA8"/>
    <w:rsid w:val="00634FF1"/>
    <w:rsid w:val="00635049"/>
    <w:rsid w:val="006353B6"/>
    <w:rsid w:val="00635EDD"/>
    <w:rsid w:val="00636161"/>
    <w:rsid w:val="006367FE"/>
    <w:rsid w:val="0063696F"/>
    <w:rsid w:val="00636AF3"/>
    <w:rsid w:val="00636B8B"/>
    <w:rsid w:val="00636BC7"/>
    <w:rsid w:val="00636C1C"/>
    <w:rsid w:val="00636C9E"/>
    <w:rsid w:val="00636EAF"/>
    <w:rsid w:val="0063733E"/>
    <w:rsid w:val="006373AD"/>
    <w:rsid w:val="0063741D"/>
    <w:rsid w:val="0063751A"/>
    <w:rsid w:val="0063758D"/>
    <w:rsid w:val="0063764C"/>
    <w:rsid w:val="006376CA"/>
    <w:rsid w:val="006377F2"/>
    <w:rsid w:val="00637870"/>
    <w:rsid w:val="00637888"/>
    <w:rsid w:val="006378D7"/>
    <w:rsid w:val="0063791A"/>
    <w:rsid w:val="006379E2"/>
    <w:rsid w:val="00637AD9"/>
    <w:rsid w:val="00637B12"/>
    <w:rsid w:val="00637B26"/>
    <w:rsid w:val="00637D95"/>
    <w:rsid w:val="00637DAD"/>
    <w:rsid w:val="00637FCE"/>
    <w:rsid w:val="00640178"/>
    <w:rsid w:val="00640230"/>
    <w:rsid w:val="006402C7"/>
    <w:rsid w:val="00640311"/>
    <w:rsid w:val="0064044E"/>
    <w:rsid w:val="006404F5"/>
    <w:rsid w:val="0064054D"/>
    <w:rsid w:val="006405B2"/>
    <w:rsid w:val="00640697"/>
    <w:rsid w:val="00640830"/>
    <w:rsid w:val="00640E9B"/>
    <w:rsid w:val="00640F0B"/>
    <w:rsid w:val="00640F66"/>
    <w:rsid w:val="006411D5"/>
    <w:rsid w:val="00641331"/>
    <w:rsid w:val="0064133A"/>
    <w:rsid w:val="00641442"/>
    <w:rsid w:val="006414FA"/>
    <w:rsid w:val="00641655"/>
    <w:rsid w:val="00641701"/>
    <w:rsid w:val="0064183A"/>
    <w:rsid w:val="006419C3"/>
    <w:rsid w:val="00641D62"/>
    <w:rsid w:val="00642011"/>
    <w:rsid w:val="0064226E"/>
    <w:rsid w:val="00642304"/>
    <w:rsid w:val="006423D2"/>
    <w:rsid w:val="00642818"/>
    <w:rsid w:val="00642893"/>
    <w:rsid w:val="006428A2"/>
    <w:rsid w:val="006428AD"/>
    <w:rsid w:val="0064293C"/>
    <w:rsid w:val="00642ABB"/>
    <w:rsid w:val="00642BD3"/>
    <w:rsid w:val="00643134"/>
    <w:rsid w:val="0064335C"/>
    <w:rsid w:val="00643671"/>
    <w:rsid w:val="006437E5"/>
    <w:rsid w:val="00643814"/>
    <w:rsid w:val="00643D54"/>
    <w:rsid w:val="006443D3"/>
    <w:rsid w:val="006447C2"/>
    <w:rsid w:val="00644AB9"/>
    <w:rsid w:val="00644BD5"/>
    <w:rsid w:val="00644E51"/>
    <w:rsid w:val="00644E8E"/>
    <w:rsid w:val="0064522C"/>
    <w:rsid w:val="006454D4"/>
    <w:rsid w:val="00645593"/>
    <w:rsid w:val="00645755"/>
    <w:rsid w:val="0064583C"/>
    <w:rsid w:val="0064591B"/>
    <w:rsid w:val="00645B9D"/>
    <w:rsid w:val="00645D44"/>
    <w:rsid w:val="00645D56"/>
    <w:rsid w:val="00645E08"/>
    <w:rsid w:val="006461AB"/>
    <w:rsid w:val="006462AD"/>
    <w:rsid w:val="006468BA"/>
    <w:rsid w:val="00646980"/>
    <w:rsid w:val="00646A02"/>
    <w:rsid w:val="00646A4C"/>
    <w:rsid w:val="00646DC3"/>
    <w:rsid w:val="00646FE1"/>
    <w:rsid w:val="0064702B"/>
    <w:rsid w:val="0064721A"/>
    <w:rsid w:val="00647451"/>
    <w:rsid w:val="0064759E"/>
    <w:rsid w:val="00647642"/>
    <w:rsid w:val="006478FC"/>
    <w:rsid w:val="00647B6F"/>
    <w:rsid w:val="006503E8"/>
    <w:rsid w:val="00650437"/>
    <w:rsid w:val="00650541"/>
    <w:rsid w:val="006505D0"/>
    <w:rsid w:val="006508FE"/>
    <w:rsid w:val="00650A7A"/>
    <w:rsid w:val="00650D93"/>
    <w:rsid w:val="00650F8B"/>
    <w:rsid w:val="00651268"/>
    <w:rsid w:val="0065130B"/>
    <w:rsid w:val="006513D2"/>
    <w:rsid w:val="00651740"/>
    <w:rsid w:val="0065194F"/>
    <w:rsid w:val="00651A6C"/>
    <w:rsid w:val="00651B62"/>
    <w:rsid w:val="00651D71"/>
    <w:rsid w:val="00651DD3"/>
    <w:rsid w:val="00651EFB"/>
    <w:rsid w:val="00651F9A"/>
    <w:rsid w:val="00651FF2"/>
    <w:rsid w:val="006520C7"/>
    <w:rsid w:val="006525CA"/>
    <w:rsid w:val="0065266C"/>
    <w:rsid w:val="00652801"/>
    <w:rsid w:val="006528B1"/>
    <w:rsid w:val="00652AA7"/>
    <w:rsid w:val="00652AD8"/>
    <w:rsid w:val="00652C38"/>
    <w:rsid w:val="00652CFD"/>
    <w:rsid w:val="00652EC6"/>
    <w:rsid w:val="00652F8F"/>
    <w:rsid w:val="0065323A"/>
    <w:rsid w:val="006533B8"/>
    <w:rsid w:val="0065345E"/>
    <w:rsid w:val="006535EE"/>
    <w:rsid w:val="0065367E"/>
    <w:rsid w:val="006536C8"/>
    <w:rsid w:val="006536EA"/>
    <w:rsid w:val="00653705"/>
    <w:rsid w:val="0065372A"/>
    <w:rsid w:val="00653843"/>
    <w:rsid w:val="00653CF7"/>
    <w:rsid w:val="00653E05"/>
    <w:rsid w:val="0065405D"/>
    <w:rsid w:val="0065413B"/>
    <w:rsid w:val="00654157"/>
    <w:rsid w:val="00654214"/>
    <w:rsid w:val="00654224"/>
    <w:rsid w:val="0065425C"/>
    <w:rsid w:val="006542C1"/>
    <w:rsid w:val="00654503"/>
    <w:rsid w:val="006546C6"/>
    <w:rsid w:val="006546D3"/>
    <w:rsid w:val="00654980"/>
    <w:rsid w:val="00654983"/>
    <w:rsid w:val="00654CD3"/>
    <w:rsid w:val="00654DA3"/>
    <w:rsid w:val="00654F3D"/>
    <w:rsid w:val="00655092"/>
    <w:rsid w:val="0065520A"/>
    <w:rsid w:val="00655305"/>
    <w:rsid w:val="0065562A"/>
    <w:rsid w:val="006556A0"/>
    <w:rsid w:val="0065577A"/>
    <w:rsid w:val="00655797"/>
    <w:rsid w:val="0065584D"/>
    <w:rsid w:val="006558E5"/>
    <w:rsid w:val="00655A2D"/>
    <w:rsid w:val="00655B62"/>
    <w:rsid w:val="00655F00"/>
    <w:rsid w:val="006563FA"/>
    <w:rsid w:val="006565B2"/>
    <w:rsid w:val="00656663"/>
    <w:rsid w:val="006569F9"/>
    <w:rsid w:val="00656C9F"/>
    <w:rsid w:val="00656E5B"/>
    <w:rsid w:val="00656EA8"/>
    <w:rsid w:val="00656F10"/>
    <w:rsid w:val="00656FC4"/>
    <w:rsid w:val="006570D1"/>
    <w:rsid w:val="006570F5"/>
    <w:rsid w:val="00657109"/>
    <w:rsid w:val="0065713E"/>
    <w:rsid w:val="0065726B"/>
    <w:rsid w:val="006572A3"/>
    <w:rsid w:val="0065752F"/>
    <w:rsid w:val="006575DD"/>
    <w:rsid w:val="006576B4"/>
    <w:rsid w:val="0065773C"/>
    <w:rsid w:val="0065778C"/>
    <w:rsid w:val="006577B5"/>
    <w:rsid w:val="00657843"/>
    <w:rsid w:val="00657B07"/>
    <w:rsid w:val="00657B71"/>
    <w:rsid w:val="00657BE9"/>
    <w:rsid w:val="00657DF7"/>
    <w:rsid w:val="00657E25"/>
    <w:rsid w:val="00660042"/>
    <w:rsid w:val="006600D1"/>
    <w:rsid w:val="00660293"/>
    <w:rsid w:val="006603E0"/>
    <w:rsid w:val="00660529"/>
    <w:rsid w:val="00660634"/>
    <w:rsid w:val="006606F4"/>
    <w:rsid w:val="0066077E"/>
    <w:rsid w:val="00660794"/>
    <w:rsid w:val="00660948"/>
    <w:rsid w:val="00660B77"/>
    <w:rsid w:val="00660F38"/>
    <w:rsid w:val="006611ED"/>
    <w:rsid w:val="006613E7"/>
    <w:rsid w:val="006614DE"/>
    <w:rsid w:val="00661641"/>
    <w:rsid w:val="00661847"/>
    <w:rsid w:val="00661864"/>
    <w:rsid w:val="00661917"/>
    <w:rsid w:val="00661D45"/>
    <w:rsid w:val="00661D8B"/>
    <w:rsid w:val="00661DC2"/>
    <w:rsid w:val="00662027"/>
    <w:rsid w:val="006621A8"/>
    <w:rsid w:val="006621B9"/>
    <w:rsid w:val="006622FC"/>
    <w:rsid w:val="00662743"/>
    <w:rsid w:val="00662821"/>
    <w:rsid w:val="00662C03"/>
    <w:rsid w:val="00662CDF"/>
    <w:rsid w:val="00662D00"/>
    <w:rsid w:val="00662D4D"/>
    <w:rsid w:val="0066301C"/>
    <w:rsid w:val="00663070"/>
    <w:rsid w:val="00663431"/>
    <w:rsid w:val="00663C08"/>
    <w:rsid w:val="00663E2A"/>
    <w:rsid w:val="00663EA1"/>
    <w:rsid w:val="00664240"/>
    <w:rsid w:val="00664250"/>
    <w:rsid w:val="00664600"/>
    <w:rsid w:val="00664632"/>
    <w:rsid w:val="00664713"/>
    <w:rsid w:val="006648AD"/>
    <w:rsid w:val="006649BD"/>
    <w:rsid w:val="00664AB9"/>
    <w:rsid w:val="00664C03"/>
    <w:rsid w:val="00664CB8"/>
    <w:rsid w:val="00664F8E"/>
    <w:rsid w:val="0066522D"/>
    <w:rsid w:val="006652F0"/>
    <w:rsid w:val="006653DF"/>
    <w:rsid w:val="0066580E"/>
    <w:rsid w:val="0066584B"/>
    <w:rsid w:val="00665B35"/>
    <w:rsid w:val="00665BA1"/>
    <w:rsid w:val="00665BD2"/>
    <w:rsid w:val="00665C2E"/>
    <w:rsid w:val="00665D65"/>
    <w:rsid w:val="00665D89"/>
    <w:rsid w:val="00665EBF"/>
    <w:rsid w:val="00665F07"/>
    <w:rsid w:val="00665FCD"/>
    <w:rsid w:val="00666287"/>
    <w:rsid w:val="0066638F"/>
    <w:rsid w:val="006665A9"/>
    <w:rsid w:val="006668EC"/>
    <w:rsid w:val="00666C7A"/>
    <w:rsid w:val="00667063"/>
    <w:rsid w:val="0066755A"/>
    <w:rsid w:val="006677B2"/>
    <w:rsid w:val="0066789A"/>
    <w:rsid w:val="00667943"/>
    <w:rsid w:val="00667F47"/>
    <w:rsid w:val="0067013A"/>
    <w:rsid w:val="0067038E"/>
    <w:rsid w:val="006705EB"/>
    <w:rsid w:val="0067065B"/>
    <w:rsid w:val="006707E8"/>
    <w:rsid w:val="00670E1E"/>
    <w:rsid w:val="00671221"/>
    <w:rsid w:val="00671999"/>
    <w:rsid w:val="00671A68"/>
    <w:rsid w:val="00671ACD"/>
    <w:rsid w:val="00671BFC"/>
    <w:rsid w:val="00671C35"/>
    <w:rsid w:val="00671D5D"/>
    <w:rsid w:val="00672387"/>
    <w:rsid w:val="00672425"/>
    <w:rsid w:val="00672595"/>
    <w:rsid w:val="006725CB"/>
    <w:rsid w:val="0067264E"/>
    <w:rsid w:val="0067279D"/>
    <w:rsid w:val="006729B7"/>
    <w:rsid w:val="00672C73"/>
    <w:rsid w:val="00672C96"/>
    <w:rsid w:val="00672CA4"/>
    <w:rsid w:val="00672E2E"/>
    <w:rsid w:val="006731A4"/>
    <w:rsid w:val="006731AB"/>
    <w:rsid w:val="006733C8"/>
    <w:rsid w:val="006735FB"/>
    <w:rsid w:val="006736B5"/>
    <w:rsid w:val="00673710"/>
    <w:rsid w:val="0067390C"/>
    <w:rsid w:val="00673ADF"/>
    <w:rsid w:val="00673CC7"/>
    <w:rsid w:val="00673CDA"/>
    <w:rsid w:val="00673DC5"/>
    <w:rsid w:val="00673EE2"/>
    <w:rsid w:val="006746A7"/>
    <w:rsid w:val="006747E6"/>
    <w:rsid w:val="00674E90"/>
    <w:rsid w:val="00675357"/>
    <w:rsid w:val="0067544C"/>
    <w:rsid w:val="006754AB"/>
    <w:rsid w:val="006754E4"/>
    <w:rsid w:val="006757F0"/>
    <w:rsid w:val="00675BCD"/>
    <w:rsid w:val="00675C5A"/>
    <w:rsid w:val="00675CD2"/>
    <w:rsid w:val="00675CF5"/>
    <w:rsid w:val="00675F2D"/>
    <w:rsid w:val="00675F74"/>
    <w:rsid w:val="00676142"/>
    <w:rsid w:val="00676223"/>
    <w:rsid w:val="00676287"/>
    <w:rsid w:val="006762BA"/>
    <w:rsid w:val="006763AA"/>
    <w:rsid w:val="0067654F"/>
    <w:rsid w:val="006767F7"/>
    <w:rsid w:val="00676844"/>
    <w:rsid w:val="006768EA"/>
    <w:rsid w:val="0067696B"/>
    <w:rsid w:val="006769A5"/>
    <w:rsid w:val="006769E9"/>
    <w:rsid w:val="006769FC"/>
    <w:rsid w:val="00676A52"/>
    <w:rsid w:val="00676A9F"/>
    <w:rsid w:val="00676AD6"/>
    <w:rsid w:val="00676B4E"/>
    <w:rsid w:val="00676F78"/>
    <w:rsid w:val="00677426"/>
    <w:rsid w:val="00677629"/>
    <w:rsid w:val="0067788D"/>
    <w:rsid w:val="0067790E"/>
    <w:rsid w:val="00677931"/>
    <w:rsid w:val="00677D66"/>
    <w:rsid w:val="00680344"/>
    <w:rsid w:val="0068040E"/>
    <w:rsid w:val="006807F8"/>
    <w:rsid w:val="00680873"/>
    <w:rsid w:val="006808B3"/>
    <w:rsid w:val="00680ECB"/>
    <w:rsid w:val="00680F32"/>
    <w:rsid w:val="00680F7A"/>
    <w:rsid w:val="00680F9C"/>
    <w:rsid w:val="0068135F"/>
    <w:rsid w:val="006813F6"/>
    <w:rsid w:val="00681570"/>
    <w:rsid w:val="006817A9"/>
    <w:rsid w:val="00681A6F"/>
    <w:rsid w:val="00681BA7"/>
    <w:rsid w:val="00681C47"/>
    <w:rsid w:val="00681CAE"/>
    <w:rsid w:val="00681CCB"/>
    <w:rsid w:val="00681EDD"/>
    <w:rsid w:val="006820CC"/>
    <w:rsid w:val="00682541"/>
    <w:rsid w:val="006829F8"/>
    <w:rsid w:val="00682A39"/>
    <w:rsid w:val="00682DE2"/>
    <w:rsid w:val="00682FAD"/>
    <w:rsid w:val="006832EE"/>
    <w:rsid w:val="00683376"/>
    <w:rsid w:val="006833A4"/>
    <w:rsid w:val="006835C9"/>
    <w:rsid w:val="006836B6"/>
    <w:rsid w:val="00683956"/>
    <w:rsid w:val="00683C6B"/>
    <w:rsid w:val="00683CC7"/>
    <w:rsid w:val="00683E90"/>
    <w:rsid w:val="00684431"/>
    <w:rsid w:val="0068446A"/>
    <w:rsid w:val="006844C9"/>
    <w:rsid w:val="006846A5"/>
    <w:rsid w:val="00684733"/>
    <w:rsid w:val="006848D7"/>
    <w:rsid w:val="00684959"/>
    <w:rsid w:val="00684D10"/>
    <w:rsid w:val="00684D8D"/>
    <w:rsid w:val="00684E7B"/>
    <w:rsid w:val="00684E99"/>
    <w:rsid w:val="00684F26"/>
    <w:rsid w:val="0068508F"/>
    <w:rsid w:val="00685108"/>
    <w:rsid w:val="006852DB"/>
    <w:rsid w:val="0068576D"/>
    <w:rsid w:val="00685840"/>
    <w:rsid w:val="00685B2B"/>
    <w:rsid w:val="0068603F"/>
    <w:rsid w:val="0068606E"/>
    <w:rsid w:val="00686140"/>
    <w:rsid w:val="00686188"/>
    <w:rsid w:val="00686226"/>
    <w:rsid w:val="006862A3"/>
    <w:rsid w:val="00686592"/>
    <w:rsid w:val="006865B3"/>
    <w:rsid w:val="006867C0"/>
    <w:rsid w:val="006869F8"/>
    <w:rsid w:val="00686AD4"/>
    <w:rsid w:val="00686C9F"/>
    <w:rsid w:val="00687173"/>
    <w:rsid w:val="006872DB"/>
    <w:rsid w:val="00687639"/>
    <w:rsid w:val="0068766C"/>
    <w:rsid w:val="00687708"/>
    <w:rsid w:val="00687B0F"/>
    <w:rsid w:val="00687D9B"/>
    <w:rsid w:val="00687F5E"/>
    <w:rsid w:val="00687FAB"/>
    <w:rsid w:val="00690110"/>
    <w:rsid w:val="006901E1"/>
    <w:rsid w:val="0069034A"/>
    <w:rsid w:val="0069051B"/>
    <w:rsid w:val="00690527"/>
    <w:rsid w:val="00690900"/>
    <w:rsid w:val="006909F9"/>
    <w:rsid w:val="00690CBF"/>
    <w:rsid w:val="00690DAC"/>
    <w:rsid w:val="00690E8F"/>
    <w:rsid w:val="0069122C"/>
    <w:rsid w:val="00691253"/>
    <w:rsid w:val="006913E5"/>
    <w:rsid w:val="00691A09"/>
    <w:rsid w:val="00691A64"/>
    <w:rsid w:val="00691AAE"/>
    <w:rsid w:val="00691C40"/>
    <w:rsid w:val="00691E25"/>
    <w:rsid w:val="00691F4B"/>
    <w:rsid w:val="0069240E"/>
    <w:rsid w:val="00692B1A"/>
    <w:rsid w:val="00692C3D"/>
    <w:rsid w:val="00692F02"/>
    <w:rsid w:val="00692FC9"/>
    <w:rsid w:val="00693159"/>
    <w:rsid w:val="006931F2"/>
    <w:rsid w:val="00693312"/>
    <w:rsid w:val="006937C6"/>
    <w:rsid w:val="006939B3"/>
    <w:rsid w:val="00693ACB"/>
    <w:rsid w:val="00693C80"/>
    <w:rsid w:val="00693C9C"/>
    <w:rsid w:val="00694021"/>
    <w:rsid w:val="00694299"/>
    <w:rsid w:val="006943C1"/>
    <w:rsid w:val="00694487"/>
    <w:rsid w:val="0069457A"/>
    <w:rsid w:val="00694691"/>
    <w:rsid w:val="0069484C"/>
    <w:rsid w:val="00694868"/>
    <w:rsid w:val="0069487C"/>
    <w:rsid w:val="00694D18"/>
    <w:rsid w:val="00694FEB"/>
    <w:rsid w:val="006951AD"/>
    <w:rsid w:val="00695839"/>
    <w:rsid w:val="00695B50"/>
    <w:rsid w:val="00695D9B"/>
    <w:rsid w:val="00695DFD"/>
    <w:rsid w:val="00695F47"/>
    <w:rsid w:val="0069602F"/>
    <w:rsid w:val="0069617F"/>
    <w:rsid w:val="006962AC"/>
    <w:rsid w:val="0069637D"/>
    <w:rsid w:val="00696560"/>
    <w:rsid w:val="00696611"/>
    <w:rsid w:val="0069679B"/>
    <w:rsid w:val="00696896"/>
    <w:rsid w:val="00696994"/>
    <w:rsid w:val="006969BA"/>
    <w:rsid w:val="00696A11"/>
    <w:rsid w:val="00696C0E"/>
    <w:rsid w:val="00696C45"/>
    <w:rsid w:val="00696C7B"/>
    <w:rsid w:val="00696CF0"/>
    <w:rsid w:val="00696ECD"/>
    <w:rsid w:val="00696F11"/>
    <w:rsid w:val="00696FFE"/>
    <w:rsid w:val="006970F3"/>
    <w:rsid w:val="00697244"/>
    <w:rsid w:val="006972D1"/>
    <w:rsid w:val="00697332"/>
    <w:rsid w:val="00697497"/>
    <w:rsid w:val="006974BD"/>
    <w:rsid w:val="006975BD"/>
    <w:rsid w:val="0069770A"/>
    <w:rsid w:val="006977A1"/>
    <w:rsid w:val="00697853"/>
    <w:rsid w:val="00697CCF"/>
    <w:rsid w:val="00697CF7"/>
    <w:rsid w:val="00697F9B"/>
    <w:rsid w:val="00697FBE"/>
    <w:rsid w:val="006A0156"/>
    <w:rsid w:val="006A0282"/>
    <w:rsid w:val="006A0423"/>
    <w:rsid w:val="006A0AE5"/>
    <w:rsid w:val="006A0B98"/>
    <w:rsid w:val="006A0E10"/>
    <w:rsid w:val="006A0E4B"/>
    <w:rsid w:val="006A102A"/>
    <w:rsid w:val="006A11B2"/>
    <w:rsid w:val="006A15E8"/>
    <w:rsid w:val="006A16FD"/>
    <w:rsid w:val="006A1928"/>
    <w:rsid w:val="006A1D59"/>
    <w:rsid w:val="006A1FBF"/>
    <w:rsid w:val="006A23A6"/>
    <w:rsid w:val="006A25E8"/>
    <w:rsid w:val="006A2874"/>
    <w:rsid w:val="006A2986"/>
    <w:rsid w:val="006A29C1"/>
    <w:rsid w:val="006A2CFB"/>
    <w:rsid w:val="006A2F2E"/>
    <w:rsid w:val="006A30E0"/>
    <w:rsid w:val="006A31E3"/>
    <w:rsid w:val="006A323A"/>
    <w:rsid w:val="006A333D"/>
    <w:rsid w:val="006A39C4"/>
    <w:rsid w:val="006A3BA5"/>
    <w:rsid w:val="006A3E00"/>
    <w:rsid w:val="006A3EE6"/>
    <w:rsid w:val="006A40C2"/>
    <w:rsid w:val="006A411C"/>
    <w:rsid w:val="006A41B2"/>
    <w:rsid w:val="006A42F6"/>
    <w:rsid w:val="006A433B"/>
    <w:rsid w:val="006A43D0"/>
    <w:rsid w:val="006A460E"/>
    <w:rsid w:val="006A4688"/>
    <w:rsid w:val="006A4720"/>
    <w:rsid w:val="006A478F"/>
    <w:rsid w:val="006A48A6"/>
    <w:rsid w:val="006A4969"/>
    <w:rsid w:val="006A49F2"/>
    <w:rsid w:val="006A4B8F"/>
    <w:rsid w:val="006A4E03"/>
    <w:rsid w:val="006A4EED"/>
    <w:rsid w:val="006A5124"/>
    <w:rsid w:val="006A5334"/>
    <w:rsid w:val="006A5A0D"/>
    <w:rsid w:val="006A5BEF"/>
    <w:rsid w:val="006A5C7F"/>
    <w:rsid w:val="006A5F10"/>
    <w:rsid w:val="006A6161"/>
    <w:rsid w:val="006A6497"/>
    <w:rsid w:val="006A6999"/>
    <w:rsid w:val="006A6A69"/>
    <w:rsid w:val="006A6ACA"/>
    <w:rsid w:val="006A6B83"/>
    <w:rsid w:val="006A6BF5"/>
    <w:rsid w:val="006A6C1A"/>
    <w:rsid w:val="006A6CF8"/>
    <w:rsid w:val="006A702A"/>
    <w:rsid w:val="006A7739"/>
    <w:rsid w:val="006A7D3A"/>
    <w:rsid w:val="006A7DEC"/>
    <w:rsid w:val="006A7E4C"/>
    <w:rsid w:val="006A7EEF"/>
    <w:rsid w:val="006B00D2"/>
    <w:rsid w:val="006B03C9"/>
    <w:rsid w:val="006B03EC"/>
    <w:rsid w:val="006B0B12"/>
    <w:rsid w:val="006B0B1E"/>
    <w:rsid w:val="006B0DFC"/>
    <w:rsid w:val="006B0E12"/>
    <w:rsid w:val="006B110E"/>
    <w:rsid w:val="006B12F5"/>
    <w:rsid w:val="006B1749"/>
    <w:rsid w:val="006B174E"/>
    <w:rsid w:val="006B177D"/>
    <w:rsid w:val="006B17C2"/>
    <w:rsid w:val="006B1D17"/>
    <w:rsid w:val="006B1E1A"/>
    <w:rsid w:val="006B20F7"/>
    <w:rsid w:val="006B22BC"/>
    <w:rsid w:val="006B2809"/>
    <w:rsid w:val="006B2870"/>
    <w:rsid w:val="006B3066"/>
    <w:rsid w:val="006B3295"/>
    <w:rsid w:val="006B4124"/>
    <w:rsid w:val="006B4297"/>
    <w:rsid w:val="006B4345"/>
    <w:rsid w:val="006B4457"/>
    <w:rsid w:val="006B448C"/>
    <w:rsid w:val="006B466E"/>
    <w:rsid w:val="006B4832"/>
    <w:rsid w:val="006B4CB0"/>
    <w:rsid w:val="006B4CD1"/>
    <w:rsid w:val="006B508F"/>
    <w:rsid w:val="006B5107"/>
    <w:rsid w:val="006B521B"/>
    <w:rsid w:val="006B5263"/>
    <w:rsid w:val="006B5307"/>
    <w:rsid w:val="006B5337"/>
    <w:rsid w:val="006B5571"/>
    <w:rsid w:val="006B559B"/>
    <w:rsid w:val="006B5626"/>
    <w:rsid w:val="006B56E8"/>
    <w:rsid w:val="006B580D"/>
    <w:rsid w:val="006B5821"/>
    <w:rsid w:val="006B59BB"/>
    <w:rsid w:val="006B60E0"/>
    <w:rsid w:val="006B6134"/>
    <w:rsid w:val="006B61E6"/>
    <w:rsid w:val="006B6303"/>
    <w:rsid w:val="006B6578"/>
    <w:rsid w:val="006B6D20"/>
    <w:rsid w:val="006B7055"/>
    <w:rsid w:val="006B74D0"/>
    <w:rsid w:val="006B7654"/>
    <w:rsid w:val="006B7703"/>
    <w:rsid w:val="006B77BD"/>
    <w:rsid w:val="006B77D8"/>
    <w:rsid w:val="006B7899"/>
    <w:rsid w:val="006B79A2"/>
    <w:rsid w:val="006B7B51"/>
    <w:rsid w:val="006B7C1E"/>
    <w:rsid w:val="006B7EB8"/>
    <w:rsid w:val="006C0026"/>
    <w:rsid w:val="006C0087"/>
    <w:rsid w:val="006C0098"/>
    <w:rsid w:val="006C009C"/>
    <w:rsid w:val="006C029B"/>
    <w:rsid w:val="006C0305"/>
    <w:rsid w:val="006C0501"/>
    <w:rsid w:val="006C054B"/>
    <w:rsid w:val="006C0600"/>
    <w:rsid w:val="006C0751"/>
    <w:rsid w:val="006C0BB7"/>
    <w:rsid w:val="006C0D79"/>
    <w:rsid w:val="006C0DE7"/>
    <w:rsid w:val="006C0E54"/>
    <w:rsid w:val="006C0F7F"/>
    <w:rsid w:val="006C1195"/>
    <w:rsid w:val="006C124B"/>
    <w:rsid w:val="006C14C6"/>
    <w:rsid w:val="006C170A"/>
    <w:rsid w:val="006C1A91"/>
    <w:rsid w:val="006C1BCE"/>
    <w:rsid w:val="006C1CB2"/>
    <w:rsid w:val="006C2011"/>
    <w:rsid w:val="006C2369"/>
    <w:rsid w:val="006C2611"/>
    <w:rsid w:val="006C2934"/>
    <w:rsid w:val="006C2D91"/>
    <w:rsid w:val="006C2E35"/>
    <w:rsid w:val="006C339E"/>
    <w:rsid w:val="006C35D3"/>
    <w:rsid w:val="006C36A1"/>
    <w:rsid w:val="006C3858"/>
    <w:rsid w:val="006C38BC"/>
    <w:rsid w:val="006C3924"/>
    <w:rsid w:val="006C3BA7"/>
    <w:rsid w:val="006C3C64"/>
    <w:rsid w:val="006C3CAB"/>
    <w:rsid w:val="006C3E49"/>
    <w:rsid w:val="006C4191"/>
    <w:rsid w:val="006C421B"/>
    <w:rsid w:val="006C4379"/>
    <w:rsid w:val="006C43A1"/>
    <w:rsid w:val="006C4409"/>
    <w:rsid w:val="006C44AF"/>
    <w:rsid w:val="006C4A49"/>
    <w:rsid w:val="006C5146"/>
    <w:rsid w:val="006C5208"/>
    <w:rsid w:val="006C5292"/>
    <w:rsid w:val="006C5391"/>
    <w:rsid w:val="006C53E1"/>
    <w:rsid w:val="006C5560"/>
    <w:rsid w:val="006C5673"/>
    <w:rsid w:val="006C59BA"/>
    <w:rsid w:val="006C5B7F"/>
    <w:rsid w:val="006C5B95"/>
    <w:rsid w:val="006C5DFB"/>
    <w:rsid w:val="006C5EB5"/>
    <w:rsid w:val="006C5F3B"/>
    <w:rsid w:val="006C5FCF"/>
    <w:rsid w:val="006C6159"/>
    <w:rsid w:val="006C6737"/>
    <w:rsid w:val="006C68E4"/>
    <w:rsid w:val="006C6BB0"/>
    <w:rsid w:val="006C6F7C"/>
    <w:rsid w:val="006C6F8D"/>
    <w:rsid w:val="006C7286"/>
    <w:rsid w:val="006C72F3"/>
    <w:rsid w:val="006C767D"/>
    <w:rsid w:val="006C780B"/>
    <w:rsid w:val="006C7906"/>
    <w:rsid w:val="006C7B9B"/>
    <w:rsid w:val="006C7BAB"/>
    <w:rsid w:val="006C7C69"/>
    <w:rsid w:val="006D0006"/>
    <w:rsid w:val="006D0092"/>
    <w:rsid w:val="006D00B6"/>
    <w:rsid w:val="006D02ED"/>
    <w:rsid w:val="006D036D"/>
    <w:rsid w:val="006D0779"/>
    <w:rsid w:val="006D0DDD"/>
    <w:rsid w:val="006D0F25"/>
    <w:rsid w:val="006D0F94"/>
    <w:rsid w:val="006D0FED"/>
    <w:rsid w:val="006D11B1"/>
    <w:rsid w:val="006D16EA"/>
    <w:rsid w:val="006D17FB"/>
    <w:rsid w:val="006D1D3D"/>
    <w:rsid w:val="006D1D56"/>
    <w:rsid w:val="006D1E57"/>
    <w:rsid w:val="006D22AF"/>
    <w:rsid w:val="006D2410"/>
    <w:rsid w:val="006D2419"/>
    <w:rsid w:val="006D288C"/>
    <w:rsid w:val="006D28F1"/>
    <w:rsid w:val="006D29BF"/>
    <w:rsid w:val="006D2AD7"/>
    <w:rsid w:val="006D2D0B"/>
    <w:rsid w:val="006D2D55"/>
    <w:rsid w:val="006D2DEF"/>
    <w:rsid w:val="006D2F22"/>
    <w:rsid w:val="006D3039"/>
    <w:rsid w:val="006D3083"/>
    <w:rsid w:val="006D31EA"/>
    <w:rsid w:val="006D3267"/>
    <w:rsid w:val="006D35D4"/>
    <w:rsid w:val="006D360D"/>
    <w:rsid w:val="006D3685"/>
    <w:rsid w:val="006D3969"/>
    <w:rsid w:val="006D3B07"/>
    <w:rsid w:val="006D3C71"/>
    <w:rsid w:val="006D4060"/>
    <w:rsid w:val="006D40D5"/>
    <w:rsid w:val="006D40F8"/>
    <w:rsid w:val="006D423B"/>
    <w:rsid w:val="006D4271"/>
    <w:rsid w:val="006D4468"/>
    <w:rsid w:val="006D4603"/>
    <w:rsid w:val="006D4961"/>
    <w:rsid w:val="006D4C13"/>
    <w:rsid w:val="006D4C1C"/>
    <w:rsid w:val="006D5035"/>
    <w:rsid w:val="006D512A"/>
    <w:rsid w:val="006D51B1"/>
    <w:rsid w:val="006D51CB"/>
    <w:rsid w:val="006D51FB"/>
    <w:rsid w:val="006D545D"/>
    <w:rsid w:val="006D55DC"/>
    <w:rsid w:val="006D57F1"/>
    <w:rsid w:val="006D5A16"/>
    <w:rsid w:val="006D5AF9"/>
    <w:rsid w:val="006D5D66"/>
    <w:rsid w:val="006D5E15"/>
    <w:rsid w:val="006D6147"/>
    <w:rsid w:val="006D6472"/>
    <w:rsid w:val="006D665E"/>
    <w:rsid w:val="006D66B6"/>
    <w:rsid w:val="006D6D54"/>
    <w:rsid w:val="006D701A"/>
    <w:rsid w:val="006D70D1"/>
    <w:rsid w:val="006D71A8"/>
    <w:rsid w:val="006D7216"/>
    <w:rsid w:val="006D73D6"/>
    <w:rsid w:val="006D742E"/>
    <w:rsid w:val="006D756C"/>
    <w:rsid w:val="006D7703"/>
    <w:rsid w:val="006D777E"/>
    <w:rsid w:val="006D780C"/>
    <w:rsid w:val="006D7B6C"/>
    <w:rsid w:val="006D7C36"/>
    <w:rsid w:val="006D7E98"/>
    <w:rsid w:val="006D7F64"/>
    <w:rsid w:val="006D7F6C"/>
    <w:rsid w:val="006E04C8"/>
    <w:rsid w:val="006E07A1"/>
    <w:rsid w:val="006E0CE9"/>
    <w:rsid w:val="006E0D4B"/>
    <w:rsid w:val="006E0EA7"/>
    <w:rsid w:val="006E0F43"/>
    <w:rsid w:val="006E0FB2"/>
    <w:rsid w:val="006E0FDC"/>
    <w:rsid w:val="006E116A"/>
    <w:rsid w:val="006E1228"/>
    <w:rsid w:val="006E12D4"/>
    <w:rsid w:val="006E18EC"/>
    <w:rsid w:val="006E1A4F"/>
    <w:rsid w:val="006E1A9B"/>
    <w:rsid w:val="006E1C10"/>
    <w:rsid w:val="006E1F65"/>
    <w:rsid w:val="006E2150"/>
    <w:rsid w:val="006E2210"/>
    <w:rsid w:val="006E2486"/>
    <w:rsid w:val="006E24EB"/>
    <w:rsid w:val="006E25DC"/>
    <w:rsid w:val="006E2843"/>
    <w:rsid w:val="006E2B71"/>
    <w:rsid w:val="006E2C4A"/>
    <w:rsid w:val="006E3130"/>
    <w:rsid w:val="006E3253"/>
    <w:rsid w:val="006E3272"/>
    <w:rsid w:val="006E33CA"/>
    <w:rsid w:val="006E355F"/>
    <w:rsid w:val="006E3578"/>
    <w:rsid w:val="006E35AD"/>
    <w:rsid w:val="006E3812"/>
    <w:rsid w:val="006E3869"/>
    <w:rsid w:val="006E3BBA"/>
    <w:rsid w:val="006E3BBD"/>
    <w:rsid w:val="006E3E7D"/>
    <w:rsid w:val="006E3EDA"/>
    <w:rsid w:val="006E3FB3"/>
    <w:rsid w:val="006E411A"/>
    <w:rsid w:val="006E41A6"/>
    <w:rsid w:val="006E43C3"/>
    <w:rsid w:val="006E463E"/>
    <w:rsid w:val="006E46BE"/>
    <w:rsid w:val="006E4F42"/>
    <w:rsid w:val="006E4F5F"/>
    <w:rsid w:val="006E50F4"/>
    <w:rsid w:val="006E52F7"/>
    <w:rsid w:val="006E5484"/>
    <w:rsid w:val="006E55FB"/>
    <w:rsid w:val="006E5991"/>
    <w:rsid w:val="006E5A02"/>
    <w:rsid w:val="006E5AD9"/>
    <w:rsid w:val="006E5C87"/>
    <w:rsid w:val="006E5DD8"/>
    <w:rsid w:val="006E5E86"/>
    <w:rsid w:val="006E5EC7"/>
    <w:rsid w:val="006E5F17"/>
    <w:rsid w:val="006E61D7"/>
    <w:rsid w:val="006E623F"/>
    <w:rsid w:val="006E6503"/>
    <w:rsid w:val="006E6724"/>
    <w:rsid w:val="006E680C"/>
    <w:rsid w:val="006E6843"/>
    <w:rsid w:val="006E6A73"/>
    <w:rsid w:val="006E6D8A"/>
    <w:rsid w:val="006E70C2"/>
    <w:rsid w:val="006E7260"/>
    <w:rsid w:val="006E7456"/>
    <w:rsid w:val="006E7460"/>
    <w:rsid w:val="006E769A"/>
    <w:rsid w:val="006E7745"/>
    <w:rsid w:val="006E792E"/>
    <w:rsid w:val="006E7CEA"/>
    <w:rsid w:val="006E7D4B"/>
    <w:rsid w:val="006E7D61"/>
    <w:rsid w:val="006E7F12"/>
    <w:rsid w:val="006F0200"/>
    <w:rsid w:val="006F0249"/>
    <w:rsid w:val="006F0412"/>
    <w:rsid w:val="006F04FB"/>
    <w:rsid w:val="006F060E"/>
    <w:rsid w:val="006F06B9"/>
    <w:rsid w:val="006F0942"/>
    <w:rsid w:val="006F096A"/>
    <w:rsid w:val="006F0C73"/>
    <w:rsid w:val="006F0C93"/>
    <w:rsid w:val="006F10F1"/>
    <w:rsid w:val="006F112D"/>
    <w:rsid w:val="006F114B"/>
    <w:rsid w:val="006F12F4"/>
    <w:rsid w:val="006F154D"/>
    <w:rsid w:val="006F19E3"/>
    <w:rsid w:val="006F19F0"/>
    <w:rsid w:val="006F1B31"/>
    <w:rsid w:val="006F1E20"/>
    <w:rsid w:val="006F1E75"/>
    <w:rsid w:val="006F23DB"/>
    <w:rsid w:val="006F2A5F"/>
    <w:rsid w:val="006F2ADD"/>
    <w:rsid w:val="006F2BD7"/>
    <w:rsid w:val="006F2C2B"/>
    <w:rsid w:val="006F2EE8"/>
    <w:rsid w:val="006F3355"/>
    <w:rsid w:val="006F37EE"/>
    <w:rsid w:val="006F397B"/>
    <w:rsid w:val="006F39E4"/>
    <w:rsid w:val="006F3B06"/>
    <w:rsid w:val="006F3CF7"/>
    <w:rsid w:val="006F3D84"/>
    <w:rsid w:val="006F3E92"/>
    <w:rsid w:val="006F4096"/>
    <w:rsid w:val="006F4161"/>
    <w:rsid w:val="006F42E4"/>
    <w:rsid w:val="006F4338"/>
    <w:rsid w:val="006F43CC"/>
    <w:rsid w:val="006F43E9"/>
    <w:rsid w:val="006F461B"/>
    <w:rsid w:val="006F46BD"/>
    <w:rsid w:val="006F46ED"/>
    <w:rsid w:val="006F484A"/>
    <w:rsid w:val="006F4A35"/>
    <w:rsid w:val="006F4D21"/>
    <w:rsid w:val="006F4E29"/>
    <w:rsid w:val="006F4ED3"/>
    <w:rsid w:val="006F4F05"/>
    <w:rsid w:val="006F4F9C"/>
    <w:rsid w:val="006F500B"/>
    <w:rsid w:val="006F5030"/>
    <w:rsid w:val="006F57CD"/>
    <w:rsid w:val="006F590D"/>
    <w:rsid w:val="006F5922"/>
    <w:rsid w:val="006F5AB4"/>
    <w:rsid w:val="006F5B17"/>
    <w:rsid w:val="006F5B3D"/>
    <w:rsid w:val="006F5DE1"/>
    <w:rsid w:val="006F5E17"/>
    <w:rsid w:val="006F62BD"/>
    <w:rsid w:val="006F64CD"/>
    <w:rsid w:val="006F6520"/>
    <w:rsid w:val="006F6653"/>
    <w:rsid w:val="006F66EA"/>
    <w:rsid w:val="006F69F3"/>
    <w:rsid w:val="006F6D51"/>
    <w:rsid w:val="006F6F4D"/>
    <w:rsid w:val="006F6F51"/>
    <w:rsid w:val="006F7224"/>
    <w:rsid w:val="006F733D"/>
    <w:rsid w:val="006F7639"/>
    <w:rsid w:val="006F7AA3"/>
    <w:rsid w:val="006F7AD2"/>
    <w:rsid w:val="006F7CC5"/>
    <w:rsid w:val="006F7F1F"/>
    <w:rsid w:val="00700037"/>
    <w:rsid w:val="007000B3"/>
    <w:rsid w:val="007001DA"/>
    <w:rsid w:val="0070028A"/>
    <w:rsid w:val="007002AF"/>
    <w:rsid w:val="007003E5"/>
    <w:rsid w:val="0070050C"/>
    <w:rsid w:val="00700A87"/>
    <w:rsid w:val="00700AE2"/>
    <w:rsid w:val="00700B73"/>
    <w:rsid w:val="00700D32"/>
    <w:rsid w:val="00700E28"/>
    <w:rsid w:val="00700E83"/>
    <w:rsid w:val="00700FC3"/>
    <w:rsid w:val="007014E3"/>
    <w:rsid w:val="00701719"/>
    <w:rsid w:val="0070178D"/>
    <w:rsid w:val="007017F7"/>
    <w:rsid w:val="00701A1D"/>
    <w:rsid w:val="00701A30"/>
    <w:rsid w:val="00701A69"/>
    <w:rsid w:val="00701A85"/>
    <w:rsid w:val="00701C54"/>
    <w:rsid w:val="00701CB1"/>
    <w:rsid w:val="00701D25"/>
    <w:rsid w:val="00701E32"/>
    <w:rsid w:val="007022A3"/>
    <w:rsid w:val="00702452"/>
    <w:rsid w:val="00702534"/>
    <w:rsid w:val="0070277E"/>
    <w:rsid w:val="007027E1"/>
    <w:rsid w:val="00702985"/>
    <w:rsid w:val="007029B3"/>
    <w:rsid w:val="00702A3C"/>
    <w:rsid w:val="00702A73"/>
    <w:rsid w:val="00702CA9"/>
    <w:rsid w:val="00702CD5"/>
    <w:rsid w:val="00702F91"/>
    <w:rsid w:val="0070310E"/>
    <w:rsid w:val="007036DA"/>
    <w:rsid w:val="007037C6"/>
    <w:rsid w:val="0070386D"/>
    <w:rsid w:val="00703A72"/>
    <w:rsid w:val="00703B41"/>
    <w:rsid w:val="00703E8D"/>
    <w:rsid w:val="00703FDC"/>
    <w:rsid w:val="007042D4"/>
    <w:rsid w:val="007046CE"/>
    <w:rsid w:val="007047DB"/>
    <w:rsid w:val="00704816"/>
    <w:rsid w:val="00704A62"/>
    <w:rsid w:val="00704F08"/>
    <w:rsid w:val="00704FEF"/>
    <w:rsid w:val="00705015"/>
    <w:rsid w:val="007050B6"/>
    <w:rsid w:val="007050F9"/>
    <w:rsid w:val="007056FA"/>
    <w:rsid w:val="00705760"/>
    <w:rsid w:val="00705992"/>
    <w:rsid w:val="00705C82"/>
    <w:rsid w:val="00705DAB"/>
    <w:rsid w:val="00705F3E"/>
    <w:rsid w:val="00705F87"/>
    <w:rsid w:val="0070631B"/>
    <w:rsid w:val="00706461"/>
    <w:rsid w:val="007069E3"/>
    <w:rsid w:val="00706B52"/>
    <w:rsid w:val="00706BB0"/>
    <w:rsid w:val="00706C3C"/>
    <w:rsid w:val="00706C98"/>
    <w:rsid w:val="00706FD3"/>
    <w:rsid w:val="00707275"/>
    <w:rsid w:val="007072F4"/>
    <w:rsid w:val="00707390"/>
    <w:rsid w:val="0070762C"/>
    <w:rsid w:val="00707917"/>
    <w:rsid w:val="00707A65"/>
    <w:rsid w:val="00707B1E"/>
    <w:rsid w:val="00707E5C"/>
    <w:rsid w:val="00707FDD"/>
    <w:rsid w:val="007100C3"/>
    <w:rsid w:val="00710588"/>
    <w:rsid w:val="0071073C"/>
    <w:rsid w:val="00710989"/>
    <w:rsid w:val="00710B53"/>
    <w:rsid w:val="00710B84"/>
    <w:rsid w:val="00710C30"/>
    <w:rsid w:val="00710E65"/>
    <w:rsid w:val="00710FAB"/>
    <w:rsid w:val="00711062"/>
    <w:rsid w:val="0071119C"/>
    <w:rsid w:val="00711282"/>
    <w:rsid w:val="007113B5"/>
    <w:rsid w:val="007113D3"/>
    <w:rsid w:val="00711459"/>
    <w:rsid w:val="00711554"/>
    <w:rsid w:val="00711646"/>
    <w:rsid w:val="0071170A"/>
    <w:rsid w:val="007117B3"/>
    <w:rsid w:val="007119C4"/>
    <w:rsid w:val="00711A1A"/>
    <w:rsid w:val="00711B2B"/>
    <w:rsid w:val="00711BCB"/>
    <w:rsid w:val="00711C3A"/>
    <w:rsid w:val="00711CE9"/>
    <w:rsid w:val="00711F67"/>
    <w:rsid w:val="00711FDF"/>
    <w:rsid w:val="00712186"/>
    <w:rsid w:val="00712300"/>
    <w:rsid w:val="00712327"/>
    <w:rsid w:val="00712344"/>
    <w:rsid w:val="00712497"/>
    <w:rsid w:val="0071294C"/>
    <w:rsid w:val="007129EF"/>
    <w:rsid w:val="00712D21"/>
    <w:rsid w:val="00713086"/>
    <w:rsid w:val="007133EF"/>
    <w:rsid w:val="00713834"/>
    <w:rsid w:val="007139DF"/>
    <w:rsid w:val="00713FC8"/>
    <w:rsid w:val="00714356"/>
    <w:rsid w:val="0071437D"/>
    <w:rsid w:val="007144FD"/>
    <w:rsid w:val="00714BD7"/>
    <w:rsid w:val="00714C3E"/>
    <w:rsid w:val="00714E7E"/>
    <w:rsid w:val="00714FB3"/>
    <w:rsid w:val="00715144"/>
    <w:rsid w:val="00715391"/>
    <w:rsid w:val="0071541B"/>
    <w:rsid w:val="0071548F"/>
    <w:rsid w:val="00715504"/>
    <w:rsid w:val="00715662"/>
    <w:rsid w:val="007157FF"/>
    <w:rsid w:val="0071599D"/>
    <w:rsid w:val="00715B0D"/>
    <w:rsid w:val="00715D8C"/>
    <w:rsid w:val="007161FC"/>
    <w:rsid w:val="0071653F"/>
    <w:rsid w:val="0071654D"/>
    <w:rsid w:val="007167D3"/>
    <w:rsid w:val="00716CB8"/>
    <w:rsid w:val="00716D6D"/>
    <w:rsid w:val="00716FC3"/>
    <w:rsid w:val="007171FF"/>
    <w:rsid w:val="0071734C"/>
    <w:rsid w:val="007174FC"/>
    <w:rsid w:val="007175AD"/>
    <w:rsid w:val="0071768C"/>
    <w:rsid w:val="007177C0"/>
    <w:rsid w:val="007177D0"/>
    <w:rsid w:val="00717E7F"/>
    <w:rsid w:val="007201C3"/>
    <w:rsid w:val="00720361"/>
    <w:rsid w:val="00720377"/>
    <w:rsid w:val="007203FD"/>
    <w:rsid w:val="0072045B"/>
    <w:rsid w:val="0072069D"/>
    <w:rsid w:val="0072076E"/>
    <w:rsid w:val="00720996"/>
    <w:rsid w:val="00720A25"/>
    <w:rsid w:val="00720BB8"/>
    <w:rsid w:val="00720D07"/>
    <w:rsid w:val="00720ED2"/>
    <w:rsid w:val="00720FCE"/>
    <w:rsid w:val="00721190"/>
    <w:rsid w:val="007212A3"/>
    <w:rsid w:val="00721478"/>
    <w:rsid w:val="007214CB"/>
    <w:rsid w:val="007218FD"/>
    <w:rsid w:val="00721977"/>
    <w:rsid w:val="00721A0E"/>
    <w:rsid w:val="00721A63"/>
    <w:rsid w:val="00721C18"/>
    <w:rsid w:val="00721CC0"/>
    <w:rsid w:val="00721D7D"/>
    <w:rsid w:val="00721DFB"/>
    <w:rsid w:val="00722283"/>
    <w:rsid w:val="00722385"/>
    <w:rsid w:val="00722432"/>
    <w:rsid w:val="00722484"/>
    <w:rsid w:val="0072257E"/>
    <w:rsid w:val="00722950"/>
    <w:rsid w:val="007229F7"/>
    <w:rsid w:val="00722ADA"/>
    <w:rsid w:val="00722DAF"/>
    <w:rsid w:val="00722F0C"/>
    <w:rsid w:val="00723009"/>
    <w:rsid w:val="007230C9"/>
    <w:rsid w:val="007230F2"/>
    <w:rsid w:val="007230FF"/>
    <w:rsid w:val="00723379"/>
    <w:rsid w:val="007233BC"/>
    <w:rsid w:val="007235A4"/>
    <w:rsid w:val="007237BC"/>
    <w:rsid w:val="007237DE"/>
    <w:rsid w:val="0072388D"/>
    <w:rsid w:val="00723A56"/>
    <w:rsid w:val="00723E70"/>
    <w:rsid w:val="00723F83"/>
    <w:rsid w:val="00723FD9"/>
    <w:rsid w:val="0072410C"/>
    <w:rsid w:val="00724142"/>
    <w:rsid w:val="00724296"/>
    <w:rsid w:val="007242C6"/>
    <w:rsid w:val="007243DB"/>
    <w:rsid w:val="007244A3"/>
    <w:rsid w:val="00724616"/>
    <w:rsid w:val="007249BA"/>
    <w:rsid w:val="00724A4D"/>
    <w:rsid w:val="00724D94"/>
    <w:rsid w:val="00724FAF"/>
    <w:rsid w:val="00725071"/>
    <w:rsid w:val="0072507B"/>
    <w:rsid w:val="007252F7"/>
    <w:rsid w:val="007254C2"/>
    <w:rsid w:val="007254FA"/>
    <w:rsid w:val="00725536"/>
    <w:rsid w:val="0072558E"/>
    <w:rsid w:val="007256E3"/>
    <w:rsid w:val="0072591D"/>
    <w:rsid w:val="0072596C"/>
    <w:rsid w:val="00725BEE"/>
    <w:rsid w:val="00725D50"/>
    <w:rsid w:val="00725DE6"/>
    <w:rsid w:val="00725DFD"/>
    <w:rsid w:val="00725F82"/>
    <w:rsid w:val="00726017"/>
    <w:rsid w:val="007260A1"/>
    <w:rsid w:val="0072621D"/>
    <w:rsid w:val="007265B4"/>
    <w:rsid w:val="0072663E"/>
    <w:rsid w:val="0072686F"/>
    <w:rsid w:val="0072694D"/>
    <w:rsid w:val="00726B02"/>
    <w:rsid w:val="00726D15"/>
    <w:rsid w:val="00726D16"/>
    <w:rsid w:val="0072716C"/>
    <w:rsid w:val="00727251"/>
    <w:rsid w:val="007273C8"/>
    <w:rsid w:val="007275AB"/>
    <w:rsid w:val="00727AE8"/>
    <w:rsid w:val="00727BE2"/>
    <w:rsid w:val="00727EE5"/>
    <w:rsid w:val="00727F4A"/>
    <w:rsid w:val="007303E5"/>
    <w:rsid w:val="0073044F"/>
    <w:rsid w:val="00730B1D"/>
    <w:rsid w:val="00730BF0"/>
    <w:rsid w:val="00730CA7"/>
    <w:rsid w:val="00730E0B"/>
    <w:rsid w:val="00731284"/>
    <w:rsid w:val="007314F4"/>
    <w:rsid w:val="0073154C"/>
    <w:rsid w:val="0073163C"/>
    <w:rsid w:val="007318CA"/>
    <w:rsid w:val="00731C04"/>
    <w:rsid w:val="00731CFC"/>
    <w:rsid w:val="00731D42"/>
    <w:rsid w:val="00731F61"/>
    <w:rsid w:val="007320A0"/>
    <w:rsid w:val="007320EF"/>
    <w:rsid w:val="00732366"/>
    <w:rsid w:val="00732C73"/>
    <w:rsid w:val="00732F10"/>
    <w:rsid w:val="00732F61"/>
    <w:rsid w:val="007330C2"/>
    <w:rsid w:val="0073321D"/>
    <w:rsid w:val="007332F2"/>
    <w:rsid w:val="00733627"/>
    <w:rsid w:val="00733747"/>
    <w:rsid w:val="007337D7"/>
    <w:rsid w:val="00733803"/>
    <w:rsid w:val="00733ADE"/>
    <w:rsid w:val="00733B98"/>
    <w:rsid w:val="00733C1A"/>
    <w:rsid w:val="00733C2C"/>
    <w:rsid w:val="00733D5C"/>
    <w:rsid w:val="00733D64"/>
    <w:rsid w:val="0073428A"/>
    <w:rsid w:val="00734377"/>
    <w:rsid w:val="00734518"/>
    <w:rsid w:val="00734AF8"/>
    <w:rsid w:val="00734B3D"/>
    <w:rsid w:val="00734B90"/>
    <w:rsid w:val="00734FDC"/>
    <w:rsid w:val="00735148"/>
    <w:rsid w:val="007356A4"/>
    <w:rsid w:val="007356E2"/>
    <w:rsid w:val="007358EA"/>
    <w:rsid w:val="007358F8"/>
    <w:rsid w:val="00735987"/>
    <w:rsid w:val="00735BE9"/>
    <w:rsid w:val="00735E95"/>
    <w:rsid w:val="00735ECB"/>
    <w:rsid w:val="00735F4D"/>
    <w:rsid w:val="00736124"/>
    <w:rsid w:val="00736378"/>
    <w:rsid w:val="007363CE"/>
    <w:rsid w:val="00736447"/>
    <w:rsid w:val="00736BFF"/>
    <w:rsid w:val="00736D07"/>
    <w:rsid w:val="00736DFE"/>
    <w:rsid w:val="007370FD"/>
    <w:rsid w:val="00737157"/>
    <w:rsid w:val="0073730A"/>
    <w:rsid w:val="00737378"/>
    <w:rsid w:val="007374F3"/>
    <w:rsid w:val="00737A04"/>
    <w:rsid w:val="00737C36"/>
    <w:rsid w:val="00737CE8"/>
    <w:rsid w:val="00737D19"/>
    <w:rsid w:val="00737F49"/>
    <w:rsid w:val="00737FFC"/>
    <w:rsid w:val="00740586"/>
    <w:rsid w:val="007409D1"/>
    <w:rsid w:val="00741020"/>
    <w:rsid w:val="007410D3"/>
    <w:rsid w:val="0074124D"/>
    <w:rsid w:val="00741446"/>
    <w:rsid w:val="0074146B"/>
    <w:rsid w:val="00741B0B"/>
    <w:rsid w:val="00741C6D"/>
    <w:rsid w:val="00741D57"/>
    <w:rsid w:val="00741FE7"/>
    <w:rsid w:val="0074213E"/>
    <w:rsid w:val="007421AB"/>
    <w:rsid w:val="0074229D"/>
    <w:rsid w:val="007424C6"/>
    <w:rsid w:val="007425D5"/>
    <w:rsid w:val="0074296C"/>
    <w:rsid w:val="00742CAE"/>
    <w:rsid w:val="00742D62"/>
    <w:rsid w:val="007430F6"/>
    <w:rsid w:val="0074310E"/>
    <w:rsid w:val="00743167"/>
    <w:rsid w:val="00743370"/>
    <w:rsid w:val="00743408"/>
    <w:rsid w:val="007434B0"/>
    <w:rsid w:val="00743652"/>
    <w:rsid w:val="00743766"/>
    <w:rsid w:val="00743AE1"/>
    <w:rsid w:val="00743B52"/>
    <w:rsid w:val="00743C52"/>
    <w:rsid w:val="00743CEB"/>
    <w:rsid w:val="00743D26"/>
    <w:rsid w:val="00743F84"/>
    <w:rsid w:val="007441D3"/>
    <w:rsid w:val="007441F9"/>
    <w:rsid w:val="0074426C"/>
    <w:rsid w:val="007442DA"/>
    <w:rsid w:val="0074446E"/>
    <w:rsid w:val="0074451A"/>
    <w:rsid w:val="0074455A"/>
    <w:rsid w:val="00744751"/>
    <w:rsid w:val="007447A8"/>
    <w:rsid w:val="0074480D"/>
    <w:rsid w:val="00744A96"/>
    <w:rsid w:val="00744B5D"/>
    <w:rsid w:val="00744E72"/>
    <w:rsid w:val="00744E8D"/>
    <w:rsid w:val="00745059"/>
    <w:rsid w:val="00745101"/>
    <w:rsid w:val="00745185"/>
    <w:rsid w:val="00745271"/>
    <w:rsid w:val="0074533A"/>
    <w:rsid w:val="007453C8"/>
    <w:rsid w:val="0074544F"/>
    <w:rsid w:val="007455D7"/>
    <w:rsid w:val="00745631"/>
    <w:rsid w:val="00745930"/>
    <w:rsid w:val="007459D8"/>
    <w:rsid w:val="00745AE6"/>
    <w:rsid w:val="00745B81"/>
    <w:rsid w:val="00745D11"/>
    <w:rsid w:val="00745DCC"/>
    <w:rsid w:val="00745FAB"/>
    <w:rsid w:val="00746303"/>
    <w:rsid w:val="007463B0"/>
    <w:rsid w:val="0074640E"/>
    <w:rsid w:val="0074645C"/>
    <w:rsid w:val="00746584"/>
    <w:rsid w:val="0074660A"/>
    <w:rsid w:val="00746616"/>
    <w:rsid w:val="00746A0C"/>
    <w:rsid w:val="00746A64"/>
    <w:rsid w:val="00747293"/>
    <w:rsid w:val="007475CB"/>
    <w:rsid w:val="0074766B"/>
    <w:rsid w:val="00747687"/>
    <w:rsid w:val="00747690"/>
    <w:rsid w:val="00747897"/>
    <w:rsid w:val="0074795A"/>
    <w:rsid w:val="00747A25"/>
    <w:rsid w:val="00747A31"/>
    <w:rsid w:val="00747BF4"/>
    <w:rsid w:val="00747BF6"/>
    <w:rsid w:val="00747C1A"/>
    <w:rsid w:val="00750530"/>
    <w:rsid w:val="007505A1"/>
    <w:rsid w:val="00750962"/>
    <w:rsid w:val="00750A37"/>
    <w:rsid w:val="00750BB0"/>
    <w:rsid w:val="00750BE6"/>
    <w:rsid w:val="00750E1E"/>
    <w:rsid w:val="00750F06"/>
    <w:rsid w:val="007510F0"/>
    <w:rsid w:val="0075118D"/>
    <w:rsid w:val="0075120E"/>
    <w:rsid w:val="007512AE"/>
    <w:rsid w:val="00751338"/>
    <w:rsid w:val="007513B0"/>
    <w:rsid w:val="0075141F"/>
    <w:rsid w:val="00751467"/>
    <w:rsid w:val="00751897"/>
    <w:rsid w:val="007518B8"/>
    <w:rsid w:val="00751B39"/>
    <w:rsid w:val="007520BB"/>
    <w:rsid w:val="0075216F"/>
    <w:rsid w:val="0075237A"/>
    <w:rsid w:val="00752392"/>
    <w:rsid w:val="007524AC"/>
    <w:rsid w:val="0075283B"/>
    <w:rsid w:val="00752A42"/>
    <w:rsid w:val="00752A50"/>
    <w:rsid w:val="00752A78"/>
    <w:rsid w:val="00752B9F"/>
    <w:rsid w:val="00752D28"/>
    <w:rsid w:val="007530DB"/>
    <w:rsid w:val="0075329E"/>
    <w:rsid w:val="007532C3"/>
    <w:rsid w:val="007533D5"/>
    <w:rsid w:val="0075363C"/>
    <w:rsid w:val="007536E3"/>
    <w:rsid w:val="00753B24"/>
    <w:rsid w:val="00753C70"/>
    <w:rsid w:val="00753C7F"/>
    <w:rsid w:val="00753E04"/>
    <w:rsid w:val="00753E08"/>
    <w:rsid w:val="00753EFC"/>
    <w:rsid w:val="00753F57"/>
    <w:rsid w:val="00754071"/>
    <w:rsid w:val="0075412E"/>
    <w:rsid w:val="007542CA"/>
    <w:rsid w:val="00754710"/>
    <w:rsid w:val="00754922"/>
    <w:rsid w:val="00754986"/>
    <w:rsid w:val="00754CF3"/>
    <w:rsid w:val="00754D73"/>
    <w:rsid w:val="00754D96"/>
    <w:rsid w:val="00754E68"/>
    <w:rsid w:val="00754EBF"/>
    <w:rsid w:val="007555C9"/>
    <w:rsid w:val="00755652"/>
    <w:rsid w:val="00755676"/>
    <w:rsid w:val="00755AFF"/>
    <w:rsid w:val="00755EC1"/>
    <w:rsid w:val="0075610E"/>
    <w:rsid w:val="00756136"/>
    <w:rsid w:val="007561B2"/>
    <w:rsid w:val="007561BA"/>
    <w:rsid w:val="00756408"/>
    <w:rsid w:val="00756472"/>
    <w:rsid w:val="0075656E"/>
    <w:rsid w:val="007566E5"/>
    <w:rsid w:val="00756C31"/>
    <w:rsid w:val="00757193"/>
    <w:rsid w:val="007572ED"/>
    <w:rsid w:val="007574A2"/>
    <w:rsid w:val="007576D0"/>
    <w:rsid w:val="007578D9"/>
    <w:rsid w:val="00757ACB"/>
    <w:rsid w:val="00757B0C"/>
    <w:rsid w:val="0076079E"/>
    <w:rsid w:val="0076089C"/>
    <w:rsid w:val="00760A08"/>
    <w:rsid w:val="00760EA4"/>
    <w:rsid w:val="0076101A"/>
    <w:rsid w:val="007613BC"/>
    <w:rsid w:val="00761421"/>
    <w:rsid w:val="007614CC"/>
    <w:rsid w:val="0076156A"/>
    <w:rsid w:val="00761715"/>
    <w:rsid w:val="00761960"/>
    <w:rsid w:val="00761AD9"/>
    <w:rsid w:val="00761E2E"/>
    <w:rsid w:val="007621A9"/>
    <w:rsid w:val="0076220B"/>
    <w:rsid w:val="00762527"/>
    <w:rsid w:val="0076270F"/>
    <w:rsid w:val="00762821"/>
    <w:rsid w:val="0076294C"/>
    <w:rsid w:val="0076296B"/>
    <w:rsid w:val="007629D2"/>
    <w:rsid w:val="00762B44"/>
    <w:rsid w:val="00762C9F"/>
    <w:rsid w:val="00762E75"/>
    <w:rsid w:val="00762F64"/>
    <w:rsid w:val="007630E0"/>
    <w:rsid w:val="00763353"/>
    <w:rsid w:val="00763459"/>
    <w:rsid w:val="007634B2"/>
    <w:rsid w:val="007638CE"/>
    <w:rsid w:val="00764710"/>
    <w:rsid w:val="00764832"/>
    <w:rsid w:val="0076485B"/>
    <w:rsid w:val="00764939"/>
    <w:rsid w:val="007649AD"/>
    <w:rsid w:val="00764C7E"/>
    <w:rsid w:val="00764FF7"/>
    <w:rsid w:val="0076503C"/>
    <w:rsid w:val="00765138"/>
    <w:rsid w:val="0076533E"/>
    <w:rsid w:val="00765350"/>
    <w:rsid w:val="0076535B"/>
    <w:rsid w:val="007654A2"/>
    <w:rsid w:val="007655F4"/>
    <w:rsid w:val="00765772"/>
    <w:rsid w:val="007657D5"/>
    <w:rsid w:val="007658E1"/>
    <w:rsid w:val="00765C84"/>
    <w:rsid w:val="00766318"/>
    <w:rsid w:val="00766489"/>
    <w:rsid w:val="0076677F"/>
    <w:rsid w:val="00766AF1"/>
    <w:rsid w:val="00766CC2"/>
    <w:rsid w:val="00766D05"/>
    <w:rsid w:val="00766F61"/>
    <w:rsid w:val="00766FBE"/>
    <w:rsid w:val="00766FF2"/>
    <w:rsid w:val="007674F0"/>
    <w:rsid w:val="00767577"/>
    <w:rsid w:val="00767C14"/>
    <w:rsid w:val="00767C78"/>
    <w:rsid w:val="00767CA5"/>
    <w:rsid w:val="00767F0E"/>
    <w:rsid w:val="00770192"/>
    <w:rsid w:val="00770604"/>
    <w:rsid w:val="00770AA8"/>
    <w:rsid w:val="00770C6F"/>
    <w:rsid w:val="00770CE6"/>
    <w:rsid w:val="0077100A"/>
    <w:rsid w:val="007712EC"/>
    <w:rsid w:val="007713B7"/>
    <w:rsid w:val="00771430"/>
    <w:rsid w:val="00771799"/>
    <w:rsid w:val="00771952"/>
    <w:rsid w:val="00771A65"/>
    <w:rsid w:val="00771B0D"/>
    <w:rsid w:val="00771BB2"/>
    <w:rsid w:val="00771BDC"/>
    <w:rsid w:val="00771C55"/>
    <w:rsid w:val="00771DA7"/>
    <w:rsid w:val="00771E00"/>
    <w:rsid w:val="00771FF2"/>
    <w:rsid w:val="007721BD"/>
    <w:rsid w:val="00772475"/>
    <w:rsid w:val="00772846"/>
    <w:rsid w:val="00772A8C"/>
    <w:rsid w:val="00772AE2"/>
    <w:rsid w:val="00772B97"/>
    <w:rsid w:val="00772BD3"/>
    <w:rsid w:val="00772D5F"/>
    <w:rsid w:val="00772F8E"/>
    <w:rsid w:val="007730AD"/>
    <w:rsid w:val="00773149"/>
    <w:rsid w:val="007732D8"/>
    <w:rsid w:val="00773335"/>
    <w:rsid w:val="0077361C"/>
    <w:rsid w:val="0077368A"/>
    <w:rsid w:val="00773BAA"/>
    <w:rsid w:val="00773C72"/>
    <w:rsid w:val="007740AF"/>
    <w:rsid w:val="0077412A"/>
    <w:rsid w:val="007743DF"/>
    <w:rsid w:val="00774493"/>
    <w:rsid w:val="007746D9"/>
    <w:rsid w:val="007749F7"/>
    <w:rsid w:val="00774AC5"/>
    <w:rsid w:val="00774C87"/>
    <w:rsid w:val="00774D99"/>
    <w:rsid w:val="00774E98"/>
    <w:rsid w:val="00775107"/>
    <w:rsid w:val="0077516A"/>
    <w:rsid w:val="00775234"/>
    <w:rsid w:val="00775257"/>
    <w:rsid w:val="0077571A"/>
    <w:rsid w:val="007759C5"/>
    <w:rsid w:val="00775AD4"/>
    <w:rsid w:val="00775B4E"/>
    <w:rsid w:val="00775BCB"/>
    <w:rsid w:val="00775BFB"/>
    <w:rsid w:val="00775ED9"/>
    <w:rsid w:val="00775F4B"/>
    <w:rsid w:val="00775F89"/>
    <w:rsid w:val="00776457"/>
    <w:rsid w:val="00776462"/>
    <w:rsid w:val="007768D4"/>
    <w:rsid w:val="00776A20"/>
    <w:rsid w:val="00777148"/>
    <w:rsid w:val="007771DD"/>
    <w:rsid w:val="00777452"/>
    <w:rsid w:val="007774D3"/>
    <w:rsid w:val="0077783E"/>
    <w:rsid w:val="00777C24"/>
    <w:rsid w:val="00777EB8"/>
    <w:rsid w:val="00780142"/>
    <w:rsid w:val="00780334"/>
    <w:rsid w:val="0078043C"/>
    <w:rsid w:val="007805C1"/>
    <w:rsid w:val="00780B0E"/>
    <w:rsid w:val="00780B22"/>
    <w:rsid w:val="00780F4A"/>
    <w:rsid w:val="00780F7C"/>
    <w:rsid w:val="007810D8"/>
    <w:rsid w:val="00781255"/>
    <w:rsid w:val="007812A0"/>
    <w:rsid w:val="007813CF"/>
    <w:rsid w:val="0078141C"/>
    <w:rsid w:val="007816F6"/>
    <w:rsid w:val="00781700"/>
    <w:rsid w:val="00781B2D"/>
    <w:rsid w:val="00781FFC"/>
    <w:rsid w:val="00782102"/>
    <w:rsid w:val="007821B4"/>
    <w:rsid w:val="00782239"/>
    <w:rsid w:val="007824A3"/>
    <w:rsid w:val="0078272B"/>
    <w:rsid w:val="0078276F"/>
    <w:rsid w:val="00782AAE"/>
    <w:rsid w:val="00782C01"/>
    <w:rsid w:val="00782C4E"/>
    <w:rsid w:val="00782CB9"/>
    <w:rsid w:val="00783119"/>
    <w:rsid w:val="007832B2"/>
    <w:rsid w:val="007833AC"/>
    <w:rsid w:val="00783532"/>
    <w:rsid w:val="007836BA"/>
    <w:rsid w:val="0078373B"/>
    <w:rsid w:val="007838FE"/>
    <w:rsid w:val="0078393F"/>
    <w:rsid w:val="00783AE2"/>
    <w:rsid w:val="00783D9F"/>
    <w:rsid w:val="00783F7C"/>
    <w:rsid w:val="00783F9C"/>
    <w:rsid w:val="0078467F"/>
    <w:rsid w:val="00784686"/>
    <w:rsid w:val="00784689"/>
    <w:rsid w:val="007848B0"/>
    <w:rsid w:val="00784AAE"/>
    <w:rsid w:val="00784BD4"/>
    <w:rsid w:val="007851E3"/>
    <w:rsid w:val="00785372"/>
    <w:rsid w:val="00785607"/>
    <w:rsid w:val="00785E5A"/>
    <w:rsid w:val="00785FDA"/>
    <w:rsid w:val="00786035"/>
    <w:rsid w:val="0078609D"/>
    <w:rsid w:val="0078624B"/>
    <w:rsid w:val="0078650C"/>
    <w:rsid w:val="00786518"/>
    <w:rsid w:val="00786CB6"/>
    <w:rsid w:val="00786E78"/>
    <w:rsid w:val="00786ECA"/>
    <w:rsid w:val="0078705C"/>
    <w:rsid w:val="007870A0"/>
    <w:rsid w:val="007870D5"/>
    <w:rsid w:val="0078738D"/>
    <w:rsid w:val="007873B9"/>
    <w:rsid w:val="007874D1"/>
    <w:rsid w:val="007877EC"/>
    <w:rsid w:val="007878E3"/>
    <w:rsid w:val="00787903"/>
    <w:rsid w:val="0078794A"/>
    <w:rsid w:val="00787994"/>
    <w:rsid w:val="00787C03"/>
    <w:rsid w:val="00787FC7"/>
    <w:rsid w:val="0079004E"/>
    <w:rsid w:val="0079018D"/>
    <w:rsid w:val="007903C2"/>
    <w:rsid w:val="00790515"/>
    <w:rsid w:val="00790675"/>
    <w:rsid w:val="00790B3F"/>
    <w:rsid w:val="00790B9E"/>
    <w:rsid w:val="00790F4E"/>
    <w:rsid w:val="007910C4"/>
    <w:rsid w:val="00791613"/>
    <w:rsid w:val="007916CB"/>
    <w:rsid w:val="007916F9"/>
    <w:rsid w:val="007918B2"/>
    <w:rsid w:val="00791995"/>
    <w:rsid w:val="00791A70"/>
    <w:rsid w:val="00791ACC"/>
    <w:rsid w:val="00791E85"/>
    <w:rsid w:val="00791FC1"/>
    <w:rsid w:val="007924CC"/>
    <w:rsid w:val="007925B9"/>
    <w:rsid w:val="007929E7"/>
    <w:rsid w:val="007929F5"/>
    <w:rsid w:val="00792A70"/>
    <w:rsid w:val="00792B43"/>
    <w:rsid w:val="00792B81"/>
    <w:rsid w:val="00792BB4"/>
    <w:rsid w:val="00792D8C"/>
    <w:rsid w:val="00792E1F"/>
    <w:rsid w:val="00792EB7"/>
    <w:rsid w:val="00792EEB"/>
    <w:rsid w:val="007930DE"/>
    <w:rsid w:val="00793227"/>
    <w:rsid w:val="0079365B"/>
    <w:rsid w:val="00793764"/>
    <w:rsid w:val="007937B7"/>
    <w:rsid w:val="0079383F"/>
    <w:rsid w:val="007938F6"/>
    <w:rsid w:val="00793B9A"/>
    <w:rsid w:val="007940A4"/>
    <w:rsid w:val="007940D2"/>
    <w:rsid w:val="0079419F"/>
    <w:rsid w:val="00794283"/>
    <w:rsid w:val="007942B9"/>
    <w:rsid w:val="00794739"/>
    <w:rsid w:val="007947F1"/>
    <w:rsid w:val="00794ADD"/>
    <w:rsid w:val="00794E56"/>
    <w:rsid w:val="007950F0"/>
    <w:rsid w:val="007950FA"/>
    <w:rsid w:val="00795240"/>
    <w:rsid w:val="00795471"/>
    <w:rsid w:val="00795486"/>
    <w:rsid w:val="00795647"/>
    <w:rsid w:val="00795831"/>
    <w:rsid w:val="0079586B"/>
    <w:rsid w:val="00795A08"/>
    <w:rsid w:val="00795C06"/>
    <w:rsid w:val="00795E3B"/>
    <w:rsid w:val="00795E8C"/>
    <w:rsid w:val="00795EEA"/>
    <w:rsid w:val="00796124"/>
    <w:rsid w:val="0079627A"/>
    <w:rsid w:val="007962BB"/>
    <w:rsid w:val="00796545"/>
    <w:rsid w:val="00796590"/>
    <w:rsid w:val="007965A6"/>
    <w:rsid w:val="007965A9"/>
    <w:rsid w:val="007965F6"/>
    <w:rsid w:val="00796C2F"/>
    <w:rsid w:val="00796C89"/>
    <w:rsid w:val="00796CD6"/>
    <w:rsid w:val="00796EB4"/>
    <w:rsid w:val="00796F16"/>
    <w:rsid w:val="007972C3"/>
    <w:rsid w:val="0079737B"/>
    <w:rsid w:val="007974A7"/>
    <w:rsid w:val="0079777B"/>
    <w:rsid w:val="00797FB5"/>
    <w:rsid w:val="007A0013"/>
    <w:rsid w:val="007A0257"/>
    <w:rsid w:val="007A053A"/>
    <w:rsid w:val="007A07A0"/>
    <w:rsid w:val="007A092F"/>
    <w:rsid w:val="007A0C94"/>
    <w:rsid w:val="007A0CE6"/>
    <w:rsid w:val="007A0E09"/>
    <w:rsid w:val="007A0EDE"/>
    <w:rsid w:val="007A13F6"/>
    <w:rsid w:val="007A144C"/>
    <w:rsid w:val="007A1629"/>
    <w:rsid w:val="007A1676"/>
    <w:rsid w:val="007A1D8C"/>
    <w:rsid w:val="007A1E64"/>
    <w:rsid w:val="007A1F84"/>
    <w:rsid w:val="007A22DB"/>
    <w:rsid w:val="007A2627"/>
    <w:rsid w:val="007A2782"/>
    <w:rsid w:val="007A2ADA"/>
    <w:rsid w:val="007A2B27"/>
    <w:rsid w:val="007A2D62"/>
    <w:rsid w:val="007A2E36"/>
    <w:rsid w:val="007A3030"/>
    <w:rsid w:val="007A3083"/>
    <w:rsid w:val="007A3099"/>
    <w:rsid w:val="007A3152"/>
    <w:rsid w:val="007A31E8"/>
    <w:rsid w:val="007A323A"/>
    <w:rsid w:val="007A3308"/>
    <w:rsid w:val="007A338F"/>
    <w:rsid w:val="007A35B7"/>
    <w:rsid w:val="007A36EF"/>
    <w:rsid w:val="007A36F7"/>
    <w:rsid w:val="007A38E2"/>
    <w:rsid w:val="007A3AA9"/>
    <w:rsid w:val="007A3B33"/>
    <w:rsid w:val="007A3B45"/>
    <w:rsid w:val="007A3B5B"/>
    <w:rsid w:val="007A3C82"/>
    <w:rsid w:val="007A3D7D"/>
    <w:rsid w:val="007A3F16"/>
    <w:rsid w:val="007A3F6E"/>
    <w:rsid w:val="007A4164"/>
    <w:rsid w:val="007A41F6"/>
    <w:rsid w:val="007A4220"/>
    <w:rsid w:val="007A4473"/>
    <w:rsid w:val="007A454A"/>
    <w:rsid w:val="007A45ED"/>
    <w:rsid w:val="007A4947"/>
    <w:rsid w:val="007A4A2D"/>
    <w:rsid w:val="007A4E12"/>
    <w:rsid w:val="007A4F36"/>
    <w:rsid w:val="007A513C"/>
    <w:rsid w:val="007A516A"/>
    <w:rsid w:val="007A587A"/>
    <w:rsid w:val="007A58A4"/>
    <w:rsid w:val="007A58F4"/>
    <w:rsid w:val="007A5A2E"/>
    <w:rsid w:val="007A5AD4"/>
    <w:rsid w:val="007A5C37"/>
    <w:rsid w:val="007A5D3F"/>
    <w:rsid w:val="007A5E4C"/>
    <w:rsid w:val="007A5F57"/>
    <w:rsid w:val="007A5FD3"/>
    <w:rsid w:val="007A63E6"/>
    <w:rsid w:val="007A645E"/>
    <w:rsid w:val="007A665A"/>
    <w:rsid w:val="007A66C6"/>
    <w:rsid w:val="007A6720"/>
    <w:rsid w:val="007A6AD9"/>
    <w:rsid w:val="007A6DA8"/>
    <w:rsid w:val="007A6DD6"/>
    <w:rsid w:val="007A6E3C"/>
    <w:rsid w:val="007A70D7"/>
    <w:rsid w:val="007A7246"/>
    <w:rsid w:val="007A743C"/>
    <w:rsid w:val="007A7785"/>
    <w:rsid w:val="007A79E5"/>
    <w:rsid w:val="007B01DD"/>
    <w:rsid w:val="007B0200"/>
    <w:rsid w:val="007B0514"/>
    <w:rsid w:val="007B0523"/>
    <w:rsid w:val="007B053A"/>
    <w:rsid w:val="007B0A7A"/>
    <w:rsid w:val="007B0B08"/>
    <w:rsid w:val="007B0B09"/>
    <w:rsid w:val="007B0BAD"/>
    <w:rsid w:val="007B0DB8"/>
    <w:rsid w:val="007B0E18"/>
    <w:rsid w:val="007B0FCF"/>
    <w:rsid w:val="007B1069"/>
    <w:rsid w:val="007B1388"/>
    <w:rsid w:val="007B172C"/>
    <w:rsid w:val="007B18CD"/>
    <w:rsid w:val="007B18CE"/>
    <w:rsid w:val="007B1926"/>
    <w:rsid w:val="007B1AEB"/>
    <w:rsid w:val="007B1B3C"/>
    <w:rsid w:val="007B1C8F"/>
    <w:rsid w:val="007B1F5D"/>
    <w:rsid w:val="007B23DF"/>
    <w:rsid w:val="007B24BC"/>
    <w:rsid w:val="007B2510"/>
    <w:rsid w:val="007B27AF"/>
    <w:rsid w:val="007B280A"/>
    <w:rsid w:val="007B28BE"/>
    <w:rsid w:val="007B29D0"/>
    <w:rsid w:val="007B2A2A"/>
    <w:rsid w:val="007B2AE2"/>
    <w:rsid w:val="007B2D3B"/>
    <w:rsid w:val="007B2D9F"/>
    <w:rsid w:val="007B2E5D"/>
    <w:rsid w:val="007B32DC"/>
    <w:rsid w:val="007B35C6"/>
    <w:rsid w:val="007B35C8"/>
    <w:rsid w:val="007B3672"/>
    <w:rsid w:val="007B36FD"/>
    <w:rsid w:val="007B3A92"/>
    <w:rsid w:val="007B3BB7"/>
    <w:rsid w:val="007B3BBB"/>
    <w:rsid w:val="007B3C84"/>
    <w:rsid w:val="007B3D51"/>
    <w:rsid w:val="007B3EAC"/>
    <w:rsid w:val="007B434F"/>
    <w:rsid w:val="007B43F9"/>
    <w:rsid w:val="007B46F2"/>
    <w:rsid w:val="007B494E"/>
    <w:rsid w:val="007B4CA0"/>
    <w:rsid w:val="007B4F58"/>
    <w:rsid w:val="007B503B"/>
    <w:rsid w:val="007B52B4"/>
    <w:rsid w:val="007B543E"/>
    <w:rsid w:val="007B5455"/>
    <w:rsid w:val="007B55A0"/>
    <w:rsid w:val="007B5B9A"/>
    <w:rsid w:val="007B5DD5"/>
    <w:rsid w:val="007B5E2F"/>
    <w:rsid w:val="007B6075"/>
    <w:rsid w:val="007B6096"/>
    <w:rsid w:val="007B60E0"/>
    <w:rsid w:val="007B6209"/>
    <w:rsid w:val="007B637A"/>
    <w:rsid w:val="007B637C"/>
    <w:rsid w:val="007B667B"/>
    <w:rsid w:val="007B670E"/>
    <w:rsid w:val="007B6848"/>
    <w:rsid w:val="007B697E"/>
    <w:rsid w:val="007B6C87"/>
    <w:rsid w:val="007B6D16"/>
    <w:rsid w:val="007B6D39"/>
    <w:rsid w:val="007B6D66"/>
    <w:rsid w:val="007B70E4"/>
    <w:rsid w:val="007B768B"/>
    <w:rsid w:val="007B7EEE"/>
    <w:rsid w:val="007B7F52"/>
    <w:rsid w:val="007C0282"/>
    <w:rsid w:val="007C02EF"/>
    <w:rsid w:val="007C0359"/>
    <w:rsid w:val="007C063C"/>
    <w:rsid w:val="007C0679"/>
    <w:rsid w:val="007C0750"/>
    <w:rsid w:val="007C078D"/>
    <w:rsid w:val="007C0949"/>
    <w:rsid w:val="007C0CEC"/>
    <w:rsid w:val="007C11CC"/>
    <w:rsid w:val="007C1375"/>
    <w:rsid w:val="007C157F"/>
    <w:rsid w:val="007C1630"/>
    <w:rsid w:val="007C16E7"/>
    <w:rsid w:val="007C172E"/>
    <w:rsid w:val="007C17A0"/>
    <w:rsid w:val="007C19D4"/>
    <w:rsid w:val="007C1B54"/>
    <w:rsid w:val="007C1EE1"/>
    <w:rsid w:val="007C1F7D"/>
    <w:rsid w:val="007C200B"/>
    <w:rsid w:val="007C215F"/>
    <w:rsid w:val="007C2188"/>
    <w:rsid w:val="007C2956"/>
    <w:rsid w:val="007C3041"/>
    <w:rsid w:val="007C30C5"/>
    <w:rsid w:val="007C31B0"/>
    <w:rsid w:val="007C31CE"/>
    <w:rsid w:val="007C3269"/>
    <w:rsid w:val="007C32BD"/>
    <w:rsid w:val="007C32DF"/>
    <w:rsid w:val="007C335E"/>
    <w:rsid w:val="007C3724"/>
    <w:rsid w:val="007C3779"/>
    <w:rsid w:val="007C3939"/>
    <w:rsid w:val="007C3A4A"/>
    <w:rsid w:val="007C3A9C"/>
    <w:rsid w:val="007C3AB4"/>
    <w:rsid w:val="007C3B44"/>
    <w:rsid w:val="007C3B9C"/>
    <w:rsid w:val="007C3CC3"/>
    <w:rsid w:val="007C3CEA"/>
    <w:rsid w:val="007C3EA6"/>
    <w:rsid w:val="007C3F21"/>
    <w:rsid w:val="007C40B7"/>
    <w:rsid w:val="007C445C"/>
    <w:rsid w:val="007C445F"/>
    <w:rsid w:val="007C45A8"/>
    <w:rsid w:val="007C48EC"/>
    <w:rsid w:val="007C4988"/>
    <w:rsid w:val="007C4C62"/>
    <w:rsid w:val="007C4DDE"/>
    <w:rsid w:val="007C4E90"/>
    <w:rsid w:val="007C530D"/>
    <w:rsid w:val="007C53D6"/>
    <w:rsid w:val="007C542E"/>
    <w:rsid w:val="007C561F"/>
    <w:rsid w:val="007C5F91"/>
    <w:rsid w:val="007C5FCD"/>
    <w:rsid w:val="007C61B2"/>
    <w:rsid w:val="007C61C3"/>
    <w:rsid w:val="007C66A3"/>
    <w:rsid w:val="007C6746"/>
    <w:rsid w:val="007C67B4"/>
    <w:rsid w:val="007C6C4E"/>
    <w:rsid w:val="007C6D3A"/>
    <w:rsid w:val="007C6F35"/>
    <w:rsid w:val="007C6F4B"/>
    <w:rsid w:val="007C740A"/>
    <w:rsid w:val="007C7535"/>
    <w:rsid w:val="007C76FD"/>
    <w:rsid w:val="007C783C"/>
    <w:rsid w:val="007C7A64"/>
    <w:rsid w:val="007C7B30"/>
    <w:rsid w:val="007C7CC2"/>
    <w:rsid w:val="007C7D3A"/>
    <w:rsid w:val="007C7D53"/>
    <w:rsid w:val="007C7EC0"/>
    <w:rsid w:val="007C7EE0"/>
    <w:rsid w:val="007D00C4"/>
    <w:rsid w:val="007D0111"/>
    <w:rsid w:val="007D0126"/>
    <w:rsid w:val="007D0218"/>
    <w:rsid w:val="007D0389"/>
    <w:rsid w:val="007D053C"/>
    <w:rsid w:val="007D05A1"/>
    <w:rsid w:val="007D0634"/>
    <w:rsid w:val="007D0838"/>
    <w:rsid w:val="007D0943"/>
    <w:rsid w:val="007D09D5"/>
    <w:rsid w:val="007D0C3C"/>
    <w:rsid w:val="007D10EC"/>
    <w:rsid w:val="007D10FB"/>
    <w:rsid w:val="007D11C2"/>
    <w:rsid w:val="007D1609"/>
    <w:rsid w:val="007D17FE"/>
    <w:rsid w:val="007D1816"/>
    <w:rsid w:val="007D1B25"/>
    <w:rsid w:val="007D1BE4"/>
    <w:rsid w:val="007D1D92"/>
    <w:rsid w:val="007D1F44"/>
    <w:rsid w:val="007D1F69"/>
    <w:rsid w:val="007D2028"/>
    <w:rsid w:val="007D2087"/>
    <w:rsid w:val="007D20D7"/>
    <w:rsid w:val="007D232C"/>
    <w:rsid w:val="007D23E9"/>
    <w:rsid w:val="007D23F1"/>
    <w:rsid w:val="007D24C3"/>
    <w:rsid w:val="007D27E1"/>
    <w:rsid w:val="007D2AB8"/>
    <w:rsid w:val="007D2B55"/>
    <w:rsid w:val="007D2BE2"/>
    <w:rsid w:val="007D2C50"/>
    <w:rsid w:val="007D2D4A"/>
    <w:rsid w:val="007D2D4F"/>
    <w:rsid w:val="007D2D85"/>
    <w:rsid w:val="007D30B6"/>
    <w:rsid w:val="007D31D5"/>
    <w:rsid w:val="007D33AF"/>
    <w:rsid w:val="007D3501"/>
    <w:rsid w:val="007D3636"/>
    <w:rsid w:val="007D3759"/>
    <w:rsid w:val="007D37BB"/>
    <w:rsid w:val="007D39C4"/>
    <w:rsid w:val="007D3BA9"/>
    <w:rsid w:val="007D3C0A"/>
    <w:rsid w:val="007D3E61"/>
    <w:rsid w:val="007D3EC2"/>
    <w:rsid w:val="007D4200"/>
    <w:rsid w:val="007D4714"/>
    <w:rsid w:val="007D4864"/>
    <w:rsid w:val="007D49A8"/>
    <w:rsid w:val="007D49BE"/>
    <w:rsid w:val="007D49E6"/>
    <w:rsid w:val="007D4DE3"/>
    <w:rsid w:val="007D5055"/>
    <w:rsid w:val="007D518F"/>
    <w:rsid w:val="007D5225"/>
    <w:rsid w:val="007D5781"/>
    <w:rsid w:val="007D5911"/>
    <w:rsid w:val="007D5930"/>
    <w:rsid w:val="007D5993"/>
    <w:rsid w:val="007D5B62"/>
    <w:rsid w:val="007D5BCC"/>
    <w:rsid w:val="007D5D1A"/>
    <w:rsid w:val="007D5FD9"/>
    <w:rsid w:val="007D5FE8"/>
    <w:rsid w:val="007D67BF"/>
    <w:rsid w:val="007D69E9"/>
    <w:rsid w:val="007D6A25"/>
    <w:rsid w:val="007D6BA0"/>
    <w:rsid w:val="007D6D30"/>
    <w:rsid w:val="007D6D6D"/>
    <w:rsid w:val="007D6F10"/>
    <w:rsid w:val="007D6FCC"/>
    <w:rsid w:val="007D71A1"/>
    <w:rsid w:val="007D7370"/>
    <w:rsid w:val="007D7449"/>
    <w:rsid w:val="007D748B"/>
    <w:rsid w:val="007D768D"/>
    <w:rsid w:val="007D7A24"/>
    <w:rsid w:val="007D7A49"/>
    <w:rsid w:val="007D7B77"/>
    <w:rsid w:val="007D7C4F"/>
    <w:rsid w:val="007D7EEC"/>
    <w:rsid w:val="007D7FF3"/>
    <w:rsid w:val="007E0080"/>
    <w:rsid w:val="007E043E"/>
    <w:rsid w:val="007E0453"/>
    <w:rsid w:val="007E0488"/>
    <w:rsid w:val="007E081D"/>
    <w:rsid w:val="007E0852"/>
    <w:rsid w:val="007E08D9"/>
    <w:rsid w:val="007E0989"/>
    <w:rsid w:val="007E09EA"/>
    <w:rsid w:val="007E0C05"/>
    <w:rsid w:val="007E0FD1"/>
    <w:rsid w:val="007E169F"/>
    <w:rsid w:val="007E17A3"/>
    <w:rsid w:val="007E18B7"/>
    <w:rsid w:val="007E198D"/>
    <w:rsid w:val="007E1B2A"/>
    <w:rsid w:val="007E1B3E"/>
    <w:rsid w:val="007E1C2C"/>
    <w:rsid w:val="007E1C93"/>
    <w:rsid w:val="007E271A"/>
    <w:rsid w:val="007E2743"/>
    <w:rsid w:val="007E2984"/>
    <w:rsid w:val="007E29E7"/>
    <w:rsid w:val="007E2C89"/>
    <w:rsid w:val="007E2CEA"/>
    <w:rsid w:val="007E311A"/>
    <w:rsid w:val="007E335E"/>
    <w:rsid w:val="007E33F5"/>
    <w:rsid w:val="007E352F"/>
    <w:rsid w:val="007E3727"/>
    <w:rsid w:val="007E3B8D"/>
    <w:rsid w:val="007E3CB0"/>
    <w:rsid w:val="007E3D45"/>
    <w:rsid w:val="007E3D46"/>
    <w:rsid w:val="007E3D6D"/>
    <w:rsid w:val="007E3DA9"/>
    <w:rsid w:val="007E42CA"/>
    <w:rsid w:val="007E45B4"/>
    <w:rsid w:val="007E4672"/>
    <w:rsid w:val="007E4675"/>
    <w:rsid w:val="007E46A0"/>
    <w:rsid w:val="007E4AF8"/>
    <w:rsid w:val="007E4B9C"/>
    <w:rsid w:val="007E4F10"/>
    <w:rsid w:val="007E5069"/>
    <w:rsid w:val="007E516C"/>
    <w:rsid w:val="007E51C9"/>
    <w:rsid w:val="007E525F"/>
    <w:rsid w:val="007E52BE"/>
    <w:rsid w:val="007E5416"/>
    <w:rsid w:val="007E54BF"/>
    <w:rsid w:val="007E54C3"/>
    <w:rsid w:val="007E5B12"/>
    <w:rsid w:val="007E5D28"/>
    <w:rsid w:val="007E5D6B"/>
    <w:rsid w:val="007E6017"/>
    <w:rsid w:val="007E617A"/>
    <w:rsid w:val="007E62AA"/>
    <w:rsid w:val="007E63BB"/>
    <w:rsid w:val="007E6490"/>
    <w:rsid w:val="007E6633"/>
    <w:rsid w:val="007E66BF"/>
    <w:rsid w:val="007E67A8"/>
    <w:rsid w:val="007E6865"/>
    <w:rsid w:val="007E6C47"/>
    <w:rsid w:val="007E6D04"/>
    <w:rsid w:val="007E6D92"/>
    <w:rsid w:val="007E6E52"/>
    <w:rsid w:val="007E6EA9"/>
    <w:rsid w:val="007E6EE6"/>
    <w:rsid w:val="007E7147"/>
    <w:rsid w:val="007E7261"/>
    <w:rsid w:val="007E736D"/>
    <w:rsid w:val="007E74FF"/>
    <w:rsid w:val="007E798D"/>
    <w:rsid w:val="007E7B58"/>
    <w:rsid w:val="007E7BF8"/>
    <w:rsid w:val="007E7C31"/>
    <w:rsid w:val="007E7C9E"/>
    <w:rsid w:val="007F0181"/>
    <w:rsid w:val="007F0216"/>
    <w:rsid w:val="007F0260"/>
    <w:rsid w:val="007F04E0"/>
    <w:rsid w:val="007F070B"/>
    <w:rsid w:val="007F0863"/>
    <w:rsid w:val="007F08DB"/>
    <w:rsid w:val="007F0AD0"/>
    <w:rsid w:val="007F0AE1"/>
    <w:rsid w:val="007F0CAC"/>
    <w:rsid w:val="007F0D08"/>
    <w:rsid w:val="007F0E35"/>
    <w:rsid w:val="007F0F74"/>
    <w:rsid w:val="007F1250"/>
    <w:rsid w:val="007F15FE"/>
    <w:rsid w:val="007F16B2"/>
    <w:rsid w:val="007F1A52"/>
    <w:rsid w:val="007F1A86"/>
    <w:rsid w:val="007F1A9A"/>
    <w:rsid w:val="007F1AFC"/>
    <w:rsid w:val="007F1C87"/>
    <w:rsid w:val="007F1F3F"/>
    <w:rsid w:val="007F20B3"/>
    <w:rsid w:val="007F20D0"/>
    <w:rsid w:val="007F2459"/>
    <w:rsid w:val="007F25AC"/>
    <w:rsid w:val="007F2796"/>
    <w:rsid w:val="007F2799"/>
    <w:rsid w:val="007F2846"/>
    <w:rsid w:val="007F2968"/>
    <w:rsid w:val="007F2A44"/>
    <w:rsid w:val="007F2C2A"/>
    <w:rsid w:val="007F2C7D"/>
    <w:rsid w:val="007F2E23"/>
    <w:rsid w:val="007F2F38"/>
    <w:rsid w:val="007F3047"/>
    <w:rsid w:val="007F3154"/>
    <w:rsid w:val="007F3159"/>
    <w:rsid w:val="007F36D3"/>
    <w:rsid w:val="007F37B3"/>
    <w:rsid w:val="007F39CA"/>
    <w:rsid w:val="007F3B63"/>
    <w:rsid w:val="007F3F47"/>
    <w:rsid w:val="007F3FE0"/>
    <w:rsid w:val="007F429B"/>
    <w:rsid w:val="007F4386"/>
    <w:rsid w:val="007F43B5"/>
    <w:rsid w:val="007F4561"/>
    <w:rsid w:val="007F4C0C"/>
    <w:rsid w:val="007F4D1A"/>
    <w:rsid w:val="007F4D83"/>
    <w:rsid w:val="007F4EFF"/>
    <w:rsid w:val="007F4FE9"/>
    <w:rsid w:val="007F54A8"/>
    <w:rsid w:val="007F5530"/>
    <w:rsid w:val="007F55BD"/>
    <w:rsid w:val="007F575C"/>
    <w:rsid w:val="007F585D"/>
    <w:rsid w:val="007F5AB2"/>
    <w:rsid w:val="007F608F"/>
    <w:rsid w:val="007F6681"/>
    <w:rsid w:val="007F6711"/>
    <w:rsid w:val="007F69D6"/>
    <w:rsid w:val="007F6B67"/>
    <w:rsid w:val="007F6B7B"/>
    <w:rsid w:val="007F6BA9"/>
    <w:rsid w:val="007F6C13"/>
    <w:rsid w:val="007F6CCE"/>
    <w:rsid w:val="007F6E88"/>
    <w:rsid w:val="007F71C2"/>
    <w:rsid w:val="007F7313"/>
    <w:rsid w:val="007F73CC"/>
    <w:rsid w:val="007F7475"/>
    <w:rsid w:val="007F759B"/>
    <w:rsid w:val="007F7602"/>
    <w:rsid w:val="007F7606"/>
    <w:rsid w:val="007F7829"/>
    <w:rsid w:val="007F7B91"/>
    <w:rsid w:val="007F7C56"/>
    <w:rsid w:val="007F7D17"/>
    <w:rsid w:val="007F7DA5"/>
    <w:rsid w:val="007F7DBC"/>
    <w:rsid w:val="007F7F42"/>
    <w:rsid w:val="00800161"/>
    <w:rsid w:val="00800242"/>
    <w:rsid w:val="008006B4"/>
    <w:rsid w:val="00800703"/>
    <w:rsid w:val="008007EE"/>
    <w:rsid w:val="00800869"/>
    <w:rsid w:val="00800A3B"/>
    <w:rsid w:val="00800D6A"/>
    <w:rsid w:val="00801035"/>
    <w:rsid w:val="008013E0"/>
    <w:rsid w:val="0080147C"/>
    <w:rsid w:val="0080149A"/>
    <w:rsid w:val="008014D0"/>
    <w:rsid w:val="008014DC"/>
    <w:rsid w:val="0080152D"/>
    <w:rsid w:val="00801682"/>
    <w:rsid w:val="00801A1E"/>
    <w:rsid w:val="00801D76"/>
    <w:rsid w:val="00801DD2"/>
    <w:rsid w:val="00802272"/>
    <w:rsid w:val="0080275E"/>
    <w:rsid w:val="00802851"/>
    <w:rsid w:val="00802A10"/>
    <w:rsid w:val="00802B1C"/>
    <w:rsid w:val="00802F36"/>
    <w:rsid w:val="00803055"/>
    <w:rsid w:val="008030DF"/>
    <w:rsid w:val="00803182"/>
    <w:rsid w:val="0080326F"/>
    <w:rsid w:val="0080328F"/>
    <w:rsid w:val="008032EF"/>
    <w:rsid w:val="00803A74"/>
    <w:rsid w:val="00803B4E"/>
    <w:rsid w:val="00803CD9"/>
    <w:rsid w:val="0080415D"/>
    <w:rsid w:val="008043F0"/>
    <w:rsid w:val="00804418"/>
    <w:rsid w:val="0080445A"/>
    <w:rsid w:val="0080468A"/>
    <w:rsid w:val="00804706"/>
    <w:rsid w:val="0080483A"/>
    <w:rsid w:val="00804957"/>
    <w:rsid w:val="00804CD0"/>
    <w:rsid w:val="00804E3D"/>
    <w:rsid w:val="00804E40"/>
    <w:rsid w:val="00804F8F"/>
    <w:rsid w:val="0080511F"/>
    <w:rsid w:val="008052A3"/>
    <w:rsid w:val="008053F2"/>
    <w:rsid w:val="008054AA"/>
    <w:rsid w:val="0080578C"/>
    <w:rsid w:val="008057FA"/>
    <w:rsid w:val="0080580D"/>
    <w:rsid w:val="00805878"/>
    <w:rsid w:val="00805A7E"/>
    <w:rsid w:val="00805B4C"/>
    <w:rsid w:val="00806040"/>
    <w:rsid w:val="00806530"/>
    <w:rsid w:val="0080663D"/>
    <w:rsid w:val="008066DC"/>
    <w:rsid w:val="008067A1"/>
    <w:rsid w:val="008067BB"/>
    <w:rsid w:val="00806850"/>
    <w:rsid w:val="00806DC2"/>
    <w:rsid w:val="00807210"/>
    <w:rsid w:val="00807270"/>
    <w:rsid w:val="0080739E"/>
    <w:rsid w:val="008073A2"/>
    <w:rsid w:val="0080766F"/>
    <w:rsid w:val="008076A2"/>
    <w:rsid w:val="0080773E"/>
    <w:rsid w:val="00807980"/>
    <w:rsid w:val="008079FC"/>
    <w:rsid w:val="00807D21"/>
    <w:rsid w:val="008102D3"/>
    <w:rsid w:val="00810377"/>
    <w:rsid w:val="0081046D"/>
    <w:rsid w:val="0081053E"/>
    <w:rsid w:val="00810646"/>
    <w:rsid w:val="0081068B"/>
    <w:rsid w:val="008107BB"/>
    <w:rsid w:val="00810944"/>
    <w:rsid w:val="0081096F"/>
    <w:rsid w:val="00810D2B"/>
    <w:rsid w:val="00810D9A"/>
    <w:rsid w:val="00810E07"/>
    <w:rsid w:val="00810F5E"/>
    <w:rsid w:val="0081113B"/>
    <w:rsid w:val="008111ED"/>
    <w:rsid w:val="00811217"/>
    <w:rsid w:val="00811316"/>
    <w:rsid w:val="0081135B"/>
    <w:rsid w:val="00811A8A"/>
    <w:rsid w:val="00811AB6"/>
    <w:rsid w:val="00811F2F"/>
    <w:rsid w:val="00811F77"/>
    <w:rsid w:val="0081209B"/>
    <w:rsid w:val="00812266"/>
    <w:rsid w:val="00812610"/>
    <w:rsid w:val="008126A9"/>
    <w:rsid w:val="00812AD0"/>
    <w:rsid w:val="00812C53"/>
    <w:rsid w:val="00812C99"/>
    <w:rsid w:val="00812CFD"/>
    <w:rsid w:val="00812E89"/>
    <w:rsid w:val="00813007"/>
    <w:rsid w:val="0081318D"/>
    <w:rsid w:val="00813295"/>
    <w:rsid w:val="00813672"/>
    <w:rsid w:val="008137CE"/>
    <w:rsid w:val="0081388B"/>
    <w:rsid w:val="0081394D"/>
    <w:rsid w:val="00813D74"/>
    <w:rsid w:val="00813E0B"/>
    <w:rsid w:val="00813EDA"/>
    <w:rsid w:val="0081428C"/>
    <w:rsid w:val="008143FE"/>
    <w:rsid w:val="008147B7"/>
    <w:rsid w:val="008148C1"/>
    <w:rsid w:val="00814939"/>
    <w:rsid w:val="0081495B"/>
    <w:rsid w:val="00814AB7"/>
    <w:rsid w:val="00814BA2"/>
    <w:rsid w:val="00814C63"/>
    <w:rsid w:val="00815361"/>
    <w:rsid w:val="00815627"/>
    <w:rsid w:val="00815726"/>
    <w:rsid w:val="00815746"/>
    <w:rsid w:val="008159E7"/>
    <w:rsid w:val="00815AB6"/>
    <w:rsid w:val="00815C22"/>
    <w:rsid w:val="00815C2D"/>
    <w:rsid w:val="008163AB"/>
    <w:rsid w:val="008163B9"/>
    <w:rsid w:val="008165B3"/>
    <w:rsid w:val="008166D2"/>
    <w:rsid w:val="00816721"/>
    <w:rsid w:val="0081696B"/>
    <w:rsid w:val="00816AC2"/>
    <w:rsid w:val="00816E0A"/>
    <w:rsid w:val="00816E30"/>
    <w:rsid w:val="00816F95"/>
    <w:rsid w:val="0081718A"/>
    <w:rsid w:val="0081735A"/>
    <w:rsid w:val="00817440"/>
    <w:rsid w:val="00817732"/>
    <w:rsid w:val="0081788B"/>
    <w:rsid w:val="008179D4"/>
    <w:rsid w:val="00817A7C"/>
    <w:rsid w:val="00817AAB"/>
    <w:rsid w:val="00820326"/>
    <w:rsid w:val="008205A7"/>
    <w:rsid w:val="00820629"/>
    <w:rsid w:val="00820668"/>
    <w:rsid w:val="00820799"/>
    <w:rsid w:val="008208E1"/>
    <w:rsid w:val="0082091D"/>
    <w:rsid w:val="00820C36"/>
    <w:rsid w:val="00820EC2"/>
    <w:rsid w:val="008211C0"/>
    <w:rsid w:val="008211E1"/>
    <w:rsid w:val="008211F7"/>
    <w:rsid w:val="0082161D"/>
    <w:rsid w:val="00821949"/>
    <w:rsid w:val="0082251E"/>
    <w:rsid w:val="008227F0"/>
    <w:rsid w:val="00822A71"/>
    <w:rsid w:val="00822A78"/>
    <w:rsid w:val="00822B9C"/>
    <w:rsid w:val="00822E57"/>
    <w:rsid w:val="00822EF1"/>
    <w:rsid w:val="00822F23"/>
    <w:rsid w:val="00823262"/>
    <w:rsid w:val="00823331"/>
    <w:rsid w:val="0082380B"/>
    <w:rsid w:val="00823A8C"/>
    <w:rsid w:val="00823D27"/>
    <w:rsid w:val="00824170"/>
    <w:rsid w:val="00824199"/>
    <w:rsid w:val="00824468"/>
    <w:rsid w:val="0082457A"/>
    <w:rsid w:val="008248B2"/>
    <w:rsid w:val="00824993"/>
    <w:rsid w:val="00824B65"/>
    <w:rsid w:val="00824C23"/>
    <w:rsid w:val="00824F86"/>
    <w:rsid w:val="0082522E"/>
    <w:rsid w:val="0082523C"/>
    <w:rsid w:val="00825483"/>
    <w:rsid w:val="008254FE"/>
    <w:rsid w:val="0082584A"/>
    <w:rsid w:val="00825957"/>
    <w:rsid w:val="00825A5B"/>
    <w:rsid w:val="00825C09"/>
    <w:rsid w:val="00825D44"/>
    <w:rsid w:val="00825EAA"/>
    <w:rsid w:val="00825FC4"/>
    <w:rsid w:val="008260B1"/>
    <w:rsid w:val="00826358"/>
    <w:rsid w:val="008263CE"/>
    <w:rsid w:val="008266B8"/>
    <w:rsid w:val="00826B82"/>
    <w:rsid w:val="00826CC5"/>
    <w:rsid w:val="00826D2C"/>
    <w:rsid w:val="00826D48"/>
    <w:rsid w:val="00826F84"/>
    <w:rsid w:val="008270AE"/>
    <w:rsid w:val="008278A6"/>
    <w:rsid w:val="008279F6"/>
    <w:rsid w:val="00827A7A"/>
    <w:rsid w:val="00827ACA"/>
    <w:rsid w:val="00827C06"/>
    <w:rsid w:val="00827E01"/>
    <w:rsid w:val="00827E80"/>
    <w:rsid w:val="00830063"/>
    <w:rsid w:val="00830100"/>
    <w:rsid w:val="00830174"/>
    <w:rsid w:val="008301CC"/>
    <w:rsid w:val="00830299"/>
    <w:rsid w:val="008305D1"/>
    <w:rsid w:val="008306B1"/>
    <w:rsid w:val="00830B4D"/>
    <w:rsid w:val="00830C46"/>
    <w:rsid w:val="00830D44"/>
    <w:rsid w:val="008311AA"/>
    <w:rsid w:val="00831473"/>
    <w:rsid w:val="00831554"/>
    <w:rsid w:val="008318C9"/>
    <w:rsid w:val="0083190F"/>
    <w:rsid w:val="008319BD"/>
    <w:rsid w:val="00831CA6"/>
    <w:rsid w:val="00831E08"/>
    <w:rsid w:val="008322B0"/>
    <w:rsid w:val="00832412"/>
    <w:rsid w:val="00832482"/>
    <w:rsid w:val="00832507"/>
    <w:rsid w:val="00832760"/>
    <w:rsid w:val="008328A0"/>
    <w:rsid w:val="008329AA"/>
    <w:rsid w:val="00832A9C"/>
    <w:rsid w:val="00832BE9"/>
    <w:rsid w:val="00832D4A"/>
    <w:rsid w:val="00832DC7"/>
    <w:rsid w:val="00832E5F"/>
    <w:rsid w:val="00832E85"/>
    <w:rsid w:val="008330CB"/>
    <w:rsid w:val="00833210"/>
    <w:rsid w:val="0083323E"/>
    <w:rsid w:val="00833306"/>
    <w:rsid w:val="00833411"/>
    <w:rsid w:val="0083361C"/>
    <w:rsid w:val="008339E3"/>
    <w:rsid w:val="00833A01"/>
    <w:rsid w:val="00833B60"/>
    <w:rsid w:val="00833EEA"/>
    <w:rsid w:val="008342B1"/>
    <w:rsid w:val="0083447C"/>
    <w:rsid w:val="00834581"/>
    <w:rsid w:val="0083463A"/>
    <w:rsid w:val="00834765"/>
    <w:rsid w:val="008348E4"/>
    <w:rsid w:val="00834ACC"/>
    <w:rsid w:val="00834BE2"/>
    <w:rsid w:val="00834C5A"/>
    <w:rsid w:val="00834EAA"/>
    <w:rsid w:val="008352D0"/>
    <w:rsid w:val="00835300"/>
    <w:rsid w:val="008356C3"/>
    <w:rsid w:val="008357BB"/>
    <w:rsid w:val="00835CB3"/>
    <w:rsid w:val="00836094"/>
    <w:rsid w:val="0083645C"/>
    <w:rsid w:val="008365CF"/>
    <w:rsid w:val="0083692C"/>
    <w:rsid w:val="00836AB7"/>
    <w:rsid w:val="00836CAA"/>
    <w:rsid w:val="00836F3D"/>
    <w:rsid w:val="00836FD3"/>
    <w:rsid w:val="008370AE"/>
    <w:rsid w:val="00837178"/>
    <w:rsid w:val="008371DE"/>
    <w:rsid w:val="00837261"/>
    <w:rsid w:val="00837320"/>
    <w:rsid w:val="0083753D"/>
    <w:rsid w:val="008376F1"/>
    <w:rsid w:val="00837A4E"/>
    <w:rsid w:val="00837AA0"/>
    <w:rsid w:val="00837AB8"/>
    <w:rsid w:val="00837BD8"/>
    <w:rsid w:val="00837D09"/>
    <w:rsid w:val="00837F60"/>
    <w:rsid w:val="00837FD6"/>
    <w:rsid w:val="00840271"/>
    <w:rsid w:val="0084048D"/>
    <w:rsid w:val="00840577"/>
    <w:rsid w:val="0084078F"/>
    <w:rsid w:val="008409DC"/>
    <w:rsid w:val="00840B63"/>
    <w:rsid w:val="00840D51"/>
    <w:rsid w:val="00840F60"/>
    <w:rsid w:val="00841851"/>
    <w:rsid w:val="008419F6"/>
    <w:rsid w:val="00841AF8"/>
    <w:rsid w:val="00841B67"/>
    <w:rsid w:val="00841B72"/>
    <w:rsid w:val="00841C8F"/>
    <w:rsid w:val="00841C9F"/>
    <w:rsid w:val="0084202A"/>
    <w:rsid w:val="00842130"/>
    <w:rsid w:val="008421B7"/>
    <w:rsid w:val="0084221E"/>
    <w:rsid w:val="00842B51"/>
    <w:rsid w:val="00842C33"/>
    <w:rsid w:val="00842DB4"/>
    <w:rsid w:val="00842EFB"/>
    <w:rsid w:val="00843145"/>
    <w:rsid w:val="00843449"/>
    <w:rsid w:val="00843580"/>
    <w:rsid w:val="00843711"/>
    <w:rsid w:val="0084387E"/>
    <w:rsid w:val="00843C90"/>
    <w:rsid w:val="00843DB9"/>
    <w:rsid w:val="008443AB"/>
    <w:rsid w:val="008445ED"/>
    <w:rsid w:val="00844619"/>
    <w:rsid w:val="0084477C"/>
    <w:rsid w:val="00844B6F"/>
    <w:rsid w:val="00844E38"/>
    <w:rsid w:val="00844EDC"/>
    <w:rsid w:val="0084526C"/>
    <w:rsid w:val="0084530F"/>
    <w:rsid w:val="008454B6"/>
    <w:rsid w:val="008455EF"/>
    <w:rsid w:val="008457BB"/>
    <w:rsid w:val="00845822"/>
    <w:rsid w:val="00845B6A"/>
    <w:rsid w:val="008462C7"/>
    <w:rsid w:val="008466EA"/>
    <w:rsid w:val="00846983"/>
    <w:rsid w:val="008471BA"/>
    <w:rsid w:val="0084758C"/>
    <w:rsid w:val="00847872"/>
    <w:rsid w:val="00847C68"/>
    <w:rsid w:val="00847DEA"/>
    <w:rsid w:val="00847EBA"/>
    <w:rsid w:val="0085008B"/>
    <w:rsid w:val="00850223"/>
    <w:rsid w:val="00850248"/>
    <w:rsid w:val="008503DA"/>
    <w:rsid w:val="008503F4"/>
    <w:rsid w:val="008504B3"/>
    <w:rsid w:val="008506DB"/>
    <w:rsid w:val="008506E0"/>
    <w:rsid w:val="00850867"/>
    <w:rsid w:val="00850980"/>
    <w:rsid w:val="008509E4"/>
    <w:rsid w:val="00850EAD"/>
    <w:rsid w:val="00850F63"/>
    <w:rsid w:val="00850F75"/>
    <w:rsid w:val="00850FE4"/>
    <w:rsid w:val="0085119C"/>
    <w:rsid w:val="008513FF"/>
    <w:rsid w:val="00851890"/>
    <w:rsid w:val="00851C0C"/>
    <w:rsid w:val="00851E46"/>
    <w:rsid w:val="00852038"/>
    <w:rsid w:val="0085206C"/>
    <w:rsid w:val="008520B3"/>
    <w:rsid w:val="008525A2"/>
    <w:rsid w:val="008525EB"/>
    <w:rsid w:val="00852878"/>
    <w:rsid w:val="00852A80"/>
    <w:rsid w:val="00852BB3"/>
    <w:rsid w:val="00852DE9"/>
    <w:rsid w:val="008531C6"/>
    <w:rsid w:val="008533C5"/>
    <w:rsid w:val="008535EB"/>
    <w:rsid w:val="008537F7"/>
    <w:rsid w:val="00853F47"/>
    <w:rsid w:val="00853F56"/>
    <w:rsid w:val="00853F82"/>
    <w:rsid w:val="00853FBE"/>
    <w:rsid w:val="008540B8"/>
    <w:rsid w:val="00854605"/>
    <w:rsid w:val="008546F3"/>
    <w:rsid w:val="00854787"/>
    <w:rsid w:val="008547C4"/>
    <w:rsid w:val="008548E1"/>
    <w:rsid w:val="00854A82"/>
    <w:rsid w:val="00854BAE"/>
    <w:rsid w:val="00854C63"/>
    <w:rsid w:val="0085526B"/>
    <w:rsid w:val="008556B8"/>
    <w:rsid w:val="008557E0"/>
    <w:rsid w:val="008558FA"/>
    <w:rsid w:val="00855ACD"/>
    <w:rsid w:val="00855AF6"/>
    <w:rsid w:val="00855B0A"/>
    <w:rsid w:val="00855C27"/>
    <w:rsid w:val="00855F2F"/>
    <w:rsid w:val="00855F66"/>
    <w:rsid w:val="00856185"/>
    <w:rsid w:val="008562BF"/>
    <w:rsid w:val="008565FC"/>
    <w:rsid w:val="00856603"/>
    <w:rsid w:val="0085668D"/>
    <w:rsid w:val="00856C99"/>
    <w:rsid w:val="00856FE4"/>
    <w:rsid w:val="008573AD"/>
    <w:rsid w:val="0085753A"/>
    <w:rsid w:val="0085758D"/>
    <w:rsid w:val="00857595"/>
    <w:rsid w:val="0085799A"/>
    <w:rsid w:val="00857B0F"/>
    <w:rsid w:val="00857C01"/>
    <w:rsid w:val="00857E89"/>
    <w:rsid w:val="00857EBE"/>
    <w:rsid w:val="00857F09"/>
    <w:rsid w:val="00857F5D"/>
    <w:rsid w:val="0086009C"/>
    <w:rsid w:val="00860182"/>
    <w:rsid w:val="00860198"/>
    <w:rsid w:val="008603AB"/>
    <w:rsid w:val="008603D6"/>
    <w:rsid w:val="008605A1"/>
    <w:rsid w:val="008606A9"/>
    <w:rsid w:val="0086088F"/>
    <w:rsid w:val="00860AE5"/>
    <w:rsid w:val="00860B6B"/>
    <w:rsid w:val="00860C8C"/>
    <w:rsid w:val="00860E46"/>
    <w:rsid w:val="00860F96"/>
    <w:rsid w:val="00860FE1"/>
    <w:rsid w:val="0086120C"/>
    <w:rsid w:val="008614B3"/>
    <w:rsid w:val="008614FC"/>
    <w:rsid w:val="00861501"/>
    <w:rsid w:val="0086164B"/>
    <w:rsid w:val="008616B7"/>
    <w:rsid w:val="008617C6"/>
    <w:rsid w:val="00861835"/>
    <w:rsid w:val="00861924"/>
    <w:rsid w:val="00861C3C"/>
    <w:rsid w:val="00861CD3"/>
    <w:rsid w:val="00861D4E"/>
    <w:rsid w:val="00861E3A"/>
    <w:rsid w:val="00861EEF"/>
    <w:rsid w:val="0086221D"/>
    <w:rsid w:val="00862232"/>
    <w:rsid w:val="008622F0"/>
    <w:rsid w:val="00862536"/>
    <w:rsid w:val="00862712"/>
    <w:rsid w:val="0086292A"/>
    <w:rsid w:val="00862A68"/>
    <w:rsid w:val="00862BAC"/>
    <w:rsid w:val="00862D15"/>
    <w:rsid w:val="00862D6D"/>
    <w:rsid w:val="0086303C"/>
    <w:rsid w:val="00863066"/>
    <w:rsid w:val="00863136"/>
    <w:rsid w:val="0086325A"/>
    <w:rsid w:val="008633C3"/>
    <w:rsid w:val="008633D6"/>
    <w:rsid w:val="008636F3"/>
    <w:rsid w:val="00863723"/>
    <w:rsid w:val="008637D5"/>
    <w:rsid w:val="00863973"/>
    <w:rsid w:val="0086399C"/>
    <w:rsid w:val="00863A06"/>
    <w:rsid w:val="00863A98"/>
    <w:rsid w:val="00863AC6"/>
    <w:rsid w:val="00863AFA"/>
    <w:rsid w:val="00863CB8"/>
    <w:rsid w:val="00864148"/>
    <w:rsid w:val="008642B6"/>
    <w:rsid w:val="008644F8"/>
    <w:rsid w:val="0086451A"/>
    <w:rsid w:val="0086476F"/>
    <w:rsid w:val="00864B35"/>
    <w:rsid w:val="00864B57"/>
    <w:rsid w:val="00864B62"/>
    <w:rsid w:val="00864F55"/>
    <w:rsid w:val="00864F97"/>
    <w:rsid w:val="00865023"/>
    <w:rsid w:val="00865104"/>
    <w:rsid w:val="00865141"/>
    <w:rsid w:val="00865296"/>
    <w:rsid w:val="008653B4"/>
    <w:rsid w:val="00865840"/>
    <w:rsid w:val="00865E34"/>
    <w:rsid w:val="00865FB7"/>
    <w:rsid w:val="008661A0"/>
    <w:rsid w:val="00866243"/>
    <w:rsid w:val="008662F7"/>
    <w:rsid w:val="00866597"/>
    <w:rsid w:val="0086678B"/>
    <w:rsid w:val="00866B1C"/>
    <w:rsid w:val="0086706C"/>
    <w:rsid w:val="0086733C"/>
    <w:rsid w:val="00867649"/>
    <w:rsid w:val="0086791E"/>
    <w:rsid w:val="008679F6"/>
    <w:rsid w:val="00867C5E"/>
    <w:rsid w:val="00867E85"/>
    <w:rsid w:val="00870021"/>
    <w:rsid w:val="008702A1"/>
    <w:rsid w:val="0087038C"/>
    <w:rsid w:val="0087042A"/>
    <w:rsid w:val="0087061D"/>
    <w:rsid w:val="00870907"/>
    <w:rsid w:val="00870A4B"/>
    <w:rsid w:val="00870B68"/>
    <w:rsid w:val="00870B88"/>
    <w:rsid w:val="00870C53"/>
    <w:rsid w:val="00870C83"/>
    <w:rsid w:val="008710B2"/>
    <w:rsid w:val="0087121A"/>
    <w:rsid w:val="00871624"/>
    <w:rsid w:val="00871692"/>
    <w:rsid w:val="0087179E"/>
    <w:rsid w:val="008718A2"/>
    <w:rsid w:val="00871A17"/>
    <w:rsid w:val="00871B4E"/>
    <w:rsid w:val="00871B9D"/>
    <w:rsid w:val="00871C2F"/>
    <w:rsid w:val="00871DAC"/>
    <w:rsid w:val="00871F68"/>
    <w:rsid w:val="008720D5"/>
    <w:rsid w:val="00872A2E"/>
    <w:rsid w:val="00872A7A"/>
    <w:rsid w:val="00872C7B"/>
    <w:rsid w:val="00872D62"/>
    <w:rsid w:val="00872E24"/>
    <w:rsid w:val="00872EBF"/>
    <w:rsid w:val="00873018"/>
    <w:rsid w:val="0087313C"/>
    <w:rsid w:val="008731DB"/>
    <w:rsid w:val="00873206"/>
    <w:rsid w:val="0087373F"/>
    <w:rsid w:val="00873894"/>
    <w:rsid w:val="008738F6"/>
    <w:rsid w:val="00873A88"/>
    <w:rsid w:val="00873CD2"/>
    <w:rsid w:val="00873D51"/>
    <w:rsid w:val="00873F2A"/>
    <w:rsid w:val="0087410C"/>
    <w:rsid w:val="008744BF"/>
    <w:rsid w:val="00874652"/>
    <w:rsid w:val="008747C3"/>
    <w:rsid w:val="008748BC"/>
    <w:rsid w:val="00874A25"/>
    <w:rsid w:val="00874FFA"/>
    <w:rsid w:val="00875227"/>
    <w:rsid w:val="008752CA"/>
    <w:rsid w:val="008754E5"/>
    <w:rsid w:val="008755F0"/>
    <w:rsid w:val="008757B7"/>
    <w:rsid w:val="008757C4"/>
    <w:rsid w:val="008757E4"/>
    <w:rsid w:val="00875853"/>
    <w:rsid w:val="00875A0E"/>
    <w:rsid w:val="00875B15"/>
    <w:rsid w:val="00875D48"/>
    <w:rsid w:val="00875D5C"/>
    <w:rsid w:val="00875E51"/>
    <w:rsid w:val="00875F78"/>
    <w:rsid w:val="008760D4"/>
    <w:rsid w:val="008762B6"/>
    <w:rsid w:val="00876494"/>
    <w:rsid w:val="0087650A"/>
    <w:rsid w:val="008765B9"/>
    <w:rsid w:val="00876B57"/>
    <w:rsid w:val="00876B58"/>
    <w:rsid w:val="00876DEA"/>
    <w:rsid w:val="0087710B"/>
    <w:rsid w:val="00877327"/>
    <w:rsid w:val="008774BA"/>
    <w:rsid w:val="0087753C"/>
    <w:rsid w:val="0087799B"/>
    <w:rsid w:val="00877C58"/>
    <w:rsid w:val="00877F54"/>
    <w:rsid w:val="00877FA4"/>
    <w:rsid w:val="0088021F"/>
    <w:rsid w:val="00880540"/>
    <w:rsid w:val="0088061E"/>
    <w:rsid w:val="008806FC"/>
    <w:rsid w:val="00880796"/>
    <w:rsid w:val="008807A6"/>
    <w:rsid w:val="008807F3"/>
    <w:rsid w:val="00880B32"/>
    <w:rsid w:val="00880C27"/>
    <w:rsid w:val="00880ECE"/>
    <w:rsid w:val="00880F8A"/>
    <w:rsid w:val="00881506"/>
    <w:rsid w:val="00881891"/>
    <w:rsid w:val="00881932"/>
    <w:rsid w:val="00881C8A"/>
    <w:rsid w:val="00882010"/>
    <w:rsid w:val="008820CF"/>
    <w:rsid w:val="0088218E"/>
    <w:rsid w:val="0088261F"/>
    <w:rsid w:val="00882691"/>
    <w:rsid w:val="00882746"/>
    <w:rsid w:val="0088288A"/>
    <w:rsid w:val="00882C14"/>
    <w:rsid w:val="00882F95"/>
    <w:rsid w:val="00882F98"/>
    <w:rsid w:val="00883000"/>
    <w:rsid w:val="008830EA"/>
    <w:rsid w:val="008831B9"/>
    <w:rsid w:val="008831BB"/>
    <w:rsid w:val="00883349"/>
    <w:rsid w:val="00883456"/>
    <w:rsid w:val="0088352B"/>
    <w:rsid w:val="00883567"/>
    <w:rsid w:val="00883599"/>
    <w:rsid w:val="00883ADB"/>
    <w:rsid w:val="00883BEE"/>
    <w:rsid w:val="00883C95"/>
    <w:rsid w:val="0088406E"/>
    <w:rsid w:val="008842F1"/>
    <w:rsid w:val="008842F4"/>
    <w:rsid w:val="008844BA"/>
    <w:rsid w:val="008844EA"/>
    <w:rsid w:val="00884801"/>
    <w:rsid w:val="0088483D"/>
    <w:rsid w:val="00884A99"/>
    <w:rsid w:val="00884B52"/>
    <w:rsid w:val="00884C53"/>
    <w:rsid w:val="00884C75"/>
    <w:rsid w:val="00884D56"/>
    <w:rsid w:val="00884FF3"/>
    <w:rsid w:val="00885235"/>
    <w:rsid w:val="008856EB"/>
    <w:rsid w:val="00885A1D"/>
    <w:rsid w:val="00885BEB"/>
    <w:rsid w:val="00885C25"/>
    <w:rsid w:val="00885C7E"/>
    <w:rsid w:val="00885EA9"/>
    <w:rsid w:val="00885FDA"/>
    <w:rsid w:val="008860A4"/>
    <w:rsid w:val="0088613B"/>
    <w:rsid w:val="008862FB"/>
    <w:rsid w:val="00886357"/>
    <w:rsid w:val="0088646F"/>
    <w:rsid w:val="00886510"/>
    <w:rsid w:val="00886674"/>
    <w:rsid w:val="0088667E"/>
    <w:rsid w:val="008869A7"/>
    <w:rsid w:val="00886B44"/>
    <w:rsid w:val="00886C32"/>
    <w:rsid w:val="00886C5E"/>
    <w:rsid w:val="00886D90"/>
    <w:rsid w:val="0088704C"/>
    <w:rsid w:val="0088712B"/>
    <w:rsid w:val="008874B0"/>
    <w:rsid w:val="0088752A"/>
    <w:rsid w:val="00887576"/>
    <w:rsid w:val="00887823"/>
    <w:rsid w:val="00887A70"/>
    <w:rsid w:val="00887CA5"/>
    <w:rsid w:val="00887F68"/>
    <w:rsid w:val="00890368"/>
    <w:rsid w:val="00890478"/>
    <w:rsid w:val="008906A5"/>
    <w:rsid w:val="00890A1D"/>
    <w:rsid w:val="00890D34"/>
    <w:rsid w:val="008910A7"/>
    <w:rsid w:val="0089150A"/>
    <w:rsid w:val="00891609"/>
    <w:rsid w:val="0089193E"/>
    <w:rsid w:val="00891CB5"/>
    <w:rsid w:val="00891FE9"/>
    <w:rsid w:val="00892137"/>
    <w:rsid w:val="008921CE"/>
    <w:rsid w:val="00892309"/>
    <w:rsid w:val="00892559"/>
    <w:rsid w:val="008926B0"/>
    <w:rsid w:val="00892755"/>
    <w:rsid w:val="00892981"/>
    <w:rsid w:val="00892A65"/>
    <w:rsid w:val="00892C66"/>
    <w:rsid w:val="0089330B"/>
    <w:rsid w:val="00893505"/>
    <w:rsid w:val="0089354C"/>
    <w:rsid w:val="00893710"/>
    <w:rsid w:val="00893750"/>
    <w:rsid w:val="00893869"/>
    <w:rsid w:val="008938CF"/>
    <w:rsid w:val="00893B61"/>
    <w:rsid w:val="00893CF2"/>
    <w:rsid w:val="00893D16"/>
    <w:rsid w:val="00894128"/>
    <w:rsid w:val="008947BE"/>
    <w:rsid w:val="00895093"/>
    <w:rsid w:val="00895519"/>
    <w:rsid w:val="008956FE"/>
    <w:rsid w:val="00895E03"/>
    <w:rsid w:val="00895E2F"/>
    <w:rsid w:val="00895EB6"/>
    <w:rsid w:val="00895F88"/>
    <w:rsid w:val="00895FA7"/>
    <w:rsid w:val="00895FBA"/>
    <w:rsid w:val="00895FD2"/>
    <w:rsid w:val="00896000"/>
    <w:rsid w:val="0089617D"/>
    <w:rsid w:val="00896195"/>
    <w:rsid w:val="008961DB"/>
    <w:rsid w:val="0089620B"/>
    <w:rsid w:val="00896383"/>
    <w:rsid w:val="00896429"/>
    <w:rsid w:val="0089642E"/>
    <w:rsid w:val="00896C06"/>
    <w:rsid w:val="00896D6D"/>
    <w:rsid w:val="00896F2E"/>
    <w:rsid w:val="008971BB"/>
    <w:rsid w:val="0089750C"/>
    <w:rsid w:val="00897660"/>
    <w:rsid w:val="0089783F"/>
    <w:rsid w:val="00897AC0"/>
    <w:rsid w:val="00897D51"/>
    <w:rsid w:val="00897F58"/>
    <w:rsid w:val="008A0107"/>
    <w:rsid w:val="008A0260"/>
    <w:rsid w:val="008A02D9"/>
    <w:rsid w:val="008A038B"/>
    <w:rsid w:val="008A0463"/>
    <w:rsid w:val="008A07DE"/>
    <w:rsid w:val="008A07F5"/>
    <w:rsid w:val="008A08B6"/>
    <w:rsid w:val="008A094C"/>
    <w:rsid w:val="008A0A57"/>
    <w:rsid w:val="008A0ADE"/>
    <w:rsid w:val="008A0DFA"/>
    <w:rsid w:val="008A0F88"/>
    <w:rsid w:val="008A1186"/>
    <w:rsid w:val="008A13C4"/>
    <w:rsid w:val="008A1520"/>
    <w:rsid w:val="008A1541"/>
    <w:rsid w:val="008A1694"/>
    <w:rsid w:val="008A16C7"/>
    <w:rsid w:val="008A1898"/>
    <w:rsid w:val="008A18D1"/>
    <w:rsid w:val="008A1A19"/>
    <w:rsid w:val="008A1B12"/>
    <w:rsid w:val="008A1BD4"/>
    <w:rsid w:val="008A1FA9"/>
    <w:rsid w:val="008A216B"/>
    <w:rsid w:val="008A234E"/>
    <w:rsid w:val="008A23FB"/>
    <w:rsid w:val="008A250D"/>
    <w:rsid w:val="008A2587"/>
    <w:rsid w:val="008A29C6"/>
    <w:rsid w:val="008A2C5F"/>
    <w:rsid w:val="008A2C6D"/>
    <w:rsid w:val="008A2C77"/>
    <w:rsid w:val="008A2CA8"/>
    <w:rsid w:val="008A2D0E"/>
    <w:rsid w:val="008A3059"/>
    <w:rsid w:val="008A3075"/>
    <w:rsid w:val="008A3105"/>
    <w:rsid w:val="008A341D"/>
    <w:rsid w:val="008A3481"/>
    <w:rsid w:val="008A3482"/>
    <w:rsid w:val="008A3613"/>
    <w:rsid w:val="008A376C"/>
    <w:rsid w:val="008A3835"/>
    <w:rsid w:val="008A463E"/>
    <w:rsid w:val="008A4A83"/>
    <w:rsid w:val="008A4AED"/>
    <w:rsid w:val="008A4C34"/>
    <w:rsid w:val="008A4D62"/>
    <w:rsid w:val="008A4F66"/>
    <w:rsid w:val="008A4FFD"/>
    <w:rsid w:val="008A5012"/>
    <w:rsid w:val="008A5AA7"/>
    <w:rsid w:val="008A5AE4"/>
    <w:rsid w:val="008A5D61"/>
    <w:rsid w:val="008A609C"/>
    <w:rsid w:val="008A61A0"/>
    <w:rsid w:val="008A623F"/>
    <w:rsid w:val="008A6490"/>
    <w:rsid w:val="008A649D"/>
    <w:rsid w:val="008A660B"/>
    <w:rsid w:val="008A6823"/>
    <w:rsid w:val="008A688D"/>
    <w:rsid w:val="008A69E1"/>
    <w:rsid w:val="008A6AF0"/>
    <w:rsid w:val="008A6AFA"/>
    <w:rsid w:val="008A6EE5"/>
    <w:rsid w:val="008A70D4"/>
    <w:rsid w:val="008A711A"/>
    <w:rsid w:val="008A7339"/>
    <w:rsid w:val="008A7514"/>
    <w:rsid w:val="008A771D"/>
    <w:rsid w:val="008A778E"/>
    <w:rsid w:val="008A77F1"/>
    <w:rsid w:val="008A7836"/>
    <w:rsid w:val="008A78F7"/>
    <w:rsid w:val="008A7AC3"/>
    <w:rsid w:val="008A7DEB"/>
    <w:rsid w:val="008A7E95"/>
    <w:rsid w:val="008B0009"/>
    <w:rsid w:val="008B0175"/>
    <w:rsid w:val="008B01F2"/>
    <w:rsid w:val="008B03D4"/>
    <w:rsid w:val="008B056E"/>
    <w:rsid w:val="008B0638"/>
    <w:rsid w:val="008B06D0"/>
    <w:rsid w:val="008B0802"/>
    <w:rsid w:val="008B098B"/>
    <w:rsid w:val="008B09FB"/>
    <w:rsid w:val="008B0E0C"/>
    <w:rsid w:val="008B154D"/>
    <w:rsid w:val="008B15E5"/>
    <w:rsid w:val="008B1752"/>
    <w:rsid w:val="008B1A6F"/>
    <w:rsid w:val="008B1C25"/>
    <w:rsid w:val="008B1C52"/>
    <w:rsid w:val="008B1E59"/>
    <w:rsid w:val="008B1F02"/>
    <w:rsid w:val="008B21B9"/>
    <w:rsid w:val="008B227D"/>
    <w:rsid w:val="008B22CE"/>
    <w:rsid w:val="008B22E9"/>
    <w:rsid w:val="008B2365"/>
    <w:rsid w:val="008B24E0"/>
    <w:rsid w:val="008B26E6"/>
    <w:rsid w:val="008B2B3E"/>
    <w:rsid w:val="008B2BF0"/>
    <w:rsid w:val="008B319A"/>
    <w:rsid w:val="008B32DF"/>
    <w:rsid w:val="008B3348"/>
    <w:rsid w:val="008B33CA"/>
    <w:rsid w:val="008B3441"/>
    <w:rsid w:val="008B391C"/>
    <w:rsid w:val="008B395D"/>
    <w:rsid w:val="008B3AEC"/>
    <w:rsid w:val="008B3AF4"/>
    <w:rsid w:val="008B3D51"/>
    <w:rsid w:val="008B3D8A"/>
    <w:rsid w:val="008B426B"/>
    <w:rsid w:val="008B42D3"/>
    <w:rsid w:val="008B430B"/>
    <w:rsid w:val="008B4649"/>
    <w:rsid w:val="008B46C0"/>
    <w:rsid w:val="008B4B12"/>
    <w:rsid w:val="008B4D72"/>
    <w:rsid w:val="008B4ECA"/>
    <w:rsid w:val="008B5014"/>
    <w:rsid w:val="008B5190"/>
    <w:rsid w:val="008B5354"/>
    <w:rsid w:val="008B5B6C"/>
    <w:rsid w:val="008B5C52"/>
    <w:rsid w:val="008B5D10"/>
    <w:rsid w:val="008B5D84"/>
    <w:rsid w:val="008B5DBE"/>
    <w:rsid w:val="008B5FB6"/>
    <w:rsid w:val="008B63CC"/>
    <w:rsid w:val="008B6435"/>
    <w:rsid w:val="008B64B7"/>
    <w:rsid w:val="008B6501"/>
    <w:rsid w:val="008B651A"/>
    <w:rsid w:val="008B676C"/>
    <w:rsid w:val="008B692F"/>
    <w:rsid w:val="008B6CF2"/>
    <w:rsid w:val="008B6DAD"/>
    <w:rsid w:val="008B6F4E"/>
    <w:rsid w:val="008B6FB1"/>
    <w:rsid w:val="008B6FDA"/>
    <w:rsid w:val="008B7052"/>
    <w:rsid w:val="008B7084"/>
    <w:rsid w:val="008B713A"/>
    <w:rsid w:val="008B7232"/>
    <w:rsid w:val="008B726B"/>
    <w:rsid w:val="008B7291"/>
    <w:rsid w:val="008B74A1"/>
    <w:rsid w:val="008B7650"/>
    <w:rsid w:val="008B76A8"/>
    <w:rsid w:val="008B7759"/>
    <w:rsid w:val="008B78FC"/>
    <w:rsid w:val="008B79C0"/>
    <w:rsid w:val="008B7F5C"/>
    <w:rsid w:val="008C01A3"/>
    <w:rsid w:val="008C01D6"/>
    <w:rsid w:val="008C036B"/>
    <w:rsid w:val="008C0644"/>
    <w:rsid w:val="008C072F"/>
    <w:rsid w:val="008C074D"/>
    <w:rsid w:val="008C092B"/>
    <w:rsid w:val="008C0AD2"/>
    <w:rsid w:val="008C0AFF"/>
    <w:rsid w:val="008C0C8A"/>
    <w:rsid w:val="008C0DDC"/>
    <w:rsid w:val="008C1023"/>
    <w:rsid w:val="008C1036"/>
    <w:rsid w:val="008C105C"/>
    <w:rsid w:val="008C1099"/>
    <w:rsid w:val="008C1441"/>
    <w:rsid w:val="008C1688"/>
    <w:rsid w:val="008C194C"/>
    <w:rsid w:val="008C1AD3"/>
    <w:rsid w:val="008C1D6E"/>
    <w:rsid w:val="008C1D75"/>
    <w:rsid w:val="008C1D99"/>
    <w:rsid w:val="008C2500"/>
    <w:rsid w:val="008C272D"/>
    <w:rsid w:val="008C27B8"/>
    <w:rsid w:val="008C2AE6"/>
    <w:rsid w:val="008C2D6C"/>
    <w:rsid w:val="008C2F73"/>
    <w:rsid w:val="008C2FD0"/>
    <w:rsid w:val="008C31F2"/>
    <w:rsid w:val="008C3352"/>
    <w:rsid w:val="008C3678"/>
    <w:rsid w:val="008C368C"/>
    <w:rsid w:val="008C3776"/>
    <w:rsid w:val="008C3A2D"/>
    <w:rsid w:val="008C3A8C"/>
    <w:rsid w:val="008C3C23"/>
    <w:rsid w:val="008C3CE3"/>
    <w:rsid w:val="008C4148"/>
    <w:rsid w:val="008C4229"/>
    <w:rsid w:val="008C4336"/>
    <w:rsid w:val="008C456F"/>
    <w:rsid w:val="008C475F"/>
    <w:rsid w:val="008C47BB"/>
    <w:rsid w:val="008C4860"/>
    <w:rsid w:val="008C48F0"/>
    <w:rsid w:val="008C4B52"/>
    <w:rsid w:val="008C4BA7"/>
    <w:rsid w:val="008C4E08"/>
    <w:rsid w:val="008C4EAE"/>
    <w:rsid w:val="008C4FF1"/>
    <w:rsid w:val="008C5012"/>
    <w:rsid w:val="008C5094"/>
    <w:rsid w:val="008C51F4"/>
    <w:rsid w:val="008C5352"/>
    <w:rsid w:val="008C5734"/>
    <w:rsid w:val="008C595D"/>
    <w:rsid w:val="008C5B6C"/>
    <w:rsid w:val="008C5F91"/>
    <w:rsid w:val="008C61F1"/>
    <w:rsid w:val="008C6255"/>
    <w:rsid w:val="008C626D"/>
    <w:rsid w:val="008C6364"/>
    <w:rsid w:val="008C6381"/>
    <w:rsid w:val="008C6417"/>
    <w:rsid w:val="008C6461"/>
    <w:rsid w:val="008C65C1"/>
    <w:rsid w:val="008C664B"/>
    <w:rsid w:val="008C68A6"/>
    <w:rsid w:val="008C6A70"/>
    <w:rsid w:val="008C6CEE"/>
    <w:rsid w:val="008C6D65"/>
    <w:rsid w:val="008C6D83"/>
    <w:rsid w:val="008C6EA8"/>
    <w:rsid w:val="008C6F87"/>
    <w:rsid w:val="008C6F9D"/>
    <w:rsid w:val="008C7061"/>
    <w:rsid w:val="008C7091"/>
    <w:rsid w:val="008C70BA"/>
    <w:rsid w:val="008C71E4"/>
    <w:rsid w:val="008C7373"/>
    <w:rsid w:val="008C7449"/>
    <w:rsid w:val="008C74F3"/>
    <w:rsid w:val="008C765C"/>
    <w:rsid w:val="008C7A00"/>
    <w:rsid w:val="008C7B4A"/>
    <w:rsid w:val="008C7F0F"/>
    <w:rsid w:val="008D0061"/>
    <w:rsid w:val="008D0128"/>
    <w:rsid w:val="008D02CF"/>
    <w:rsid w:val="008D0617"/>
    <w:rsid w:val="008D07BF"/>
    <w:rsid w:val="008D08E5"/>
    <w:rsid w:val="008D1121"/>
    <w:rsid w:val="008D11AF"/>
    <w:rsid w:val="008D1BD8"/>
    <w:rsid w:val="008D1C86"/>
    <w:rsid w:val="008D1D68"/>
    <w:rsid w:val="008D2138"/>
    <w:rsid w:val="008D22B9"/>
    <w:rsid w:val="008D22FF"/>
    <w:rsid w:val="008D23AE"/>
    <w:rsid w:val="008D2437"/>
    <w:rsid w:val="008D2539"/>
    <w:rsid w:val="008D2750"/>
    <w:rsid w:val="008D281E"/>
    <w:rsid w:val="008D2880"/>
    <w:rsid w:val="008D2D3F"/>
    <w:rsid w:val="008D2E3E"/>
    <w:rsid w:val="008D2FE2"/>
    <w:rsid w:val="008D318A"/>
    <w:rsid w:val="008D31C0"/>
    <w:rsid w:val="008D324B"/>
    <w:rsid w:val="008D3477"/>
    <w:rsid w:val="008D37FE"/>
    <w:rsid w:val="008D398B"/>
    <w:rsid w:val="008D3B15"/>
    <w:rsid w:val="008D3B5E"/>
    <w:rsid w:val="008D3C20"/>
    <w:rsid w:val="008D3CDA"/>
    <w:rsid w:val="008D3D5B"/>
    <w:rsid w:val="008D3E0F"/>
    <w:rsid w:val="008D3F69"/>
    <w:rsid w:val="008D40AC"/>
    <w:rsid w:val="008D4319"/>
    <w:rsid w:val="008D451B"/>
    <w:rsid w:val="008D4542"/>
    <w:rsid w:val="008D47A3"/>
    <w:rsid w:val="008D47F6"/>
    <w:rsid w:val="008D49F2"/>
    <w:rsid w:val="008D4A49"/>
    <w:rsid w:val="008D4C5D"/>
    <w:rsid w:val="008D4E89"/>
    <w:rsid w:val="008D50F6"/>
    <w:rsid w:val="008D541A"/>
    <w:rsid w:val="008D566B"/>
    <w:rsid w:val="008D5844"/>
    <w:rsid w:val="008D592C"/>
    <w:rsid w:val="008D599D"/>
    <w:rsid w:val="008D5BF1"/>
    <w:rsid w:val="008D5D92"/>
    <w:rsid w:val="008D5ED2"/>
    <w:rsid w:val="008D5FB5"/>
    <w:rsid w:val="008D5FFF"/>
    <w:rsid w:val="008D6042"/>
    <w:rsid w:val="008D608A"/>
    <w:rsid w:val="008D61CE"/>
    <w:rsid w:val="008D61FC"/>
    <w:rsid w:val="008D624F"/>
    <w:rsid w:val="008D62A6"/>
    <w:rsid w:val="008D633C"/>
    <w:rsid w:val="008D6D17"/>
    <w:rsid w:val="008D743C"/>
    <w:rsid w:val="008D7667"/>
    <w:rsid w:val="008D7997"/>
    <w:rsid w:val="008D7A99"/>
    <w:rsid w:val="008D7B37"/>
    <w:rsid w:val="008D7B55"/>
    <w:rsid w:val="008D7C0F"/>
    <w:rsid w:val="008D7C44"/>
    <w:rsid w:val="008D7E3E"/>
    <w:rsid w:val="008E0191"/>
    <w:rsid w:val="008E0CDB"/>
    <w:rsid w:val="008E0E8F"/>
    <w:rsid w:val="008E0EF6"/>
    <w:rsid w:val="008E0FFB"/>
    <w:rsid w:val="008E12D3"/>
    <w:rsid w:val="008E12E9"/>
    <w:rsid w:val="008E1460"/>
    <w:rsid w:val="008E15F3"/>
    <w:rsid w:val="008E1C78"/>
    <w:rsid w:val="008E2458"/>
    <w:rsid w:val="008E251D"/>
    <w:rsid w:val="008E27D2"/>
    <w:rsid w:val="008E2B05"/>
    <w:rsid w:val="008E2CAF"/>
    <w:rsid w:val="008E3187"/>
    <w:rsid w:val="008E3299"/>
    <w:rsid w:val="008E32E3"/>
    <w:rsid w:val="008E33F6"/>
    <w:rsid w:val="008E3474"/>
    <w:rsid w:val="008E3562"/>
    <w:rsid w:val="008E3A75"/>
    <w:rsid w:val="008E3B19"/>
    <w:rsid w:val="008E3C2B"/>
    <w:rsid w:val="008E46FF"/>
    <w:rsid w:val="008E496D"/>
    <w:rsid w:val="008E49A3"/>
    <w:rsid w:val="008E4D1D"/>
    <w:rsid w:val="008E4D90"/>
    <w:rsid w:val="008E4ED4"/>
    <w:rsid w:val="008E4F9B"/>
    <w:rsid w:val="008E517B"/>
    <w:rsid w:val="008E5193"/>
    <w:rsid w:val="008E5262"/>
    <w:rsid w:val="008E53B3"/>
    <w:rsid w:val="008E5416"/>
    <w:rsid w:val="008E5417"/>
    <w:rsid w:val="008E54C1"/>
    <w:rsid w:val="008E55E0"/>
    <w:rsid w:val="008E5836"/>
    <w:rsid w:val="008E5956"/>
    <w:rsid w:val="008E5AB9"/>
    <w:rsid w:val="008E5B23"/>
    <w:rsid w:val="008E5C6F"/>
    <w:rsid w:val="008E5CE8"/>
    <w:rsid w:val="008E5F62"/>
    <w:rsid w:val="008E6377"/>
    <w:rsid w:val="008E63B2"/>
    <w:rsid w:val="008E6483"/>
    <w:rsid w:val="008E64AA"/>
    <w:rsid w:val="008E6615"/>
    <w:rsid w:val="008E6620"/>
    <w:rsid w:val="008E66C2"/>
    <w:rsid w:val="008E670E"/>
    <w:rsid w:val="008E699B"/>
    <w:rsid w:val="008E69FB"/>
    <w:rsid w:val="008E6A35"/>
    <w:rsid w:val="008E6A4A"/>
    <w:rsid w:val="008E6D34"/>
    <w:rsid w:val="008E6DAC"/>
    <w:rsid w:val="008E6EFA"/>
    <w:rsid w:val="008E71D7"/>
    <w:rsid w:val="008E72F0"/>
    <w:rsid w:val="008E7365"/>
    <w:rsid w:val="008E737B"/>
    <w:rsid w:val="008E7387"/>
    <w:rsid w:val="008E7421"/>
    <w:rsid w:val="008E74C9"/>
    <w:rsid w:val="008E755D"/>
    <w:rsid w:val="008E79F9"/>
    <w:rsid w:val="008E7B07"/>
    <w:rsid w:val="008F046C"/>
    <w:rsid w:val="008F061C"/>
    <w:rsid w:val="008F0A9A"/>
    <w:rsid w:val="008F0B19"/>
    <w:rsid w:val="008F0C77"/>
    <w:rsid w:val="008F0CB9"/>
    <w:rsid w:val="008F0F5C"/>
    <w:rsid w:val="008F141A"/>
    <w:rsid w:val="008F17C8"/>
    <w:rsid w:val="008F189A"/>
    <w:rsid w:val="008F1B9C"/>
    <w:rsid w:val="008F1BC5"/>
    <w:rsid w:val="008F21F3"/>
    <w:rsid w:val="008F284C"/>
    <w:rsid w:val="008F2A17"/>
    <w:rsid w:val="008F2D91"/>
    <w:rsid w:val="008F306E"/>
    <w:rsid w:val="008F341E"/>
    <w:rsid w:val="008F3481"/>
    <w:rsid w:val="008F3815"/>
    <w:rsid w:val="008F3820"/>
    <w:rsid w:val="008F3B22"/>
    <w:rsid w:val="008F3B62"/>
    <w:rsid w:val="008F3DDC"/>
    <w:rsid w:val="008F3E2E"/>
    <w:rsid w:val="008F4098"/>
    <w:rsid w:val="008F4150"/>
    <w:rsid w:val="008F41E9"/>
    <w:rsid w:val="008F424C"/>
    <w:rsid w:val="008F4401"/>
    <w:rsid w:val="008F442C"/>
    <w:rsid w:val="008F45E7"/>
    <w:rsid w:val="008F468B"/>
    <w:rsid w:val="008F490C"/>
    <w:rsid w:val="008F4B7C"/>
    <w:rsid w:val="008F4D5E"/>
    <w:rsid w:val="008F4D8B"/>
    <w:rsid w:val="008F4E35"/>
    <w:rsid w:val="008F4E9A"/>
    <w:rsid w:val="008F4EC9"/>
    <w:rsid w:val="008F4F1D"/>
    <w:rsid w:val="008F4F8D"/>
    <w:rsid w:val="008F53BD"/>
    <w:rsid w:val="008F53DA"/>
    <w:rsid w:val="008F55D3"/>
    <w:rsid w:val="008F56E6"/>
    <w:rsid w:val="008F5B4F"/>
    <w:rsid w:val="008F5C3F"/>
    <w:rsid w:val="008F627D"/>
    <w:rsid w:val="008F6461"/>
    <w:rsid w:val="008F6963"/>
    <w:rsid w:val="008F6A99"/>
    <w:rsid w:val="008F6C2F"/>
    <w:rsid w:val="008F7120"/>
    <w:rsid w:val="008F7231"/>
    <w:rsid w:val="008F7415"/>
    <w:rsid w:val="008F7574"/>
    <w:rsid w:val="008F77F7"/>
    <w:rsid w:val="008F7A38"/>
    <w:rsid w:val="008F7C63"/>
    <w:rsid w:val="008F7CFA"/>
    <w:rsid w:val="008F7DED"/>
    <w:rsid w:val="008F7F84"/>
    <w:rsid w:val="008F7FBE"/>
    <w:rsid w:val="0090013D"/>
    <w:rsid w:val="00900514"/>
    <w:rsid w:val="0090079B"/>
    <w:rsid w:val="009008A8"/>
    <w:rsid w:val="009009CB"/>
    <w:rsid w:val="00900A68"/>
    <w:rsid w:val="00900B1F"/>
    <w:rsid w:val="009010D0"/>
    <w:rsid w:val="0090117C"/>
    <w:rsid w:val="00901183"/>
    <w:rsid w:val="009017F8"/>
    <w:rsid w:val="0090198A"/>
    <w:rsid w:val="00901D7B"/>
    <w:rsid w:val="00901E51"/>
    <w:rsid w:val="00901EEE"/>
    <w:rsid w:val="00902046"/>
    <w:rsid w:val="0090215E"/>
    <w:rsid w:val="009024F0"/>
    <w:rsid w:val="00902535"/>
    <w:rsid w:val="00902928"/>
    <w:rsid w:val="00902948"/>
    <w:rsid w:val="00902D8E"/>
    <w:rsid w:val="00902F43"/>
    <w:rsid w:val="0090303E"/>
    <w:rsid w:val="009032C7"/>
    <w:rsid w:val="0090335A"/>
    <w:rsid w:val="009033DB"/>
    <w:rsid w:val="00903612"/>
    <w:rsid w:val="00903CD8"/>
    <w:rsid w:val="009040D2"/>
    <w:rsid w:val="00904264"/>
    <w:rsid w:val="0090456F"/>
    <w:rsid w:val="00904687"/>
    <w:rsid w:val="00904783"/>
    <w:rsid w:val="0090484D"/>
    <w:rsid w:val="009048C5"/>
    <w:rsid w:val="009049EA"/>
    <w:rsid w:val="00904A2B"/>
    <w:rsid w:val="00904A74"/>
    <w:rsid w:val="00904ADC"/>
    <w:rsid w:val="00904B17"/>
    <w:rsid w:val="00904DA4"/>
    <w:rsid w:val="00904E3E"/>
    <w:rsid w:val="00904E42"/>
    <w:rsid w:val="00904E84"/>
    <w:rsid w:val="00904E89"/>
    <w:rsid w:val="00904F19"/>
    <w:rsid w:val="00905083"/>
    <w:rsid w:val="009050AE"/>
    <w:rsid w:val="00905154"/>
    <w:rsid w:val="0090521D"/>
    <w:rsid w:val="00905408"/>
    <w:rsid w:val="00905710"/>
    <w:rsid w:val="0090582D"/>
    <w:rsid w:val="009058AF"/>
    <w:rsid w:val="00905BC5"/>
    <w:rsid w:val="00905DA4"/>
    <w:rsid w:val="0090602D"/>
    <w:rsid w:val="00906432"/>
    <w:rsid w:val="0090644C"/>
    <w:rsid w:val="00906A69"/>
    <w:rsid w:val="00906B9B"/>
    <w:rsid w:val="00906D1A"/>
    <w:rsid w:val="00906D64"/>
    <w:rsid w:val="00907117"/>
    <w:rsid w:val="0090729D"/>
    <w:rsid w:val="009072AC"/>
    <w:rsid w:val="009073C5"/>
    <w:rsid w:val="00907432"/>
    <w:rsid w:val="00907820"/>
    <w:rsid w:val="00907872"/>
    <w:rsid w:val="00907AF0"/>
    <w:rsid w:val="00907CC7"/>
    <w:rsid w:val="00907D67"/>
    <w:rsid w:val="00907EE1"/>
    <w:rsid w:val="00907FFA"/>
    <w:rsid w:val="009100EA"/>
    <w:rsid w:val="009102ED"/>
    <w:rsid w:val="009104B0"/>
    <w:rsid w:val="00910553"/>
    <w:rsid w:val="00910716"/>
    <w:rsid w:val="00910912"/>
    <w:rsid w:val="00910A09"/>
    <w:rsid w:val="00910AD2"/>
    <w:rsid w:val="0091100C"/>
    <w:rsid w:val="00911096"/>
    <w:rsid w:val="009111E2"/>
    <w:rsid w:val="009112B6"/>
    <w:rsid w:val="00911306"/>
    <w:rsid w:val="00911466"/>
    <w:rsid w:val="0091151E"/>
    <w:rsid w:val="0091173C"/>
    <w:rsid w:val="009118E5"/>
    <w:rsid w:val="00911919"/>
    <w:rsid w:val="00911987"/>
    <w:rsid w:val="00911A8F"/>
    <w:rsid w:val="00911B3F"/>
    <w:rsid w:val="00911DB7"/>
    <w:rsid w:val="0091208E"/>
    <w:rsid w:val="00912427"/>
    <w:rsid w:val="00912656"/>
    <w:rsid w:val="009126FF"/>
    <w:rsid w:val="00912946"/>
    <w:rsid w:val="00912B4C"/>
    <w:rsid w:val="00912CE0"/>
    <w:rsid w:val="00912E86"/>
    <w:rsid w:val="00912E91"/>
    <w:rsid w:val="00912EB7"/>
    <w:rsid w:val="00912FEF"/>
    <w:rsid w:val="009132BA"/>
    <w:rsid w:val="009132DF"/>
    <w:rsid w:val="00913369"/>
    <w:rsid w:val="009133B1"/>
    <w:rsid w:val="00913480"/>
    <w:rsid w:val="00913BF8"/>
    <w:rsid w:val="00913C83"/>
    <w:rsid w:val="00913C95"/>
    <w:rsid w:val="00913D7C"/>
    <w:rsid w:val="00913DE5"/>
    <w:rsid w:val="0091402C"/>
    <w:rsid w:val="009140C3"/>
    <w:rsid w:val="00914795"/>
    <w:rsid w:val="009149B4"/>
    <w:rsid w:val="00914BCC"/>
    <w:rsid w:val="00914C03"/>
    <w:rsid w:val="0091525A"/>
    <w:rsid w:val="009152CF"/>
    <w:rsid w:val="0091531C"/>
    <w:rsid w:val="0091542E"/>
    <w:rsid w:val="00915D8B"/>
    <w:rsid w:val="00915E98"/>
    <w:rsid w:val="00915F6F"/>
    <w:rsid w:val="00915FB8"/>
    <w:rsid w:val="00916153"/>
    <w:rsid w:val="0091626F"/>
    <w:rsid w:val="0091627E"/>
    <w:rsid w:val="0091646C"/>
    <w:rsid w:val="00916A45"/>
    <w:rsid w:val="00916D58"/>
    <w:rsid w:val="00916E10"/>
    <w:rsid w:val="00916E8E"/>
    <w:rsid w:val="00916FA6"/>
    <w:rsid w:val="00917185"/>
    <w:rsid w:val="0091721B"/>
    <w:rsid w:val="0091773E"/>
    <w:rsid w:val="00917752"/>
    <w:rsid w:val="00917777"/>
    <w:rsid w:val="009177CE"/>
    <w:rsid w:val="00917B4C"/>
    <w:rsid w:val="00917CA8"/>
    <w:rsid w:val="00917CEF"/>
    <w:rsid w:val="00917E1E"/>
    <w:rsid w:val="00917EEF"/>
    <w:rsid w:val="009200EE"/>
    <w:rsid w:val="00920169"/>
    <w:rsid w:val="00920289"/>
    <w:rsid w:val="00920304"/>
    <w:rsid w:val="00920363"/>
    <w:rsid w:val="009203B6"/>
    <w:rsid w:val="009203F7"/>
    <w:rsid w:val="009204CF"/>
    <w:rsid w:val="00920588"/>
    <w:rsid w:val="0092073E"/>
    <w:rsid w:val="0092075E"/>
    <w:rsid w:val="00920948"/>
    <w:rsid w:val="00920A12"/>
    <w:rsid w:val="00920C9D"/>
    <w:rsid w:val="009210F0"/>
    <w:rsid w:val="00921319"/>
    <w:rsid w:val="0092131E"/>
    <w:rsid w:val="009213DE"/>
    <w:rsid w:val="009216AF"/>
    <w:rsid w:val="00921733"/>
    <w:rsid w:val="00921788"/>
    <w:rsid w:val="00921931"/>
    <w:rsid w:val="00921A36"/>
    <w:rsid w:val="00921C6C"/>
    <w:rsid w:val="00921F9C"/>
    <w:rsid w:val="00922120"/>
    <w:rsid w:val="00922384"/>
    <w:rsid w:val="00922794"/>
    <w:rsid w:val="009227D2"/>
    <w:rsid w:val="0092287C"/>
    <w:rsid w:val="009228AF"/>
    <w:rsid w:val="009232F4"/>
    <w:rsid w:val="00923457"/>
    <w:rsid w:val="0092358F"/>
    <w:rsid w:val="00923592"/>
    <w:rsid w:val="009235A2"/>
    <w:rsid w:val="00923604"/>
    <w:rsid w:val="00923677"/>
    <w:rsid w:val="009239F7"/>
    <w:rsid w:val="00923B31"/>
    <w:rsid w:val="00923C38"/>
    <w:rsid w:val="00923C8C"/>
    <w:rsid w:val="00923DB5"/>
    <w:rsid w:val="00923DFB"/>
    <w:rsid w:val="00924199"/>
    <w:rsid w:val="00924236"/>
    <w:rsid w:val="009243DE"/>
    <w:rsid w:val="00924602"/>
    <w:rsid w:val="0092491C"/>
    <w:rsid w:val="00924A03"/>
    <w:rsid w:val="00924A70"/>
    <w:rsid w:val="00924D5F"/>
    <w:rsid w:val="00924DFA"/>
    <w:rsid w:val="0092500F"/>
    <w:rsid w:val="0092504D"/>
    <w:rsid w:val="00925350"/>
    <w:rsid w:val="00925416"/>
    <w:rsid w:val="009255AC"/>
    <w:rsid w:val="009255CC"/>
    <w:rsid w:val="00925728"/>
    <w:rsid w:val="00925A06"/>
    <w:rsid w:val="00925A11"/>
    <w:rsid w:val="00925AA1"/>
    <w:rsid w:val="00925AA2"/>
    <w:rsid w:val="00925AF8"/>
    <w:rsid w:val="00925D98"/>
    <w:rsid w:val="00926110"/>
    <w:rsid w:val="0092635E"/>
    <w:rsid w:val="009265AE"/>
    <w:rsid w:val="009265C0"/>
    <w:rsid w:val="009265C8"/>
    <w:rsid w:val="009265CD"/>
    <w:rsid w:val="00926707"/>
    <w:rsid w:val="009269D6"/>
    <w:rsid w:val="00926A7B"/>
    <w:rsid w:val="00926F99"/>
    <w:rsid w:val="00927013"/>
    <w:rsid w:val="009271C6"/>
    <w:rsid w:val="009271D6"/>
    <w:rsid w:val="00927262"/>
    <w:rsid w:val="00927484"/>
    <w:rsid w:val="00927635"/>
    <w:rsid w:val="0092772C"/>
    <w:rsid w:val="00927925"/>
    <w:rsid w:val="009279FC"/>
    <w:rsid w:val="00927B58"/>
    <w:rsid w:val="00927DF9"/>
    <w:rsid w:val="00927F39"/>
    <w:rsid w:val="00930100"/>
    <w:rsid w:val="0093024E"/>
    <w:rsid w:val="0093033B"/>
    <w:rsid w:val="0093035A"/>
    <w:rsid w:val="009303FA"/>
    <w:rsid w:val="009307D6"/>
    <w:rsid w:val="009308E7"/>
    <w:rsid w:val="009308FD"/>
    <w:rsid w:val="00930A82"/>
    <w:rsid w:val="00930EEC"/>
    <w:rsid w:val="00930FA5"/>
    <w:rsid w:val="00930FE4"/>
    <w:rsid w:val="00931084"/>
    <w:rsid w:val="009310BC"/>
    <w:rsid w:val="0093111B"/>
    <w:rsid w:val="00931186"/>
    <w:rsid w:val="009312A3"/>
    <w:rsid w:val="009313E9"/>
    <w:rsid w:val="00931400"/>
    <w:rsid w:val="0093152D"/>
    <w:rsid w:val="00931764"/>
    <w:rsid w:val="0093194B"/>
    <w:rsid w:val="009319C1"/>
    <w:rsid w:val="00931B68"/>
    <w:rsid w:val="00931BC9"/>
    <w:rsid w:val="00931BDA"/>
    <w:rsid w:val="00931CF0"/>
    <w:rsid w:val="00931D12"/>
    <w:rsid w:val="00931E47"/>
    <w:rsid w:val="00931FDC"/>
    <w:rsid w:val="009320F1"/>
    <w:rsid w:val="009321E8"/>
    <w:rsid w:val="0093227E"/>
    <w:rsid w:val="00932443"/>
    <w:rsid w:val="009326AF"/>
    <w:rsid w:val="0093285D"/>
    <w:rsid w:val="00932A5D"/>
    <w:rsid w:val="00932C6A"/>
    <w:rsid w:val="00932FF4"/>
    <w:rsid w:val="0093302B"/>
    <w:rsid w:val="00933C12"/>
    <w:rsid w:val="009342CB"/>
    <w:rsid w:val="0093439E"/>
    <w:rsid w:val="00934478"/>
    <w:rsid w:val="009344B0"/>
    <w:rsid w:val="00934528"/>
    <w:rsid w:val="00934569"/>
    <w:rsid w:val="00934A08"/>
    <w:rsid w:val="00934A0E"/>
    <w:rsid w:val="00934C26"/>
    <w:rsid w:val="00934CBD"/>
    <w:rsid w:val="00934E2A"/>
    <w:rsid w:val="00934E99"/>
    <w:rsid w:val="00934F42"/>
    <w:rsid w:val="009350C5"/>
    <w:rsid w:val="0093523C"/>
    <w:rsid w:val="00935373"/>
    <w:rsid w:val="0093551C"/>
    <w:rsid w:val="009356AA"/>
    <w:rsid w:val="009356D4"/>
    <w:rsid w:val="009357DF"/>
    <w:rsid w:val="0093597A"/>
    <w:rsid w:val="00935BDE"/>
    <w:rsid w:val="00935CBC"/>
    <w:rsid w:val="00935F4F"/>
    <w:rsid w:val="009361E8"/>
    <w:rsid w:val="0093622B"/>
    <w:rsid w:val="00936484"/>
    <w:rsid w:val="0093653A"/>
    <w:rsid w:val="009365FD"/>
    <w:rsid w:val="00936809"/>
    <w:rsid w:val="00936BA2"/>
    <w:rsid w:val="00936C14"/>
    <w:rsid w:val="00936ED4"/>
    <w:rsid w:val="00936F47"/>
    <w:rsid w:val="00937103"/>
    <w:rsid w:val="009371C9"/>
    <w:rsid w:val="0093745D"/>
    <w:rsid w:val="00937620"/>
    <w:rsid w:val="0093769F"/>
    <w:rsid w:val="0093775F"/>
    <w:rsid w:val="00937C00"/>
    <w:rsid w:val="00937D80"/>
    <w:rsid w:val="00937DE6"/>
    <w:rsid w:val="009400B5"/>
    <w:rsid w:val="00940290"/>
    <w:rsid w:val="0094036F"/>
    <w:rsid w:val="00940720"/>
    <w:rsid w:val="0094076C"/>
    <w:rsid w:val="00940A16"/>
    <w:rsid w:val="00940A58"/>
    <w:rsid w:val="00940BAC"/>
    <w:rsid w:val="00940FD6"/>
    <w:rsid w:val="009410AF"/>
    <w:rsid w:val="00941191"/>
    <w:rsid w:val="0094155F"/>
    <w:rsid w:val="0094166C"/>
    <w:rsid w:val="009416C1"/>
    <w:rsid w:val="0094191D"/>
    <w:rsid w:val="00941A27"/>
    <w:rsid w:val="00941A55"/>
    <w:rsid w:val="00941BDB"/>
    <w:rsid w:val="0094212C"/>
    <w:rsid w:val="00942165"/>
    <w:rsid w:val="00942421"/>
    <w:rsid w:val="00942A83"/>
    <w:rsid w:val="00942B08"/>
    <w:rsid w:val="00942B0A"/>
    <w:rsid w:val="00942C11"/>
    <w:rsid w:val="0094337C"/>
    <w:rsid w:val="00943526"/>
    <w:rsid w:val="009436C3"/>
    <w:rsid w:val="00943736"/>
    <w:rsid w:val="00943A7D"/>
    <w:rsid w:val="00943FE5"/>
    <w:rsid w:val="0094415C"/>
    <w:rsid w:val="009442A9"/>
    <w:rsid w:val="0094430C"/>
    <w:rsid w:val="00944317"/>
    <w:rsid w:val="00944379"/>
    <w:rsid w:val="00944540"/>
    <w:rsid w:val="009446E1"/>
    <w:rsid w:val="00944D75"/>
    <w:rsid w:val="009451EC"/>
    <w:rsid w:val="009452BA"/>
    <w:rsid w:val="009452C0"/>
    <w:rsid w:val="0094532B"/>
    <w:rsid w:val="00945338"/>
    <w:rsid w:val="00945449"/>
    <w:rsid w:val="0094564D"/>
    <w:rsid w:val="00945827"/>
    <w:rsid w:val="00945AFE"/>
    <w:rsid w:val="00945B9E"/>
    <w:rsid w:val="00945C58"/>
    <w:rsid w:val="00945E7B"/>
    <w:rsid w:val="009462A6"/>
    <w:rsid w:val="0094638B"/>
    <w:rsid w:val="00946409"/>
    <w:rsid w:val="009465EC"/>
    <w:rsid w:val="009467C9"/>
    <w:rsid w:val="0094682C"/>
    <w:rsid w:val="009468B5"/>
    <w:rsid w:val="0094693E"/>
    <w:rsid w:val="00946ACE"/>
    <w:rsid w:val="00946B35"/>
    <w:rsid w:val="00946CD0"/>
    <w:rsid w:val="00946DD9"/>
    <w:rsid w:val="00946E17"/>
    <w:rsid w:val="00947042"/>
    <w:rsid w:val="00947134"/>
    <w:rsid w:val="0094717F"/>
    <w:rsid w:val="009471A6"/>
    <w:rsid w:val="009473C1"/>
    <w:rsid w:val="0094751A"/>
    <w:rsid w:val="009478AD"/>
    <w:rsid w:val="009478F6"/>
    <w:rsid w:val="009479FA"/>
    <w:rsid w:val="00947BAD"/>
    <w:rsid w:val="00947BC2"/>
    <w:rsid w:val="00950480"/>
    <w:rsid w:val="009504E8"/>
    <w:rsid w:val="00950693"/>
    <w:rsid w:val="009506F3"/>
    <w:rsid w:val="00950885"/>
    <w:rsid w:val="009509A6"/>
    <w:rsid w:val="00950A0E"/>
    <w:rsid w:val="00950A45"/>
    <w:rsid w:val="00950C38"/>
    <w:rsid w:val="0095127F"/>
    <w:rsid w:val="00951338"/>
    <w:rsid w:val="0095137A"/>
    <w:rsid w:val="00951437"/>
    <w:rsid w:val="009514E3"/>
    <w:rsid w:val="009515B2"/>
    <w:rsid w:val="00951648"/>
    <w:rsid w:val="0095175B"/>
    <w:rsid w:val="009517E0"/>
    <w:rsid w:val="0095190A"/>
    <w:rsid w:val="00951BC7"/>
    <w:rsid w:val="00951C5A"/>
    <w:rsid w:val="00951E3C"/>
    <w:rsid w:val="00951F5E"/>
    <w:rsid w:val="00952155"/>
    <w:rsid w:val="009521A8"/>
    <w:rsid w:val="0095259A"/>
    <w:rsid w:val="0095275F"/>
    <w:rsid w:val="0095298A"/>
    <w:rsid w:val="0095298B"/>
    <w:rsid w:val="00952ACA"/>
    <w:rsid w:val="00952B6C"/>
    <w:rsid w:val="00952D39"/>
    <w:rsid w:val="00952E12"/>
    <w:rsid w:val="00953462"/>
    <w:rsid w:val="009539A0"/>
    <w:rsid w:val="009539F4"/>
    <w:rsid w:val="00953B75"/>
    <w:rsid w:val="00953CBD"/>
    <w:rsid w:val="00953D2B"/>
    <w:rsid w:val="00953E59"/>
    <w:rsid w:val="00954237"/>
    <w:rsid w:val="00954376"/>
    <w:rsid w:val="009545B1"/>
    <w:rsid w:val="009545BA"/>
    <w:rsid w:val="00954644"/>
    <w:rsid w:val="0095474B"/>
    <w:rsid w:val="009547D3"/>
    <w:rsid w:val="00954900"/>
    <w:rsid w:val="00954A06"/>
    <w:rsid w:val="00954A3F"/>
    <w:rsid w:val="00954DF2"/>
    <w:rsid w:val="00954EE1"/>
    <w:rsid w:val="00954FD4"/>
    <w:rsid w:val="009550C6"/>
    <w:rsid w:val="00955105"/>
    <w:rsid w:val="00955392"/>
    <w:rsid w:val="009556A7"/>
    <w:rsid w:val="00955962"/>
    <w:rsid w:val="00955BA8"/>
    <w:rsid w:val="00955D2C"/>
    <w:rsid w:val="00955DF6"/>
    <w:rsid w:val="00955E08"/>
    <w:rsid w:val="00956684"/>
    <w:rsid w:val="0095669F"/>
    <w:rsid w:val="00956894"/>
    <w:rsid w:val="009568F5"/>
    <w:rsid w:val="009569E4"/>
    <w:rsid w:val="009569F0"/>
    <w:rsid w:val="00956BB4"/>
    <w:rsid w:val="00956C0F"/>
    <w:rsid w:val="00956DB6"/>
    <w:rsid w:val="00956F19"/>
    <w:rsid w:val="00956FF7"/>
    <w:rsid w:val="0095706C"/>
    <w:rsid w:val="0095723E"/>
    <w:rsid w:val="00957579"/>
    <w:rsid w:val="009576DD"/>
    <w:rsid w:val="00957BEE"/>
    <w:rsid w:val="00957BF4"/>
    <w:rsid w:val="00957C5D"/>
    <w:rsid w:val="00957E01"/>
    <w:rsid w:val="00960132"/>
    <w:rsid w:val="00960229"/>
    <w:rsid w:val="00960239"/>
    <w:rsid w:val="00960668"/>
    <w:rsid w:val="00960850"/>
    <w:rsid w:val="009609CE"/>
    <w:rsid w:val="00960AA3"/>
    <w:rsid w:val="00960B25"/>
    <w:rsid w:val="00960C35"/>
    <w:rsid w:val="00960C8A"/>
    <w:rsid w:val="00960CA0"/>
    <w:rsid w:val="00960FB6"/>
    <w:rsid w:val="00961015"/>
    <w:rsid w:val="00961488"/>
    <w:rsid w:val="009615BD"/>
    <w:rsid w:val="009617BB"/>
    <w:rsid w:val="00961832"/>
    <w:rsid w:val="0096186C"/>
    <w:rsid w:val="009618BE"/>
    <w:rsid w:val="00961A22"/>
    <w:rsid w:val="00961B3A"/>
    <w:rsid w:val="00961B53"/>
    <w:rsid w:val="00961BE2"/>
    <w:rsid w:val="00962050"/>
    <w:rsid w:val="009620DA"/>
    <w:rsid w:val="00962221"/>
    <w:rsid w:val="009622B2"/>
    <w:rsid w:val="009623DB"/>
    <w:rsid w:val="00962C54"/>
    <w:rsid w:val="00962CD9"/>
    <w:rsid w:val="00963125"/>
    <w:rsid w:val="00963321"/>
    <w:rsid w:val="00963468"/>
    <w:rsid w:val="009636E1"/>
    <w:rsid w:val="00963768"/>
    <w:rsid w:val="00963791"/>
    <w:rsid w:val="00963B23"/>
    <w:rsid w:val="00963D47"/>
    <w:rsid w:val="00963F12"/>
    <w:rsid w:val="00963FDC"/>
    <w:rsid w:val="00964014"/>
    <w:rsid w:val="0096405E"/>
    <w:rsid w:val="009640BA"/>
    <w:rsid w:val="0096426E"/>
    <w:rsid w:val="00964365"/>
    <w:rsid w:val="0096459A"/>
    <w:rsid w:val="0096494C"/>
    <w:rsid w:val="00964A46"/>
    <w:rsid w:val="0096509E"/>
    <w:rsid w:val="00965124"/>
    <w:rsid w:val="009654A4"/>
    <w:rsid w:val="00965533"/>
    <w:rsid w:val="00965A66"/>
    <w:rsid w:val="00965B5F"/>
    <w:rsid w:val="00965D89"/>
    <w:rsid w:val="00965D94"/>
    <w:rsid w:val="00965EC6"/>
    <w:rsid w:val="00966467"/>
    <w:rsid w:val="0096658F"/>
    <w:rsid w:val="00966D8B"/>
    <w:rsid w:val="00966DB8"/>
    <w:rsid w:val="00966E30"/>
    <w:rsid w:val="00966F25"/>
    <w:rsid w:val="00966F4B"/>
    <w:rsid w:val="00966F74"/>
    <w:rsid w:val="00966FD6"/>
    <w:rsid w:val="009670E8"/>
    <w:rsid w:val="0096714E"/>
    <w:rsid w:val="009672A7"/>
    <w:rsid w:val="00967537"/>
    <w:rsid w:val="009675C2"/>
    <w:rsid w:val="009675E9"/>
    <w:rsid w:val="00967721"/>
    <w:rsid w:val="00967883"/>
    <w:rsid w:val="009678BA"/>
    <w:rsid w:val="00967999"/>
    <w:rsid w:val="00967C5B"/>
    <w:rsid w:val="00967F46"/>
    <w:rsid w:val="00967FB5"/>
    <w:rsid w:val="00970008"/>
    <w:rsid w:val="00970027"/>
    <w:rsid w:val="00970210"/>
    <w:rsid w:val="009703DC"/>
    <w:rsid w:val="009706CB"/>
    <w:rsid w:val="009706D7"/>
    <w:rsid w:val="009706F7"/>
    <w:rsid w:val="00970732"/>
    <w:rsid w:val="00970972"/>
    <w:rsid w:val="00970A1A"/>
    <w:rsid w:val="00970C94"/>
    <w:rsid w:val="00970DE2"/>
    <w:rsid w:val="00970E9A"/>
    <w:rsid w:val="00970EF6"/>
    <w:rsid w:val="00971427"/>
    <w:rsid w:val="009715E8"/>
    <w:rsid w:val="009716D0"/>
    <w:rsid w:val="00972258"/>
    <w:rsid w:val="009726CB"/>
    <w:rsid w:val="00972D62"/>
    <w:rsid w:val="00972E5F"/>
    <w:rsid w:val="00972F44"/>
    <w:rsid w:val="00972F51"/>
    <w:rsid w:val="009731C6"/>
    <w:rsid w:val="0097338E"/>
    <w:rsid w:val="00973419"/>
    <w:rsid w:val="0097349E"/>
    <w:rsid w:val="009735AD"/>
    <w:rsid w:val="00973B87"/>
    <w:rsid w:val="00973DF0"/>
    <w:rsid w:val="00973EE5"/>
    <w:rsid w:val="00973F88"/>
    <w:rsid w:val="00973FE9"/>
    <w:rsid w:val="00974367"/>
    <w:rsid w:val="009749C5"/>
    <w:rsid w:val="00974B76"/>
    <w:rsid w:val="00975109"/>
    <w:rsid w:val="00975349"/>
    <w:rsid w:val="009753CB"/>
    <w:rsid w:val="009754E9"/>
    <w:rsid w:val="00975619"/>
    <w:rsid w:val="0097568F"/>
    <w:rsid w:val="00975865"/>
    <w:rsid w:val="009759FB"/>
    <w:rsid w:val="00975E20"/>
    <w:rsid w:val="00976010"/>
    <w:rsid w:val="00976036"/>
    <w:rsid w:val="009760A5"/>
    <w:rsid w:val="00976181"/>
    <w:rsid w:val="00976781"/>
    <w:rsid w:val="009768DB"/>
    <w:rsid w:val="00976A78"/>
    <w:rsid w:val="00976C8B"/>
    <w:rsid w:val="00976D4E"/>
    <w:rsid w:val="00976E04"/>
    <w:rsid w:val="00976F69"/>
    <w:rsid w:val="00976FBC"/>
    <w:rsid w:val="009771D5"/>
    <w:rsid w:val="0097722E"/>
    <w:rsid w:val="00977406"/>
    <w:rsid w:val="009776BD"/>
    <w:rsid w:val="00977A49"/>
    <w:rsid w:val="00977E66"/>
    <w:rsid w:val="0098003A"/>
    <w:rsid w:val="009800D4"/>
    <w:rsid w:val="009804DD"/>
    <w:rsid w:val="0098064E"/>
    <w:rsid w:val="009807E3"/>
    <w:rsid w:val="009808FF"/>
    <w:rsid w:val="00980AD4"/>
    <w:rsid w:val="00980FE6"/>
    <w:rsid w:val="00981005"/>
    <w:rsid w:val="009810BD"/>
    <w:rsid w:val="00981475"/>
    <w:rsid w:val="009817B4"/>
    <w:rsid w:val="009819A7"/>
    <w:rsid w:val="009819BC"/>
    <w:rsid w:val="00981A2A"/>
    <w:rsid w:val="00981D25"/>
    <w:rsid w:val="009820E2"/>
    <w:rsid w:val="00982462"/>
    <w:rsid w:val="00982543"/>
    <w:rsid w:val="00982587"/>
    <w:rsid w:val="00982738"/>
    <w:rsid w:val="0098277B"/>
    <w:rsid w:val="00982E50"/>
    <w:rsid w:val="00982EAF"/>
    <w:rsid w:val="00982FF6"/>
    <w:rsid w:val="00983040"/>
    <w:rsid w:val="009831B6"/>
    <w:rsid w:val="009831CE"/>
    <w:rsid w:val="00983292"/>
    <w:rsid w:val="009833B6"/>
    <w:rsid w:val="009833F9"/>
    <w:rsid w:val="009834E1"/>
    <w:rsid w:val="00983715"/>
    <w:rsid w:val="00983A55"/>
    <w:rsid w:val="00983A7E"/>
    <w:rsid w:val="00983AB4"/>
    <w:rsid w:val="00983C5F"/>
    <w:rsid w:val="00983D7E"/>
    <w:rsid w:val="00983F1F"/>
    <w:rsid w:val="009841AC"/>
    <w:rsid w:val="00984273"/>
    <w:rsid w:val="009842AF"/>
    <w:rsid w:val="009842EE"/>
    <w:rsid w:val="00984544"/>
    <w:rsid w:val="00984669"/>
    <w:rsid w:val="009848E1"/>
    <w:rsid w:val="00984ADD"/>
    <w:rsid w:val="00984BF4"/>
    <w:rsid w:val="009850F1"/>
    <w:rsid w:val="00985204"/>
    <w:rsid w:val="009853D6"/>
    <w:rsid w:val="00985429"/>
    <w:rsid w:val="00985440"/>
    <w:rsid w:val="009854B3"/>
    <w:rsid w:val="0098575C"/>
    <w:rsid w:val="0098584D"/>
    <w:rsid w:val="009858E9"/>
    <w:rsid w:val="00985BCE"/>
    <w:rsid w:val="00985CA2"/>
    <w:rsid w:val="00985D71"/>
    <w:rsid w:val="00985DEA"/>
    <w:rsid w:val="00985EBC"/>
    <w:rsid w:val="00985F7B"/>
    <w:rsid w:val="0098621C"/>
    <w:rsid w:val="00986453"/>
    <w:rsid w:val="009866F5"/>
    <w:rsid w:val="00986763"/>
    <w:rsid w:val="009868D8"/>
    <w:rsid w:val="00986D11"/>
    <w:rsid w:val="00986FB5"/>
    <w:rsid w:val="009879B3"/>
    <w:rsid w:val="00987B2C"/>
    <w:rsid w:val="00987D29"/>
    <w:rsid w:val="00987F7B"/>
    <w:rsid w:val="00990018"/>
    <w:rsid w:val="00990191"/>
    <w:rsid w:val="00990397"/>
    <w:rsid w:val="009908C3"/>
    <w:rsid w:val="00990AA2"/>
    <w:rsid w:val="00990EC1"/>
    <w:rsid w:val="00991141"/>
    <w:rsid w:val="00991446"/>
    <w:rsid w:val="00991C8F"/>
    <w:rsid w:val="00991EFA"/>
    <w:rsid w:val="0099203E"/>
    <w:rsid w:val="009920CB"/>
    <w:rsid w:val="009920D8"/>
    <w:rsid w:val="00992206"/>
    <w:rsid w:val="009923C1"/>
    <w:rsid w:val="009924D6"/>
    <w:rsid w:val="00992599"/>
    <w:rsid w:val="00992673"/>
    <w:rsid w:val="00992907"/>
    <w:rsid w:val="00992BBA"/>
    <w:rsid w:val="00992D61"/>
    <w:rsid w:val="00992DB2"/>
    <w:rsid w:val="00992E7E"/>
    <w:rsid w:val="00992F65"/>
    <w:rsid w:val="00992F8B"/>
    <w:rsid w:val="009931C6"/>
    <w:rsid w:val="00993219"/>
    <w:rsid w:val="00993335"/>
    <w:rsid w:val="009934F7"/>
    <w:rsid w:val="0099360B"/>
    <w:rsid w:val="00993955"/>
    <w:rsid w:val="009939BC"/>
    <w:rsid w:val="00993EB4"/>
    <w:rsid w:val="009941B4"/>
    <w:rsid w:val="009941EB"/>
    <w:rsid w:val="0099453B"/>
    <w:rsid w:val="00994611"/>
    <w:rsid w:val="00994827"/>
    <w:rsid w:val="009949CE"/>
    <w:rsid w:val="00994A17"/>
    <w:rsid w:val="00994E73"/>
    <w:rsid w:val="00994E9F"/>
    <w:rsid w:val="0099556C"/>
    <w:rsid w:val="00995637"/>
    <w:rsid w:val="0099564F"/>
    <w:rsid w:val="0099575E"/>
    <w:rsid w:val="00995912"/>
    <w:rsid w:val="00995990"/>
    <w:rsid w:val="00995A25"/>
    <w:rsid w:val="00995EAE"/>
    <w:rsid w:val="009960E7"/>
    <w:rsid w:val="009962C4"/>
    <w:rsid w:val="009963D0"/>
    <w:rsid w:val="0099680B"/>
    <w:rsid w:val="00996827"/>
    <w:rsid w:val="0099694D"/>
    <w:rsid w:val="00996E80"/>
    <w:rsid w:val="00996F94"/>
    <w:rsid w:val="00997029"/>
    <w:rsid w:val="009973C3"/>
    <w:rsid w:val="00997437"/>
    <w:rsid w:val="009975D0"/>
    <w:rsid w:val="009975DA"/>
    <w:rsid w:val="009977C2"/>
    <w:rsid w:val="009977EA"/>
    <w:rsid w:val="009978AE"/>
    <w:rsid w:val="00997BCD"/>
    <w:rsid w:val="00997C6B"/>
    <w:rsid w:val="00997C95"/>
    <w:rsid w:val="00997DBD"/>
    <w:rsid w:val="009A0139"/>
    <w:rsid w:val="009A01D4"/>
    <w:rsid w:val="009A0286"/>
    <w:rsid w:val="009A048E"/>
    <w:rsid w:val="009A0542"/>
    <w:rsid w:val="009A059F"/>
    <w:rsid w:val="009A0896"/>
    <w:rsid w:val="009A08D6"/>
    <w:rsid w:val="009A0937"/>
    <w:rsid w:val="009A0991"/>
    <w:rsid w:val="009A0AD7"/>
    <w:rsid w:val="009A0CCA"/>
    <w:rsid w:val="009A0DA3"/>
    <w:rsid w:val="009A100D"/>
    <w:rsid w:val="009A13E1"/>
    <w:rsid w:val="009A13EC"/>
    <w:rsid w:val="009A164C"/>
    <w:rsid w:val="009A1D6A"/>
    <w:rsid w:val="009A1EB7"/>
    <w:rsid w:val="009A214F"/>
    <w:rsid w:val="009A2327"/>
    <w:rsid w:val="009A23EE"/>
    <w:rsid w:val="009A27E3"/>
    <w:rsid w:val="009A2AFB"/>
    <w:rsid w:val="009A2B1E"/>
    <w:rsid w:val="009A2C7F"/>
    <w:rsid w:val="009A2DAD"/>
    <w:rsid w:val="009A2E79"/>
    <w:rsid w:val="009A30A9"/>
    <w:rsid w:val="009A3234"/>
    <w:rsid w:val="009A3258"/>
    <w:rsid w:val="009A3BB0"/>
    <w:rsid w:val="009A3EB4"/>
    <w:rsid w:val="009A3FB6"/>
    <w:rsid w:val="009A405C"/>
    <w:rsid w:val="009A4704"/>
    <w:rsid w:val="009A472C"/>
    <w:rsid w:val="009A4736"/>
    <w:rsid w:val="009A4806"/>
    <w:rsid w:val="009A4952"/>
    <w:rsid w:val="009A4A33"/>
    <w:rsid w:val="009A4B05"/>
    <w:rsid w:val="009A4E0A"/>
    <w:rsid w:val="009A4EAD"/>
    <w:rsid w:val="009A4F65"/>
    <w:rsid w:val="009A4F6E"/>
    <w:rsid w:val="009A4FED"/>
    <w:rsid w:val="009A5723"/>
    <w:rsid w:val="009A57E6"/>
    <w:rsid w:val="009A5937"/>
    <w:rsid w:val="009A5B3B"/>
    <w:rsid w:val="009A5B9E"/>
    <w:rsid w:val="009A5C60"/>
    <w:rsid w:val="009A5C91"/>
    <w:rsid w:val="009A5C94"/>
    <w:rsid w:val="009A5F58"/>
    <w:rsid w:val="009A60EB"/>
    <w:rsid w:val="009A6128"/>
    <w:rsid w:val="009A6180"/>
    <w:rsid w:val="009A61AD"/>
    <w:rsid w:val="009A6204"/>
    <w:rsid w:val="009A6205"/>
    <w:rsid w:val="009A627C"/>
    <w:rsid w:val="009A62A3"/>
    <w:rsid w:val="009A636D"/>
    <w:rsid w:val="009A650E"/>
    <w:rsid w:val="009A6A23"/>
    <w:rsid w:val="009A6C08"/>
    <w:rsid w:val="009A6C64"/>
    <w:rsid w:val="009A6DA6"/>
    <w:rsid w:val="009A6E60"/>
    <w:rsid w:val="009A6E62"/>
    <w:rsid w:val="009A711D"/>
    <w:rsid w:val="009A71C7"/>
    <w:rsid w:val="009A74DC"/>
    <w:rsid w:val="009A76A4"/>
    <w:rsid w:val="009A793C"/>
    <w:rsid w:val="009A797B"/>
    <w:rsid w:val="009A7CBC"/>
    <w:rsid w:val="009A7D56"/>
    <w:rsid w:val="009A7FD8"/>
    <w:rsid w:val="009A7FEF"/>
    <w:rsid w:val="009B0065"/>
    <w:rsid w:val="009B01C9"/>
    <w:rsid w:val="009B03CA"/>
    <w:rsid w:val="009B0525"/>
    <w:rsid w:val="009B0560"/>
    <w:rsid w:val="009B0640"/>
    <w:rsid w:val="009B0741"/>
    <w:rsid w:val="009B0B0E"/>
    <w:rsid w:val="009B0ED1"/>
    <w:rsid w:val="009B0F0F"/>
    <w:rsid w:val="009B123C"/>
    <w:rsid w:val="009B12C9"/>
    <w:rsid w:val="009B18F7"/>
    <w:rsid w:val="009B191C"/>
    <w:rsid w:val="009B1E7A"/>
    <w:rsid w:val="009B2041"/>
    <w:rsid w:val="009B2802"/>
    <w:rsid w:val="009B29A7"/>
    <w:rsid w:val="009B2B0C"/>
    <w:rsid w:val="009B334C"/>
    <w:rsid w:val="009B3434"/>
    <w:rsid w:val="009B3447"/>
    <w:rsid w:val="009B347F"/>
    <w:rsid w:val="009B352E"/>
    <w:rsid w:val="009B3602"/>
    <w:rsid w:val="009B372A"/>
    <w:rsid w:val="009B3A55"/>
    <w:rsid w:val="009B3BFB"/>
    <w:rsid w:val="009B3E00"/>
    <w:rsid w:val="009B3E73"/>
    <w:rsid w:val="009B4013"/>
    <w:rsid w:val="009B40E2"/>
    <w:rsid w:val="009B4132"/>
    <w:rsid w:val="009B41A4"/>
    <w:rsid w:val="009B43F6"/>
    <w:rsid w:val="009B47D3"/>
    <w:rsid w:val="009B486B"/>
    <w:rsid w:val="009B4C31"/>
    <w:rsid w:val="009B4C83"/>
    <w:rsid w:val="009B4D42"/>
    <w:rsid w:val="009B4E73"/>
    <w:rsid w:val="009B4EE7"/>
    <w:rsid w:val="009B517B"/>
    <w:rsid w:val="009B5342"/>
    <w:rsid w:val="009B55D9"/>
    <w:rsid w:val="009B58BA"/>
    <w:rsid w:val="009B5A0F"/>
    <w:rsid w:val="009B60E3"/>
    <w:rsid w:val="009B61BD"/>
    <w:rsid w:val="009B6804"/>
    <w:rsid w:val="009B68BE"/>
    <w:rsid w:val="009B693F"/>
    <w:rsid w:val="009B6B76"/>
    <w:rsid w:val="009B6F3E"/>
    <w:rsid w:val="009B6FD5"/>
    <w:rsid w:val="009B703A"/>
    <w:rsid w:val="009B70A7"/>
    <w:rsid w:val="009B7408"/>
    <w:rsid w:val="009B75F6"/>
    <w:rsid w:val="009B7677"/>
    <w:rsid w:val="009B773F"/>
    <w:rsid w:val="009B7756"/>
    <w:rsid w:val="009C0097"/>
    <w:rsid w:val="009C0155"/>
    <w:rsid w:val="009C08A2"/>
    <w:rsid w:val="009C0999"/>
    <w:rsid w:val="009C0AF9"/>
    <w:rsid w:val="009C0E15"/>
    <w:rsid w:val="009C0FBF"/>
    <w:rsid w:val="009C0FC7"/>
    <w:rsid w:val="009C1270"/>
    <w:rsid w:val="009C12E8"/>
    <w:rsid w:val="009C13C8"/>
    <w:rsid w:val="009C1416"/>
    <w:rsid w:val="009C1691"/>
    <w:rsid w:val="009C1787"/>
    <w:rsid w:val="009C187C"/>
    <w:rsid w:val="009C1C4C"/>
    <w:rsid w:val="009C1EA4"/>
    <w:rsid w:val="009C20A0"/>
    <w:rsid w:val="009C2114"/>
    <w:rsid w:val="009C21C3"/>
    <w:rsid w:val="009C2353"/>
    <w:rsid w:val="009C2378"/>
    <w:rsid w:val="009C2AFF"/>
    <w:rsid w:val="009C2C70"/>
    <w:rsid w:val="009C2DD7"/>
    <w:rsid w:val="009C2E64"/>
    <w:rsid w:val="009C2FC8"/>
    <w:rsid w:val="009C3008"/>
    <w:rsid w:val="009C304E"/>
    <w:rsid w:val="009C3319"/>
    <w:rsid w:val="009C3388"/>
    <w:rsid w:val="009C33C9"/>
    <w:rsid w:val="009C33EA"/>
    <w:rsid w:val="009C36ED"/>
    <w:rsid w:val="009C3807"/>
    <w:rsid w:val="009C38E1"/>
    <w:rsid w:val="009C3949"/>
    <w:rsid w:val="009C3975"/>
    <w:rsid w:val="009C3A0D"/>
    <w:rsid w:val="009C3AE0"/>
    <w:rsid w:val="009C3BF2"/>
    <w:rsid w:val="009C3D46"/>
    <w:rsid w:val="009C3DFD"/>
    <w:rsid w:val="009C4000"/>
    <w:rsid w:val="009C4081"/>
    <w:rsid w:val="009C41C7"/>
    <w:rsid w:val="009C44C3"/>
    <w:rsid w:val="009C450F"/>
    <w:rsid w:val="009C4641"/>
    <w:rsid w:val="009C47BF"/>
    <w:rsid w:val="009C47C0"/>
    <w:rsid w:val="009C49E5"/>
    <w:rsid w:val="009C4A55"/>
    <w:rsid w:val="009C4B9B"/>
    <w:rsid w:val="009C4BD7"/>
    <w:rsid w:val="009C4BF7"/>
    <w:rsid w:val="009C4C9E"/>
    <w:rsid w:val="009C4D19"/>
    <w:rsid w:val="009C4D7D"/>
    <w:rsid w:val="009C4DBB"/>
    <w:rsid w:val="009C4E1C"/>
    <w:rsid w:val="009C4E80"/>
    <w:rsid w:val="009C4E99"/>
    <w:rsid w:val="009C4F08"/>
    <w:rsid w:val="009C4FAB"/>
    <w:rsid w:val="009C5119"/>
    <w:rsid w:val="009C527F"/>
    <w:rsid w:val="009C5291"/>
    <w:rsid w:val="009C5574"/>
    <w:rsid w:val="009C5577"/>
    <w:rsid w:val="009C5A3A"/>
    <w:rsid w:val="009C5C1D"/>
    <w:rsid w:val="009C5C6D"/>
    <w:rsid w:val="009C5FAB"/>
    <w:rsid w:val="009C6116"/>
    <w:rsid w:val="009C6282"/>
    <w:rsid w:val="009C6401"/>
    <w:rsid w:val="009C649C"/>
    <w:rsid w:val="009C6771"/>
    <w:rsid w:val="009C6988"/>
    <w:rsid w:val="009C6A49"/>
    <w:rsid w:val="009C6A85"/>
    <w:rsid w:val="009C6C12"/>
    <w:rsid w:val="009C6C41"/>
    <w:rsid w:val="009C6ED7"/>
    <w:rsid w:val="009C7063"/>
    <w:rsid w:val="009C7565"/>
    <w:rsid w:val="009C7627"/>
    <w:rsid w:val="009C7899"/>
    <w:rsid w:val="009C79DC"/>
    <w:rsid w:val="009C7A0A"/>
    <w:rsid w:val="009C7CBE"/>
    <w:rsid w:val="009D00F3"/>
    <w:rsid w:val="009D0271"/>
    <w:rsid w:val="009D02C7"/>
    <w:rsid w:val="009D0317"/>
    <w:rsid w:val="009D0457"/>
    <w:rsid w:val="009D0800"/>
    <w:rsid w:val="009D09AB"/>
    <w:rsid w:val="009D0D4F"/>
    <w:rsid w:val="009D1317"/>
    <w:rsid w:val="009D1406"/>
    <w:rsid w:val="009D141D"/>
    <w:rsid w:val="009D1432"/>
    <w:rsid w:val="009D1531"/>
    <w:rsid w:val="009D1557"/>
    <w:rsid w:val="009D17CB"/>
    <w:rsid w:val="009D18A9"/>
    <w:rsid w:val="009D1932"/>
    <w:rsid w:val="009D193A"/>
    <w:rsid w:val="009D1ADB"/>
    <w:rsid w:val="009D1C7E"/>
    <w:rsid w:val="009D2084"/>
    <w:rsid w:val="009D20B5"/>
    <w:rsid w:val="009D23AA"/>
    <w:rsid w:val="009D2468"/>
    <w:rsid w:val="009D2884"/>
    <w:rsid w:val="009D29A3"/>
    <w:rsid w:val="009D2E01"/>
    <w:rsid w:val="009D2E53"/>
    <w:rsid w:val="009D2EAB"/>
    <w:rsid w:val="009D319D"/>
    <w:rsid w:val="009D351C"/>
    <w:rsid w:val="009D3641"/>
    <w:rsid w:val="009D3AA0"/>
    <w:rsid w:val="009D3AFF"/>
    <w:rsid w:val="009D3D4C"/>
    <w:rsid w:val="009D3DC2"/>
    <w:rsid w:val="009D3DE2"/>
    <w:rsid w:val="009D3E8F"/>
    <w:rsid w:val="009D41D8"/>
    <w:rsid w:val="009D421D"/>
    <w:rsid w:val="009D426A"/>
    <w:rsid w:val="009D469D"/>
    <w:rsid w:val="009D4C32"/>
    <w:rsid w:val="009D4DD5"/>
    <w:rsid w:val="009D4E2C"/>
    <w:rsid w:val="009D4E82"/>
    <w:rsid w:val="009D4EBB"/>
    <w:rsid w:val="009D511C"/>
    <w:rsid w:val="009D51DF"/>
    <w:rsid w:val="009D5249"/>
    <w:rsid w:val="009D53BD"/>
    <w:rsid w:val="009D57AA"/>
    <w:rsid w:val="009D5C06"/>
    <w:rsid w:val="009D5DF5"/>
    <w:rsid w:val="009D5EF5"/>
    <w:rsid w:val="009D5F4A"/>
    <w:rsid w:val="009D5F7D"/>
    <w:rsid w:val="009D5F83"/>
    <w:rsid w:val="009D5FD3"/>
    <w:rsid w:val="009D5FE6"/>
    <w:rsid w:val="009D64AE"/>
    <w:rsid w:val="009D6F0A"/>
    <w:rsid w:val="009D73EC"/>
    <w:rsid w:val="009D75C7"/>
    <w:rsid w:val="009D7694"/>
    <w:rsid w:val="009D777D"/>
    <w:rsid w:val="009D7784"/>
    <w:rsid w:val="009D7818"/>
    <w:rsid w:val="009D7A26"/>
    <w:rsid w:val="009D7AEB"/>
    <w:rsid w:val="009E01DE"/>
    <w:rsid w:val="009E0209"/>
    <w:rsid w:val="009E0254"/>
    <w:rsid w:val="009E032F"/>
    <w:rsid w:val="009E0390"/>
    <w:rsid w:val="009E05F4"/>
    <w:rsid w:val="009E06C0"/>
    <w:rsid w:val="009E0880"/>
    <w:rsid w:val="009E097E"/>
    <w:rsid w:val="009E0ADE"/>
    <w:rsid w:val="009E0DDE"/>
    <w:rsid w:val="009E0E93"/>
    <w:rsid w:val="009E1013"/>
    <w:rsid w:val="009E116F"/>
    <w:rsid w:val="009E1395"/>
    <w:rsid w:val="009E13F8"/>
    <w:rsid w:val="009E192D"/>
    <w:rsid w:val="009E1BB7"/>
    <w:rsid w:val="009E1C7F"/>
    <w:rsid w:val="009E1CD2"/>
    <w:rsid w:val="009E1D64"/>
    <w:rsid w:val="009E1E19"/>
    <w:rsid w:val="009E1FE1"/>
    <w:rsid w:val="009E23F7"/>
    <w:rsid w:val="009E2542"/>
    <w:rsid w:val="009E2635"/>
    <w:rsid w:val="009E2686"/>
    <w:rsid w:val="009E26F6"/>
    <w:rsid w:val="009E2A37"/>
    <w:rsid w:val="009E2A89"/>
    <w:rsid w:val="009E2C1A"/>
    <w:rsid w:val="009E2CBA"/>
    <w:rsid w:val="009E2D2F"/>
    <w:rsid w:val="009E2FBE"/>
    <w:rsid w:val="009E32DA"/>
    <w:rsid w:val="009E3373"/>
    <w:rsid w:val="009E3574"/>
    <w:rsid w:val="009E360F"/>
    <w:rsid w:val="009E3A09"/>
    <w:rsid w:val="009E3E5A"/>
    <w:rsid w:val="009E3FBB"/>
    <w:rsid w:val="009E422D"/>
    <w:rsid w:val="009E42CE"/>
    <w:rsid w:val="009E4411"/>
    <w:rsid w:val="009E488B"/>
    <w:rsid w:val="009E48D5"/>
    <w:rsid w:val="009E4E98"/>
    <w:rsid w:val="009E4FA1"/>
    <w:rsid w:val="009E53B4"/>
    <w:rsid w:val="009E549A"/>
    <w:rsid w:val="009E573A"/>
    <w:rsid w:val="009E57DC"/>
    <w:rsid w:val="009E5967"/>
    <w:rsid w:val="009E59C2"/>
    <w:rsid w:val="009E5D14"/>
    <w:rsid w:val="009E5D47"/>
    <w:rsid w:val="009E61D5"/>
    <w:rsid w:val="009E6268"/>
    <w:rsid w:val="009E6586"/>
    <w:rsid w:val="009E660E"/>
    <w:rsid w:val="009E666A"/>
    <w:rsid w:val="009E6840"/>
    <w:rsid w:val="009E6976"/>
    <w:rsid w:val="009E6C07"/>
    <w:rsid w:val="009E6F0F"/>
    <w:rsid w:val="009E6F18"/>
    <w:rsid w:val="009E6FF9"/>
    <w:rsid w:val="009E7105"/>
    <w:rsid w:val="009E72A6"/>
    <w:rsid w:val="009E7441"/>
    <w:rsid w:val="009E77FF"/>
    <w:rsid w:val="009E7BA6"/>
    <w:rsid w:val="009E7D08"/>
    <w:rsid w:val="009F006A"/>
    <w:rsid w:val="009F0421"/>
    <w:rsid w:val="009F043D"/>
    <w:rsid w:val="009F07A4"/>
    <w:rsid w:val="009F07CA"/>
    <w:rsid w:val="009F09DB"/>
    <w:rsid w:val="009F0B6A"/>
    <w:rsid w:val="009F0E56"/>
    <w:rsid w:val="009F0EE2"/>
    <w:rsid w:val="009F0F77"/>
    <w:rsid w:val="009F0FC8"/>
    <w:rsid w:val="009F10A9"/>
    <w:rsid w:val="009F16DB"/>
    <w:rsid w:val="009F1773"/>
    <w:rsid w:val="009F18B7"/>
    <w:rsid w:val="009F1B51"/>
    <w:rsid w:val="009F1D2C"/>
    <w:rsid w:val="009F21C9"/>
    <w:rsid w:val="009F2204"/>
    <w:rsid w:val="009F24B3"/>
    <w:rsid w:val="009F2776"/>
    <w:rsid w:val="009F2A2A"/>
    <w:rsid w:val="009F2A2F"/>
    <w:rsid w:val="009F2B9B"/>
    <w:rsid w:val="009F2BCF"/>
    <w:rsid w:val="009F2BF8"/>
    <w:rsid w:val="009F2FF7"/>
    <w:rsid w:val="009F34B6"/>
    <w:rsid w:val="009F3632"/>
    <w:rsid w:val="009F37D0"/>
    <w:rsid w:val="009F3A09"/>
    <w:rsid w:val="009F3BC8"/>
    <w:rsid w:val="009F3C95"/>
    <w:rsid w:val="009F3DA4"/>
    <w:rsid w:val="009F3DD4"/>
    <w:rsid w:val="009F401A"/>
    <w:rsid w:val="009F4329"/>
    <w:rsid w:val="009F444A"/>
    <w:rsid w:val="009F45D4"/>
    <w:rsid w:val="009F4743"/>
    <w:rsid w:val="009F4C3D"/>
    <w:rsid w:val="009F4CCB"/>
    <w:rsid w:val="009F4D69"/>
    <w:rsid w:val="009F509B"/>
    <w:rsid w:val="009F50BA"/>
    <w:rsid w:val="009F5499"/>
    <w:rsid w:val="009F57B3"/>
    <w:rsid w:val="009F57B5"/>
    <w:rsid w:val="009F5851"/>
    <w:rsid w:val="009F59DA"/>
    <w:rsid w:val="009F5AF6"/>
    <w:rsid w:val="009F5BC7"/>
    <w:rsid w:val="009F5EDF"/>
    <w:rsid w:val="009F602A"/>
    <w:rsid w:val="009F6034"/>
    <w:rsid w:val="009F618D"/>
    <w:rsid w:val="009F6CA3"/>
    <w:rsid w:val="009F6DE6"/>
    <w:rsid w:val="009F6E69"/>
    <w:rsid w:val="009F70E4"/>
    <w:rsid w:val="009F72FC"/>
    <w:rsid w:val="009F733E"/>
    <w:rsid w:val="009F77D1"/>
    <w:rsid w:val="009F78CB"/>
    <w:rsid w:val="009F7B15"/>
    <w:rsid w:val="009F7D12"/>
    <w:rsid w:val="009F7FF4"/>
    <w:rsid w:val="00A005CA"/>
    <w:rsid w:val="00A00964"/>
    <w:rsid w:val="00A00A86"/>
    <w:rsid w:val="00A00D32"/>
    <w:rsid w:val="00A00FFB"/>
    <w:rsid w:val="00A01196"/>
    <w:rsid w:val="00A01433"/>
    <w:rsid w:val="00A014A8"/>
    <w:rsid w:val="00A01651"/>
    <w:rsid w:val="00A0169F"/>
    <w:rsid w:val="00A0170C"/>
    <w:rsid w:val="00A01761"/>
    <w:rsid w:val="00A0178D"/>
    <w:rsid w:val="00A0179B"/>
    <w:rsid w:val="00A01E5E"/>
    <w:rsid w:val="00A01F1A"/>
    <w:rsid w:val="00A023FC"/>
    <w:rsid w:val="00A024EF"/>
    <w:rsid w:val="00A0258C"/>
    <w:rsid w:val="00A02595"/>
    <w:rsid w:val="00A0290C"/>
    <w:rsid w:val="00A02A0A"/>
    <w:rsid w:val="00A02E88"/>
    <w:rsid w:val="00A02F1B"/>
    <w:rsid w:val="00A02FDA"/>
    <w:rsid w:val="00A0306A"/>
    <w:rsid w:val="00A031A1"/>
    <w:rsid w:val="00A0333A"/>
    <w:rsid w:val="00A03478"/>
    <w:rsid w:val="00A03706"/>
    <w:rsid w:val="00A03A90"/>
    <w:rsid w:val="00A03B9B"/>
    <w:rsid w:val="00A03FC6"/>
    <w:rsid w:val="00A0417F"/>
    <w:rsid w:val="00A042D4"/>
    <w:rsid w:val="00A04345"/>
    <w:rsid w:val="00A04439"/>
    <w:rsid w:val="00A04554"/>
    <w:rsid w:val="00A04705"/>
    <w:rsid w:val="00A0498D"/>
    <w:rsid w:val="00A04A17"/>
    <w:rsid w:val="00A04BA7"/>
    <w:rsid w:val="00A04D36"/>
    <w:rsid w:val="00A04D3F"/>
    <w:rsid w:val="00A04D59"/>
    <w:rsid w:val="00A04F05"/>
    <w:rsid w:val="00A04F64"/>
    <w:rsid w:val="00A0510F"/>
    <w:rsid w:val="00A052D7"/>
    <w:rsid w:val="00A05360"/>
    <w:rsid w:val="00A05641"/>
    <w:rsid w:val="00A0577B"/>
    <w:rsid w:val="00A059A9"/>
    <w:rsid w:val="00A05B97"/>
    <w:rsid w:val="00A05BDF"/>
    <w:rsid w:val="00A05EFB"/>
    <w:rsid w:val="00A06122"/>
    <w:rsid w:val="00A06214"/>
    <w:rsid w:val="00A062EE"/>
    <w:rsid w:val="00A065F1"/>
    <w:rsid w:val="00A06744"/>
    <w:rsid w:val="00A06B25"/>
    <w:rsid w:val="00A06C12"/>
    <w:rsid w:val="00A070D2"/>
    <w:rsid w:val="00A0783F"/>
    <w:rsid w:val="00A07DF0"/>
    <w:rsid w:val="00A07E1F"/>
    <w:rsid w:val="00A07E92"/>
    <w:rsid w:val="00A07EAD"/>
    <w:rsid w:val="00A07FAC"/>
    <w:rsid w:val="00A10065"/>
    <w:rsid w:val="00A1041B"/>
    <w:rsid w:val="00A104DE"/>
    <w:rsid w:val="00A10599"/>
    <w:rsid w:val="00A10798"/>
    <w:rsid w:val="00A10881"/>
    <w:rsid w:val="00A10C17"/>
    <w:rsid w:val="00A10C1A"/>
    <w:rsid w:val="00A10D62"/>
    <w:rsid w:val="00A10E1A"/>
    <w:rsid w:val="00A10E20"/>
    <w:rsid w:val="00A10E77"/>
    <w:rsid w:val="00A10EFD"/>
    <w:rsid w:val="00A11038"/>
    <w:rsid w:val="00A1117E"/>
    <w:rsid w:val="00A112E3"/>
    <w:rsid w:val="00A112EE"/>
    <w:rsid w:val="00A1130C"/>
    <w:rsid w:val="00A113A8"/>
    <w:rsid w:val="00A11548"/>
    <w:rsid w:val="00A1154D"/>
    <w:rsid w:val="00A1165C"/>
    <w:rsid w:val="00A11967"/>
    <w:rsid w:val="00A11AD7"/>
    <w:rsid w:val="00A11CEA"/>
    <w:rsid w:val="00A1210E"/>
    <w:rsid w:val="00A12126"/>
    <w:rsid w:val="00A123F1"/>
    <w:rsid w:val="00A124DC"/>
    <w:rsid w:val="00A1267B"/>
    <w:rsid w:val="00A12684"/>
    <w:rsid w:val="00A12A17"/>
    <w:rsid w:val="00A12BCD"/>
    <w:rsid w:val="00A12C72"/>
    <w:rsid w:val="00A13107"/>
    <w:rsid w:val="00A13136"/>
    <w:rsid w:val="00A13246"/>
    <w:rsid w:val="00A132C7"/>
    <w:rsid w:val="00A13694"/>
    <w:rsid w:val="00A13754"/>
    <w:rsid w:val="00A13833"/>
    <w:rsid w:val="00A138C0"/>
    <w:rsid w:val="00A1392E"/>
    <w:rsid w:val="00A13958"/>
    <w:rsid w:val="00A1396B"/>
    <w:rsid w:val="00A139F0"/>
    <w:rsid w:val="00A139F3"/>
    <w:rsid w:val="00A13D68"/>
    <w:rsid w:val="00A13E63"/>
    <w:rsid w:val="00A1447B"/>
    <w:rsid w:val="00A1448C"/>
    <w:rsid w:val="00A14E15"/>
    <w:rsid w:val="00A14E9A"/>
    <w:rsid w:val="00A14F3D"/>
    <w:rsid w:val="00A14FEA"/>
    <w:rsid w:val="00A15087"/>
    <w:rsid w:val="00A1586E"/>
    <w:rsid w:val="00A159FC"/>
    <w:rsid w:val="00A15B8B"/>
    <w:rsid w:val="00A15C27"/>
    <w:rsid w:val="00A15C5D"/>
    <w:rsid w:val="00A15D49"/>
    <w:rsid w:val="00A15E15"/>
    <w:rsid w:val="00A15E54"/>
    <w:rsid w:val="00A15F84"/>
    <w:rsid w:val="00A16122"/>
    <w:rsid w:val="00A164B2"/>
    <w:rsid w:val="00A164C2"/>
    <w:rsid w:val="00A165E5"/>
    <w:rsid w:val="00A169B4"/>
    <w:rsid w:val="00A16AD5"/>
    <w:rsid w:val="00A16D69"/>
    <w:rsid w:val="00A16D9D"/>
    <w:rsid w:val="00A16E0A"/>
    <w:rsid w:val="00A16FA4"/>
    <w:rsid w:val="00A1719C"/>
    <w:rsid w:val="00A172F6"/>
    <w:rsid w:val="00A1752B"/>
    <w:rsid w:val="00A17906"/>
    <w:rsid w:val="00A17C58"/>
    <w:rsid w:val="00A17C9F"/>
    <w:rsid w:val="00A200C7"/>
    <w:rsid w:val="00A200CC"/>
    <w:rsid w:val="00A206A5"/>
    <w:rsid w:val="00A20885"/>
    <w:rsid w:val="00A208A7"/>
    <w:rsid w:val="00A20D0E"/>
    <w:rsid w:val="00A20D33"/>
    <w:rsid w:val="00A20E4C"/>
    <w:rsid w:val="00A210FC"/>
    <w:rsid w:val="00A211CE"/>
    <w:rsid w:val="00A212F7"/>
    <w:rsid w:val="00A213B0"/>
    <w:rsid w:val="00A213B3"/>
    <w:rsid w:val="00A21532"/>
    <w:rsid w:val="00A2163A"/>
    <w:rsid w:val="00A2168E"/>
    <w:rsid w:val="00A21746"/>
    <w:rsid w:val="00A2175A"/>
    <w:rsid w:val="00A217B3"/>
    <w:rsid w:val="00A21874"/>
    <w:rsid w:val="00A21A49"/>
    <w:rsid w:val="00A21D77"/>
    <w:rsid w:val="00A21EC0"/>
    <w:rsid w:val="00A21ED9"/>
    <w:rsid w:val="00A21EF6"/>
    <w:rsid w:val="00A2202D"/>
    <w:rsid w:val="00A224EE"/>
    <w:rsid w:val="00A22827"/>
    <w:rsid w:val="00A22878"/>
    <w:rsid w:val="00A22B60"/>
    <w:rsid w:val="00A22E76"/>
    <w:rsid w:val="00A22FE3"/>
    <w:rsid w:val="00A230D9"/>
    <w:rsid w:val="00A23540"/>
    <w:rsid w:val="00A235C5"/>
    <w:rsid w:val="00A236B3"/>
    <w:rsid w:val="00A23705"/>
    <w:rsid w:val="00A23803"/>
    <w:rsid w:val="00A238DB"/>
    <w:rsid w:val="00A23A5C"/>
    <w:rsid w:val="00A23C36"/>
    <w:rsid w:val="00A23E87"/>
    <w:rsid w:val="00A23FB7"/>
    <w:rsid w:val="00A242C8"/>
    <w:rsid w:val="00A24365"/>
    <w:rsid w:val="00A24469"/>
    <w:rsid w:val="00A244DA"/>
    <w:rsid w:val="00A2453F"/>
    <w:rsid w:val="00A24670"/>
    <w:rsid w:val="00A24673"/>
    <w:rsid w:val="00A250B5"/>
    <w:rsid w:val="00A250BD"/>
    <w:rsid w:val="00A25207"/>
    <w:rsid w:val="00A25872"/>
    <w:rsid w:val="00A25A6C"/>
    <w:rsid w:val="00A25A79"/>
    <w:rsid w:val="00A25CB0"/>
    <w:rsid w:val="00A25D23"/>
    <w:rsid w:val="00A25E3C"/>
    <w:rsid w:val="00A25E7E"/>
    <w:rsid w:val="00A25EFB"/>
    <w:rsid w:val="00A25F93"/>
    <w:rsid w:val="00A26068"/>
    <w:rsid w:val="00A26561"/>
    <w:rsid w:val="00A26582"/>
    <w:rsid w:val="00A26609"/>
    <w:rsid w:val="00A266BB"/>
    <w:rsid w:val="00A2681E"/>
    <w:rsid w:val="00A26A5E"/>
    <w:rsid w:val="00A26A7B"/>
    <w:rsid w:val="00A26E8F"/>
    <w:rsid w:val="00A26FE6"/>
    <w:rsid w:val="00A270B0"/>
    <w:rsid w:val="00A2714A"/>
    <w:rsid w:val="00A2736E"/>
    <w:rsid w:val="00A275FE"/>
    <w:rsid w:val="00A27A28"/>
    <w:rsid w:val="00A27CBE"/>
    <w:rsid w:val="00A27EB2"/>
    <w:rsid w:val="00A27FA9"/>
    <w:rsid w:val="00A3002B"/>
    <w:rsid w:val="00A30577"/>
    <w:rsid w:val="00A30659"/>
    <w:rsid w:val="00A306C6"/>
    <w:rsid w:val="00A30881"/>
    <w:rsid w:val="00A30AB6"/>
    <w:rsid w:val="00A30B55"/>
    <w:rsid w:val="00A30CD0"/>
    <w:rsid w:val="00A30CD5"/>
    <w:rsid w:val="00A30DA4"/>
    <w:rsid w:val="00A30FF8"/>
    <w:rsid w:val="00A31049"/>
    <w:rsid w:val="00A310A2"/>
    <w:rsid w:val="00A310C0"/>
    <w:rsid w:val="00A316DC"/>
    <w:rsid w:val="00A31880"/>
    <w:rsid w:val="00A3193A"/>
    <w:rsid w:val="00A31C17"/>
    <w:rsid w:val="00A31C23"/>
    <w:rsid w:val="00A31E5C"/>
    <w:rsid w:val="00A31E66"/>
    <w:rsid w:val="00A323A5"/>
    <w:rsid w:val="00A3280D"/>
    <w:rsid w:val="00A32CDF"/>
    <w:rsid w:val="00A32F07"/>
    <w:rsid w:val="00A33092"/>
    <w:rsid w:val="00A33267"/>
    <w:rsid w:val="00A332A7"/>
    <w:rsid w:val="00A33785"/>
    <w:rsid w:val="00A33A0D"/>
    <w:rsid w:val="00A33C70"/>
    <w:rsid w:val="00A33E3C"/>
    <w:rsid w:val="00A33FD9"/>
    <w:rsid w:val="00A34021"/>
    <w:rsid w:val="00A3404B"/>
    <w:rsid w:val="00A34181"/>
    <w:rsid w:val="00A34890"/>
    <w:rsid w:val="00A34C53"/>
    <w:rsid w:val="00A34C7A"/>
    <w:rsid w:val="00A34DC3"/>
    <w:rsid w:val="00A34DD1"/>
    <w:rsid w:val="00A34EFD"/>
    <w:rsid w:val="00A350AE"/>
    <w:rsid w:val="00A35256"/>
    <w:rsid w:val="00A35481"/>
    <w:rsid w:val="00A3568E"/>
    <w:rsid w:val="00A35896"/>
    <w:rsid w:val="00A35B99"/>
    <w:rsid w:val="00A35BBB"/>
    <w:rsid w:val="00A3609F"/>
    <w:rsid w:val="00A362C4"/>
    <w:rsid w:val="00A365ED"/>
    <w:rsid w:val="00A366A3"/>
    <w:rsid w:val="00A36785"/>
    <w:rsid w:val="00A368BA"/>
    <w:rsid w:val="00A36C2D"/>
    <w:rsid w:val="00A36DC4"/>
    <w:rsid w:val="00A36DE4"/>
    <w:rsid w:val="00A36E2B"/>
    <w:rsid w:val="00A36EC5"/>
    <w:rsid w:val="00A36F4A"/>
    <w:rsid w:val="00A3703F"/>
    <w:rsid w:val="00A375BA"/>
    <w:rsid w:val="00A377CB"/>
    <w:rsid w:val="00A37850"/>
    <w:rsid w:val="00A37863"/>
    <w:rsid w:val="00A37DA4"/>
    <w:rsid w:val="00A40174"/>
    <w:rsid w:val="00A402A2"/>
    <w:rsid w:val="00A40478"/>
    <w:rsid w:val="00A405A1"/>
    <w:rsid w:val="00A4060F"/>
    <w:rsid w:val="00A40720"/>
    <w:rsid w:val="00A40793"/>
    <w:rsid w:val="00A40D97"/>
    <w:rsid w:val="00A40E4D"/>
    <w:rsid w:val="00A411CD"/>
    <w:rsid w:val="00A4139A"/>
    <w:rsid w:val="00A41408"/>
    <w:rsid w:val="00A417EB"/>
    <w:rsid w:val="00A41AED"/>
    <w:rsid w:val="00A41C4A"/>
    <w:rsid w:val="00A41CB3"/>
    <w:rsid w:val="00A41D1A"/>
    <w:rsid w:val="00A41DBE"/>
    <w:rsid w:val="00A41FEC"/>
    <w:rsid w:val="00A4215F"/>
    <w:rsid w:val="00A4221C"/>
    <w:rsid w:val="00A4231A"/>
    <w:rsid w:val="00A425C0"/>
    <w:rsid w:val="00A42883"/>
    <w:rsid w:val="00A42A60"/>
    <w:rsid w:val="00A432A5"/>
    <w:rsid w:val="00A433FA"/>
    <w:rsid w:val="00A43592"/>
    <w:rsid w:val="00A4359D"/>
    <w:rsid w:val="00A439C5"/>
    <w:rsid w:val="00A43AAD"/>
    <w:rsid w:val="00A43C05"/>
    <w:rsid w:val="00A43D0A"/>
    <w:rsid w:val="00A43D8C"/>
    <w:rsid w:val="00A442D5"/>
    <w:rsid w:val="00A44440"/>
    <w:rsid w:val="00A4447D"/>
    <w:rsid w:val="00A445A8"/>
    <w:rsid w:val="00A4467D"/>
    <w:rsid w:val="00A44736"/>
    <w:rsid w:val="00A448CA"/>
    <w:rsid w:val="00A44943"/>
    <w:rsid w:val="00A44983"/>
    <w:rsid w:val="00A44AD1"/>
    <w:rsid w:val="00A450EC"/>
    <w:rsid w:val="00A45188"/>
    <w:rsid w:val="00A4529F"/>
    <w:rsid w:val="00A4557C"/>
    <w:rsid w:val="00A45639"/>
    <w:rsid w:val="00A4588D"/>
    <w:rsid w:val="00A45A3B"/>
    <w:rsid w:val="00A45B08"/>
    <w:rsid w:val="00A45CF3"/>
    <w:rsid w:val="00A45DF4"/>
    <w:rsid w:val="00A46130"/>
    <w:rsid w:val="00A461C9"/>
    <w:rsid w:val="00A4656E"/>
    <w:rsid w:val="00A465EB"/>
    <w:rsid w:val="00A466BF"/>
    <w:rsid w:val="00A46A43"/>
    <w:rsid w:val="00A46AA9"/>
    <w:rsid w:val="00A46AE7"/>
    <w:rsid w:val="00A46E87"/>
    <w:rsid w:val="00A47067"/>
    <w:rsid w:val="00A470C5"/>
    <w:rsid w:val="00A47170"/>
    <w:rsid w:val="00A4749B"/>
    <w:rsid w:val="00A4758B"/>
    <w:rsid w:val="00A47686"/>
    <w:rsid w:val="00A47868"/>
    <w:rsid w:val="00A4794E"/>
    <w:rsid w:val="00A47955"/>
    <w:rsid w:val="00A479F4"/>
    <w:rsid w:val="00A47A52"/>
    <w:rsid w:val="00A47DC8"/>
    <w:rsid w:val="00A47F41"/>
    <w:rsid w:val="00A47F75"/>
    <w:rsid w:val="00A50261"/>
    <w:rsid w:val="00A50400"/>
    <w:rsid w:val="00A50762"/>
    <w:rsid w:val="00A50930"/>
    <w:rsid w:val="00A50A90"/>
    <w:rsid w:val="00A50A9F"/>
    <w:rsid w:val="00A50CB7"/>
    <w:rsid w:val="00A50E5C"/>
    <w:rsid w:val="00A512B2"/>
    <w:rsid w:val="00A5144A"/>
    <w:rsid w:val="00A518B2"/>
    <w:rsid w:val="00A51A31"/>
    <w:rsid w:val="00A51C37"/>
    <w:rsid w:val="00A51C81"/>
    <w:rsid w:val="00A51F92"/>
    <w:rsid w:val="00A52115"/>
    <w:rsid w:val="00A5243D"/>
    <w:rsid w:val="00A524F6"/>
    <w:rsid w:val="00A52506"/>
    <w:rsid w:val="00A52554"/>
    <w:rsid w:val="00A52721"/>
    <w:rsid w:val="00A52DDF"/>
    <w:rsid w:val="00A52DF8"/>
    <w:rsid w:val="00A53116"/>
    <w:rsid w:val="00A531E1"/>
    <w:rsid w:val="00A533E4"/>
    <w:rsid w:val="00A53496"/>
    <w:rsid w:val="00A53505"/>
    <w:rsid w:val="00A53555"/>
    <w:rsid w:val="00A53653"/>
    <w:rsid w:val="00A53806"/>
    <w:rsid w:val="00A53864"/>
    <w:rsid w:val="00A53877"/>
    <w:rsid w:val="00A53AE6"/>
    <w:rsid w:val="00A53C86"/>
    <w:rsid w:val="00A5416A"/>
    <w:rsid w:val="00A541B9"/>
    <w:rsid w:val="00A54517"/>
    <w:rsid w:val="00A5476B"/>
    <w:rsid w:val="00A547C1"/>
    <w:rsid w:val="00A54814"/>
    <w:rsid w:val="00A54863"/>
    <w:rsid w:val="00A54942"/>
    <w:rsid w:val="00A54FD3"/>
    <w:rsid w:val="00A5504A"/>
    <w:rsid w:val="00A55305"/>
    <w:rsid w:val="00A55879"/>
    <w:rsid w:val="00A55912"/>
    <w:rsid w:val="00A5594E"/>
    <w:rsid w:val="00A55A38"/>
    <w:rsid w:val="00A55E2C"/>
    <w:rsid w:val="00A55FAD"/>
    <w:rsid w:val="00A56023"/>
    <w:rsid w:val="00A5640B"/>
    <w:rsid w:val="00A564DE"/>
    <w:rsid w:val="00A56552"/>
    <w:rsid w:val="00A56632"/>
    <w:rsid w:val="00A56848"/>
    <w:rsid w:val="00A56CAC"/>
    <w:rsid w:val="00A56CB2"/>
    <w:rsid w:val="00A56DC8"/>
    <w:rsid w:val="00A56DDC"/>
    <w:rsid w:val="00A56F68"/>
    <w:rsid w:val="00A56F81"/>
    <w:rsid w:val="00A573F7"/>
    <w:rsid w:val="00A574AA"/>
    <w:rsid w:val="00A57A03"/>
    <w:rsid w:val="00A57AA0"/>
    <w:rsid w:val="00A57C8B"/>
    <w:rsid w:val="00A57CA2"/>
    <w:rsid w:val="00A57ED7"/>
    <w:rsid w:val="00A60101"/>
    <w:rsid w:val="00A601CD"/>
    <w:rsid w:val="00A6033E"/>
    <w:rsid w:val="00A60570"/>
    <w:rsid w:val="00A606CE"/>
    <w:rsid w:val="00A60763"/>
    <w:rsid w:val="00A6076D"/>
    <w:rsid w:val="00A607F0"/>
    <w:rsid w:val="00A6086D"/>
    <w:rsid w:val="00A60960"/>
    <w:rsid w:val="00A60D78"/>
    <w:rsid w:val="00A610B5"/>
    <w:rsid w:val="00A6118A"/>
    <w:rsid w:val="00A61435"/>
    <w:rsid w:val="00A614B5"/>
    <w:rsid w:val="00A61751"/>
    <w:rsid w:val="00A61890"/>
    <w:rsid w:val="00A619C7"/>
    <w:rsid w:val="00A61A57"/>
    <w:rsid w:val="00A623D4"/>
    <w:rsid w:val="00A624A9"/>
    <w:rsid w:val="00A62A62"/>
    <w:rsid w:val="00A62ACE"/>
    <w:rsid w:val="00A62BE3"/>
    <w:rsid w:val="00A62D84"/>
    <w:rsid w:val="00A62E38"/>
    <w:rsid w:val="00A62F32"/>
    <w:rsid w:val="00A6307B"/>
    <w:rsid w:val="00A63170"/>
    <w:rsid w:val="00A63B11"/>
    <w:rsid w:val="00A63BC8"/>
    <w:rsid w:val="00A63D97"/>
    <w:rsid w:val="00A63F46"/>
    <w:rsid w:val="00A640B7"/>
    <w:rsid w:val="00A641A5"/>
    <w:rsid w:val="00A642F6"/>
    <w:rsid w:val="00A64315"/>
    <w:rsid w:val="00A643D0"/>
    <w:rsid w:val="00A645C3"/>
    <w:rsid w:val="00A64A12"/>
    <w:rsid w:val="00A64A7B"/>
    <w:rsid w:val="00A64CD8"/>
    <w:rsid w:val="00A64D50"/>
    <w:rsid w:val="00A64E5B"/>
    <w:rsid w:val="00A6513B"/>
    <w:rsid w:val="00A65184"/>
    <w:rsid w:val="00A654DA"/>
    <w:rsid w:val="00A656F3"/>
    <w:rsid w:val="00A658E5"/>
    <w:rsid w:val="00A65982"/>
    <w:rsid w:val="00A65A09"/>
    <w:rsid w:val="00A65B6B"/>
    <w:rsid w:val="00A65BBE"/>
    <w:rsid w:val="00A65BE2"/>
    <w:rsid w:val="00A66324"/>
    <w:rsid w:val="00A66543"/>
    <w:rsid w:val="00A665DB"/>
    <w:rsid w:val="00A668CC"/>
    <w:rsid w:val="00A668E8"/>
    <w:rsid w:val="00A66A0D"/>
    <w:rsid w:val="00A66C3C"/>
    <w:rsid w:val="00A67057"/>
    <w:rsid w:val="00A670F1"/>
    <w:rsid w:val="00A67448"/>
    <w:rsid w:val="00A676FE"/>
    <w:rsid w:val="00A679BC"/>
    <w:rsid w:val="00A67C87"/>
    <w:rsid w:val="00A67F64"/>
    <w:rsid w:val="00A700A9"/>
    <w:rsid w:val="00A7019F"/>
    <w:rsid w:val="00A70233"/>
    <w:rsid w:val="00A7055A"/>
    <w:rsid w:val="00A70632"/>
    <w:rsid w:val="00A70653"/>
    <w:rsid w:val="00A7092F"/>
    <w:rsid w:val="00A7098E"/>
    <w:rsid w:val="00A70A25"/>
    <w:rsid w:val="00A70B3F"/>
    <w:rsid w:val="00A716F5"/>
    <w:rsid w:val="00A7178D"/>
    <w:rsid w:val="00A717E5"/>
    <w:rsid w:val="00A718A6"/>
    <w:rsid w:val="00A71B69"/>
    <w:rsid w:val="00A71D36"/>
    <w:rsid w:val="00A71DC0"/>
    <w:rsid w:val="00A71E6F"/>
    <w:rsid w:val="00A721A9"/>
    <w:rsid w:val="00A72477"/>
    <w:rsid w:val="00A72484"/>
    <w:rsid w:val="00A724E8"/>
    <w:rsid w:val="00A725AB"/>
    <w:rsid w:val="00A72756"/>
    <w:rsid w:val="00A72819"/>
    <w:rsid w:val="00A72C5B"/>
    <w:rsid w:val="00A72D19"/>
    <w:rsid w:val="00A730F7"/>
    <w:rsid w:val="00A73252"/>
    <w:rsid w:val="00A7333E"/>
    <w:rsid w:val="00A736B3"/>
    <w:rsid w:val="00A736E7"/>
    <w:rsid w:val="00A7379C"/>
    <w:rsid w:val="00A737FF"/>
    <w:rsid w:val="00A73AF5"/>
    <w:rsid w:val="00A73B58"/>
    <w:rsid w:val="00A73C64"/>
    <w:rsid w:val="00A73E2E"/>
    <w:rsid w:val="00A74521"/>
    <w:rsid w:val="00A7452B"/>
    <w:rsid w:val="00A74675"/>
    <w:rsid w:val="00A747D9"/>
    <w:rsid w:val="00A74976"/>
    <w:rsid w:val="00A74A1C"/>
    <w:rsid w:val="00A74ADF"/>
    <w:rsid w:val="00A74CC8"/>
    <w:rsid w:val="00A74E44"/>
    <w:rsid w:val="00A74F10"/>
    <w:rsid w:val="00A74F83"/>
    <w:rsid w:val="00A74FA8"/>
    <w:rsid w:val="00A753BB"/>
    <w:rsid w:val="00A755BE"/>
    <w:rsid w:val="00A759B1"/>
    <w:rsid w:val="00A75B87"/>
    <w:rsid w:val="00A75C4A"/>
    <w:rsid w:val="00A7621A"/>
    <w:rsid w:val="00A7645A"/>
    <w:rsid w:val="00A766B3"/>
    <w:rsid w:val="00A766E1"/>
    <w:rsid w:val="00A76845"/>
    <w:rsid w:val="00A7689B"/>
    <w:rsid w:val="00A76902"/>
    <w:rsid w:val="00A76B91"/>
    <w:rsid w:val="00A76C20"/>
    <w:rsid w:val="00A77159"/>
    <w:rsid w:val="00A771FE"/>
    <w:rsid w:val="00A773A8"/>
    <w:rsid w:val="00A77681"/>
    <w:rsid w:val="00A77AA3"/>
    <w:rsid w:val="00A77D87"/>
    <w:rsid w:val="00A77F1F"/>
    <w:rsid w:val="00A77FD1"/>
    <w:rsid w:val="00A77FEA"/>
    <w:rsid w:val="00A804D4"/>
    <w:rsid w:val="00A80542"/>
    <w:rsid w:val="00A8068C"/>
    <w:rsid w:val="00A80793"/>
    <w:rsid w:val="00A8092B"/>
    <w:rsid w:val="00A80C2D"/>
    <w:rsid w:val="00A80CC1"/>
    <w:rsid w:val="00A80D1D"/>
    <w:rsid w:val="00A80DBD"/>
    <w:rsid w:val="00A80EA0"/>
    <w:rsid w:val="00A819B7"/>
    <w:rsid w:val="00A819BF"/>
    <w:rsid w:val="00A81C3C"/>
    <w:rsid w:val="00A82078"/>
    <w:rsid w:val="00A82126"/>
    <w:rsid w:val="00A824B3"/>
    <w:rsid w:val="00A82600"/>
    <w:rsid w:val="00A82633"/>
    <w:rsid w:val="00A82688"/>
    <w:rsid w:val="00A82695"/>
    <w:rsid w:val="00A82716"/>
    <w:rsid w:val="00A82721"/>
    <w:rsid w:val="00A82953"/>
    <w:rsid w:val="00A82A7E"/>
    <w:rsid w:val="00A83207"/>
    <w:rsid w:val="00A83363"/>
    <w:rsid w:val="00A834C2"/>
    <w:rsid w:val="00A835F0"/>
    <w:rsid w:val="00A838DA"/>
    <w:rsid w:val="00A83ADD"/>
    <w:rsid w:val="00A83DAF"/>
    <w:rsid w:val="00A84011"/>
    <w:rsid w:val="00A840E4"/>
    <w:rsid w:val="00A8411F"/>
    <w:rsid w:val="00A84213"/>
    <w:rsid w:val="00A8443E"/>
    <w:rsid w:val="00A844C7"/>
    <w:rsid w:val="00A845E7"/>
    <w:rsid w:val="00A8470F"/>
    <w:rsid w:val="00A84BB8"/>
    <w:rsid w:val="00A84C4F"/>
    <w:rsid w:val="00A84C9F"/>
    <w:rsid w:val="00A85078"/>
    <w:rsid w:val="00A850B7"/>
    <w:rsid w:val="00A85211"/>
    <w:rsid w:val="00A85B6E"/>
    <w:rsid w:val="00A85D60"/>
    <w:rsid w:val="00A85EB1"/>
    <w:rsid w:val="00A86097"/>
    <w:rsid w:val="00A860CC"/>
    <w:rsid w:val="00A86358"/>
    <w:rsid w:val="00A863C8"/>
    <w:rsid w:val="00A86404"/>
    <w:rsid w:val="00A8654E"/>
    <w:rsid w:val="00A866A0"/>
    <w:rsid w:val="00A86D09"/>
    <w:rsid w:val="00A86F2B"/>
    <w:rsid w:val="00A86F95"/>
    <w:rsid w:val="00A871DB"/>
    <w:rsid w:val="00A874E7"/>
    <w:rsid w:val="00A877B5"/>
    <w:rsid w:val="00A8796F"/>
    <w:rsid w:val="00A87A27"/>
    <w:rsid w:val="00A87C40"/>
    <w:rsid w:val="00A9018C"/>
    <w:rsid w:val="00A903F3"/>
    <w:rsid w:val="00A9044D"/>
    <w:rsid w:val="00A9058F"/>
    <w:rsid w:val="00A905C5"/>
    <w:rsid w:val="00A908A2"/>
    <w:rsid w:val="00A90DA3"/>
    <w:rsid w:val="00A90FEA"/>
    <w:rsid w:val="00A91063"/>
    <w:rsid w:val="00A91096"/>
    <w:rsid w:val="00A91111"/>
    <w:rsid w:val="00A91322"/>
    <w:rsid w:val="00A91324"/>
    <w:rsid w:val="00A914FD"/>
    <w:rsid w:val="00A91534"/>
    <w:rsid w:val="00A915F3"/>
    <w:rsid w:val="00A9167D"/>
    <w:rsid w:val="00A91920"/>
    <w:rsid w:val="00A9195D"/>
    <w:rsid w:val="00A91BB0"/>
    <w:rsid w:val="00A91C3F"/>
    <w:rsid w:val="00A91C74"/>
    <w:rsid w:val="00A91D3B"/>
    <w:rsid w:val="00A91E60"/>
    <w:rsid w:val="00A91F59"/>
    <w:rsid w:val="00A920A1"/>
    <w:rsid w:val="00A92108"/>
    <w:rsid w:val="00A92284"/>
    <w:rsid w:val="00A9231F"/>
    <w:rsid w:val="00A925A5"/>
    <w:rsid w:val="00A9263E"/>
    <w:rsid w:val="00A92667"/>
    <w:rsid w:val="00A92797"/>
    <w:rsid w:val="00A92C80"/>
    <w:rsid w:val="00A92D88"/>
    <w:rsid w:val="00A92FC3"/>
    <w:rsid w:val="00A92FD2"/>
    <w:rsid w:val="00A9308D"/>
    <w:rsid w:val="00A931F2"/>
    <w:rsid w:val="00A9326E"/>
    <w:rsid w:val="00A93292"/>
    <w:rsid w:val="00A932A2"/>
    <w:rsid w:val="00A9362D"/>
    <w:rsid w:val="00A936A9"/>
    <w:rsid w:val="00A93E26"/>
    <w:rsid w:val="00A93E91"/>
    <w:rsid w:val="00A94048"/>
    <w:rsid w:val="00A940E5"/>
    <w:rsid w:val="00A943E8"/>
    <w:rsid w:val="00A9441F"/>
    <w:rsid w:val="00A9460D"/>
    <w:rsid w:val="00A94742"/>
    <w:rsid w:val="00A9475B"/>
    <w:rsid w:val="00A94947"/>
    <w:rsid w:val="00A94AEA"/>
    <w:rsid w:val="00A94B0E"/>
    <w:rsid w:val="00A94C81"/>
    <w:rsid w:val="00A94D2B"/>
    <w:rsid w:val="00A94D34"/>
    <w:rsid w:val="00A94F74"/>
    <w:rsid w:val="00A95110"/>
    <w:rsid w:val="00A95205"/>
    <w:rsid w:val="00A953EA"/>
    <w:rsid w:val="00A955EB"/>
    <w:rsid w:val="00A956C3"/>
    <w:rsid w:val="00A95725"/>
    <w:rsid w:val="00A95815"/>
    <w:rsid w:val="00A9582A"/>
    <w:rsid w:val="00A959E1"/>
    <w:rsid w:val="00A95A08"/>
    <w:rsid w:val="00A95B78"/>
    <w:rsid w:val="00A95BC8"/>
    <w:rsid w:val="00A95C7E"/>
    <w:rsid w:val="00A95FD7"/>
    <w:rsid w:val="00A95FF6"/>
    <w:rsid w:val="00A963A8"/>
    <w:rsid w:val="00A965DC"/>
    <w:rsid w:val="00A9675B"/>
    <w:rsid w:val="00A9696C"/>
    <w:rsid w:val="00A96979"/>
    <w:rsid w:val="00A96A4A"/>
    <w:rsid w:val="00A96B1E"/>
    <w:rsid w:val="00A96BC0"/>
    <w:rsid w:val="00A96C1C"/>
    <w:rsid w:val="00A96C25"/>
    <w:rsid w:val="00A96DC9"/>
    <w:rsid w:val="00A96E7A"/>
    <w:rsid w:val="00A96EBF"/>
    <w:rsid w:val="00A971B5"/>
    <w:rsid w:val="00A9721F"/>
    <w:rsid w:val="00A9764D"/>
    <w:rsid w:val="00A97660"/>
    <w:rsid w:val="00A97814"/>
    <w:rsid w:val="00A97E1F"/>
    <w:rsid w:val="00A97E9B"/>
    <w:rsid w:val="00AA0212"/>
    <w:rsid w:val="00AA02DD"/>
    <w:rsid w:val="00AA0329"/>
    <w:rsid w:val="00AA03F6"/>
    <w:rsid w:val="00AA0457"/>
    <w:rsid w:val="00AA050E"/>
    <w:rsid w:val="00AA0D3D"/>
    <w:rsid w:val="00AA0D68"/>
    <w:rsid w:val="00AA0F3D"/>
    <w:rsid w:val="00AA1045"/>
    <w:rsid w:val="00AA1466"/>
    <w:rsid w:val="00AA1744"/>
    <w:rsid w:val="00AA1882"/>
    <w:rsid w:val="00AA1976"/>
    <w:rsid w:val="00AA19F8"/>
    <w:rsid w:val="00AA1A87"/>
    <w:rsid w:val="00AA1A96"/>
    <w:rsid w:val="00AA1AAE"/>
    <w:rsid w:val="00AA1B3B"/>
    <w:rsid w:val="00AA1FDD"/>
    <w:rsid w:val="00AA20C0"/>
    <w:rsid w:val="00AA2106"/>
    <w:rsid w:val="00AA2248"/>
    <w:rsid w:val="00AA226C"/>
    <w:rsid w:val="00AA229D"/>
    <w:rsid w:val="00AA2332"/>
    <w:rsid w:val="00AA2458"/>
    <w:rsid w:val="00AA2523"/>
    <w:rsid w:val="00AA25A0"/>
    <w:rsid w:val="00AA27F4"/>
    <w:rsid w:val="00AA2AF1"/>
    <w:rsid w:val="00AA2C29"/>
    <w:rsid w:val="00AA3152"/>
    <w:rsid w:val="00AA3169"/>
    <w:rsid w:val="00AA3568"/>
    <w:rsid w:val="00AA35CA"/>
    <w:rsid w:val="00AA36FA"/>
    <w:rsid w:val="00AA389C"/>
    <w:rsid w:val="00AA3A4E"/>
    <w:rsid w:val="00AA3C48"/>
    <w:rsid w:val="00AA3F45"/>
    <w:rsid w:val="00AA4319"/>
    <w:rsid w:val="00AA439A"/>
    <w:rsid w:val="00AA450E"/>
    <w:rsid w:val="00AA45D5"/>
    <w:rsid w:val="00AA466B"/>
    <w:rsid w:val="00AA4720"/>
    <w:rsid w:val="00AA4890"/>
    <w:rsid w:val="00AA4A57"/>
    <w:rsid w:val="00AA5343"/>
    <w:rsid w:val="00AA5373"/>
    <w:rsid w:val="00AA5376"/>
    <w:rsid w:val="00AA53DB"/>
    <w:rsid w:val="00AA54B0"/>
    <w:rsid w:val="00AA5574"/>
    <w:rsid w:val="00AA56B8"/>
    <w:rsid w:val="00AA5726"/>
    <w:rsid w:val="00AA6089"/>
    <w:rsid w:val="00AA61C7"/>
    <w:rsid w:val="00AA61D4"/>
    <w:rsid w:val="00AA64D9"/>
    <w:rsid w:val="00AA6599"/>
    <w:rsid w:val="00AA65D7"/>
    <w:rsid w:val="00AA6932"/>
    <w:rsid w:val="00AA697D"/>
    <w:rsid w:val="00AA717E"/>
    <w:rsid w:val="00AA73FB"/>
    <w:rsid w:val="00AA743F"/>
    <w:rsid w:val="00AA7663"/>
    <w:rsid w:val="00AA78CA"/>
    <w:rsid w:val="00AA798D"/>
    <w:rsid w:val="00AA79E1"/>
    <w:rsid w:val="00AA7BE3"/>
    <w:rsid w:val="00AA7E50"/>
    <w:rsid w:val="00AA7F46"/>
    <w:rsid w:val="00AA7F88"/>
    <w:rsid w:val="00AB0472"/>
    <w:rsid w:val="00AB083F"/>
    <w:rsid w:val="00AB0C13"/>
    <w:rsid w:val="00AB0C79"/>
    <w:rsid w:val="00AB0CEF"/>
    <w:rsid w:val="00AB0DEA"/>
    <w:rsid w:val="00AB0E5E"/>
    <w:rsid w:val="00AB108C"/>
    <w:rsid w:val="00AB1161"/>
    <w:rsid w:val="00AB11FB"/>
    <w:rsid w:val="00AB12E1"/>
    <w:rsid w:val="00AB142B"/>
    <w:rsid w:val="00AB1770"/>
    <w:rsid w:val="00AB17E3"/>
    <w:rsid w:val="00AB1843"/>
    <w:rsid w:val="00AB189D"/>
    <w:rsid w:val="00AB18C7"/>
    <w:rsid w:val="00AB1935"/>
    <w:rsid w:val="00AB1A23"/>
    <w:rsid w:val="00AB1ADA"/>
    <w:rsid w:val="00AB1C23"/>
    <w:rsid w:val="00AB1CAE"/>
    <w:rsid w:val="00AB1D75"/>
    <w:rsid w:val="00AB1EDE"/>
    <w:rsid w:val="00AB20B0"/>
    <w:rsid w:val="00AB2209"/>
    <w:rsid w:val="00AB249C"/>
    <w:rsid w:val="00AB24AD"/>
    <w:rsid w:val="00AB27A8"/>
    <w:rsid w:val="00AB2933"/>
    <w:rsid w:val="00AB2EE1"/>
    <w:rsid w:val="00AB3221"/>
    <w:rsid w:val="00AB3379"/>
    <w:rsid w:val="00AB36CB"/>
    <w:rsid w:val="00AB388E"/>
    <w:rsid w:val="00AB39FA"/>
    <w:rsid w:val="00AB3A28"/>
    <w:rsid w:val="00AB3B52"/>
    <w:rsid w:val="00AB3C86"/>
    <w:rsid w:val="00AB3CA4"/>
    <w:rsid w:val="00AB3DEB"/>
    <w:rsid w:val="00AB3DED"/>
    <w:rsid w:val="00AB3E0D"/>
    <w:rsid w:val="00AB3E5E"/>
    <w:rsid w:val="00AB41B4"/>
    <w:rsid w:val="00AB41C3"/>
    <w:rsid w:val="00AB4648"/>
    <w:rsid w:val="00AB4758"/>
    <w:rsid w:val="00AB488C"/>
    <w:rsid w:val="00AB491B"/>
    <w:rsid w:val="00AB4D5C"/>
    <w:rsid w:val="00AB51F3"/>
    <w:rsid w:val="00AB548E"/>
    <w:rsid w:val="00AB5716"/>
    <w:rsid w:val="00AB571B"/>
    <w:rsid w:val="00AB5842"/>
    <w:rsid w:val="00AB5AEA"/>
    <w:rsid w:val="00AB5CA7"/>
    <w:rsid w:val="00AB5F61"/>
    <w:rsid w:val="00AB5FEC"/>
    <w:rsid w:val="00AB60BD"/>
    <w:rsid w:val="00AB64F3"/>
    <w:rsid w:val="00AB66A9"/>
    <w:rsid w:val="00AB66C1"/>
    <w:rsid w:val="00AB67B1"/>
    <w:rsid w:val="00AB690B"/>
    <w:rsid w:val="00AB698B"/>
    <w:rsid w:val="00AB6C2B"/>
    <w:rsid w:val="00AB6E4A"/>
    <w:rsid w:val="00AB6ED7"/>
    <w:rsid w:val="00AB6FCA"/>
    <w:rsid w:val="00AB76A7"/>
    <w:rsid w:val="00AB788D"/>
    <w:rsid w:val="00AB7923"/>
    <w:rsid w:val="00AB7955"/>
    <w:rsid w:val="00AB7ABD"/>
    <w:rsid w:val="00AB7D0F"/>
    <w:rsid w:val="00AB7D34"/>
    <w:rsid w:val="00AB7D7C"/>
    <w:rsid w:val="00AC0085"/>
    <w:rsid w:val="00AC0184"/>
    <w:rsid w:val="00AC01BC"/>
    <w:rsid w:val="00AC03FA"/>
    <w:rsid w:val="00AC04B4"/>
    <w:rsid w:val="00AC05E8"/>
    <w:rsid w:val="00AC096F"/>
    <w:rsid w:val="00AC0AE1"/>
    <w:rsid w:val="00AC0E44"/>
    <w:rsid w:val="00AC0E65"/>
    <w:rsid w:val="00AC1394"/>
    <w:rsid w:val="00AC183F"/>
    <w:rsid w:val="00AC1854"/>
    <w:rsid w:val="00AC1B77"/>
    <w:rsid w:val="00AC1CDE"/>
    <w:rsid w:val="00AC1F2E"/>
    <w:rsid w:val="00AC21DE"/>
    <w:rsid w:val="00AC22A3"/>
    <w:rsid w:val="00AC24BD"/>
    <w:rsid w:val="00AC255F"/>
    <w:rsid w:val="00AC28FC"/>
    <w:rsid w:val="00AC3431"/>
    <w:rsid w:val="00AC34ED"/>
    <w:rsid w:val="00AC358F"/>
    <w:rsid w:val="00AC398E"/>
    <w:rsid w:val="00AC3AF5"/>
    <w:rsid w:val="00AC3C10"/>
    <w:rsid w:val="00AC3C1D"/>
    <w:rsid w:val="00AC3C46"/>
    <w:rsid w:val="00AC3CD5"/>
    <w:rsid w:val="00AC3E2C"/>
    <w:rsid w:val="00AC4234"/>
    <w:rsid w:val="00AC43AD"/>
    <w:rsid w:val="00AC4658"/>
    <w:rsid w:val="00AC46E6"/>
    <w:rsid w:val="00AC4972"/>
    <w:rsid w:val="00AC498F"/>
    <w:rsid w:val="00AC5083"/>
    <w:rsid w:val="00AC520C"/>
    <w:rsid w:val="00AC5273"/>
    <w:rsid w:val="00AC529E"/>
    <w:rsid w:val="00AC580B"/>
    <w:rsid w:val="00AC590D"/>
    <w:rsid w:val="00AC60E9"/>
    <w:rsid w:val="00AC62E2"/>
    <w:rsid w:val="00AC6352"/>
    <w:rsid w:val="00AC635E"/>
    <w:rsid w:val="00AC63D9"/>
    <w:rsid w:val="00AC66FC"/>
    <w:rsid w:val="00AC6A05"/>
    <w:rsid w:val="00AC6D10"/>
    <w:rsid w:val="00AC6F0D"/>
    <w:rsid w:val="00AC6F21"/>
    <w:rsid w:val="00AC70BD"/>
    <w:rsid w:val="00AC714F"/>
    <w:rsid w:val="00AC73B7"/>
    <w:rsid w:val="00AC7799"/>
    <w:rsid w:val="00AC77A9"/>
    <w:rsid w:val="00AC79F0"/>
    <w:rsid w:val="00AC7CEF"/>
    <w:rsid w:val="00AC7D30"/>
    <w:rsid w:val="00AC7EFD"/>
    <w:rsid w:val="00AC7FB8"/>
    <w:rsid w:val="00AD001A"/>
    <w:rsid w:val="00AD03A8"/>
    <w:rsid w:val="00AD03D4"/>
    <w:rsid w:val="00AD0505"/>
    <w:rsid w:val="00AD0523"/>
    <w:rsid w:val="00AD093A"/>
    <w:rsid w:val="00AD09C8"/>
    <w:rsid w:val="00AD0B3C"/>
    <w:rsid w:val="00AD0BA2"/>
    <w:rsid w:val="00AD1352"/>
    <w:rsid w:val="00AD1554"/>
    <w:rsid w:val="00AD15FB"/>
    <w:rsid w:val="00AD1625"/>
    <w:rsid w:val="00AD1627"/>
    <w:rsid w:val="00AD17BA"/>
    <w:rsid w:val="00AD17EA"/>
    <w:rsid w:val="00AD19F1"/>
    <w:rsid w:val="00AD1A52"/>
    <w:rsid w:val="00AD1FB6"/>
    <w:rsid w:val="00AD22E8"/>
    <w:rsid w:val="00AD2330"/>
    <w:rsid w:val="00AD2723"/>
    <w:rsid w:val="00AD2861"/>
    <w:rsid w:val="00AD2A1D"/>
    <w:rsid w:val="00AD32F4"/>
    <w:rsid w:val="00AD3603"/>
    <w:rsid w:val="00AD3967"/>
    <w:rsid w:val="00AD3AC8"/>
    <w:rsid w:val="00AD3B81"/>
    <w:rsid w:val="00AD3FC3"/>
    <w:rsid w:val="00AD4135"/>
    <w:rsid w:val="00AD43A0"/>
    <w:rsid w:val="00AD44CA"/>
    <w:rsid w:val="00AD45FF"/>
    <w:rsid w:val="00AD4820"/>
    <w:rsid w:val="00AD48F8"/>
    <w:rsid w:val="00AD4AB7"/>
    <w:rsid w:val="00AD4ADD"/>
    <w:rsid w:val="00AD4CEE"/>
    <w:rsid w:val="00AD4CFA"/>
    <w:rsid w:val="00AD4E16"/>
    <w:rsid w:val="00AD5060"/>
    <w:rsid w:val="00AD5207"/>
    <w:rsid w:val="00AD552D"/>
    <w:rsid w:val="00AD554E"/>
    <w:rsid w:val="00AD55B2"/>
    <w:rsid w:val="00AD57D3"/>
    <w:rsid w:val="00AD581B"/>
    <w:rsid w:val="00AD59B3"/>
    <w:rsid w:val="00AD5DC4"/>
    <w:rsid w:val="00AD5E0F"/>
    <w:rsid w:val="00AD6003"/>
    <w:rsid w:val="00AD6482"/>
    <w:rsid w:val="00AD6490"/>
    <w:rsid w:val="00AD66B6"/>
    <w:rsid w:val="00AD66C9"/>
    <w:rsid w:val="00AD693A"/>
    <w:rsid w:val="00AD6969"/>
    <w:rsid w:val="00AD6C15"/>
    <w:rsid w:val="00AD6E96"/>
    <w:rsid w:val="00AD711F"/>
    <w:rsid w:val="00AD729C"/>
    <w:rsid w:val="00AD743B"/>
    <w:rsid w:val="00AD7511"/>
    <w:rsid w:val="00AD765C"/>
    <w:rsid w:val="00AD76FC"/>
    <w:rsid w:val="00AD770C"/>
    <w:rsid w:val="00AD797D"/>
    <w:rsid w:val="00AD7C29"/>
    <w:rsid w:val="00AD7E7F"/>
    <w:rsid w:val="00AD7F58"/>
    <w:rsid w:val="00AE01B1"/>
    <w:rsid w:val="00AE02BC"/>
    <w:rsid w:val="00AE0307"/>
    <w:rsid w:val="00AE05D6"/>
    <w:rsid w:val="00AE06D9"/>
    <w:rsid w:val="00AE09D9"/>
    <w:rsid w:val="00AE0B6D"/>
    <w:rsid w:val="00AE0B98"/>
    <w:rsid w:val="00AE0CCE"/>
    <w:rsid w:val="00AE0CF1"/>
    <w:rsid w:val="00AE0E77"/>
    <w:rsid w:val="00AE1118"/>
    <w:rsid w:val="00AE1394"/>
    <w:rsid w:val="00AE13C6"/>
    <w:rsid w:val="00AE1857"/>
    <w:rsid w:val="00AE1A7A"/>
    <w:rsid w:val="00AE1BCB"/>
    <w:rsid w:val="00AE1C77"/>
    <w:rsid w:val="00AE2427"/>
    <w:rsid w:val="00AE24A9"/>
    <w:rsid w:val="00AE2525"/>
    <w:rsid w:val="00AE2529"/>
    <w:rsid w:val="00AE259F"/>
    <w:rsid w:val="00AE26A2"/>
    <w:rsid w:val="00AE2834"/>
    <w:rsid w:val="00AE2839"/>
    <w:rsid w:val="00AE2C4E"/>
    <w:rsid w:val="00AE2E02"/>
    <w:rsid w:val="00AE3205"/>
    <w:rsid w:val="00AE33E2"/>
    <w:rsid w:val="00AE347C"/>
    <w:rsid w:val="00AE34C5"/>
    <w:rsid w:val="00AE3B6F"/>
    <w:rsid w:val="00AE3BE4"/>
    <w:rsid w:val="00AE3DB2"/>
    <w:rsid w:val="00AE3DCF"/>
    <w:rsid w:val="00AE3EA7"/>
    <w:rsid w:val="00AE40B9"/>
    <w:rsid w:val="00AE433C"/>
    <w:rsid w:val="00AE43AC"/>
    <w:rsid w:val="00AE454E"/>
    <w:rsid w:val="00AE46C4"/>
    <w:rsid w:val="00AE490F"/>
    <w:rsid w:val="00AE49DD"/>
    <w:rsid w:val="00AE4A77"/>
    <w:rsid w:val="00AE4B00"/>
    <w:rsid w:val="00AE4B19"/>
    <w:rsid w:val="00AE4FE4"/>
    <w:rsid w:val="00AE5083"/>
    <w:rsid w:val="00AE52D5"/>
    <w:rsid w:val="00AE5317"/>
    <w:rsid w:val="00AE53E8"/>
    <w:rsid w:val="00AE5432"/>
    <w:rsid w:val="00AE552D"/>
    <w:rsid w:val="00AE56C6"/>
    <w:rsid w:val="00AE5DB6"/>
    <w:rsid w:val="00AE5DD6"/>
    <w:rsid w:val="00AE5E39"/>
    <w:rsid w:val="00AE602B"/>
    <w:rsid w:val="00AE603A"/>
    <w:rsid w:val="00AE625C"/>
    <w:rsid w:val="00AE62BC"/>
    <w:rsid w:val="00AE62C9"/>
    <w:rsid w:val="00AE6492"/>
    <w:rsid w:val="00AE64A7"/>
    <w:rsid w:val="00AE64F5"/>
    <w:rsid w:val="00AE6664"/>
    <w:rsid w:val="00AE6A14"/>
    <w:rsid w:val="00AE6C35"/>
    <w:rsid w:val="00AE714D"/>
    <w:rsid w:val="00AE716A"/>
    <w:rsid w:val="00AE79F6"/>
    <w:rsid w:val="00AE7A45"/>
    <w:rsid w:val="00AE7B2C"/>
    <w:rsid w:val="00AE7C50"/>
    <w:rsid w:val="00AE7C6F"/>
    <w:rsid w:val="00AE7E6C"/>
    <w:rsid w:val="00AF0040"/>
    <w:rsid w:val="00AF004D"/>
    <w:rsid w:val="00AF0354"/>
    <w:rsid w:val="00AF04CA"/>
    <w:rsid w:val="00AF05BE"/>
    <w:rsid w:val="00AF0708"/>
    <w:rsid w:val="00AF07CD"/>
    <w:rsid w:val="00AF0924"/>
    <w:rsid w:val="00AF0D16"/>
    <w:rsid w:val="00AF120E"/>
    <w:rsid w:val="00AF13CF"/>
    <w:rsid w:val="00AF13D3"/>
    <w:rsid w:val="00AF16AD"/>
    <w:rsid w:val="00AF1746"/>
    <w:rsid w:val="00AF19E4"/>
    <w:rsid w:val="00AF1F71"/>
    <w:rsid w:val="00AF208E"/>
    <w:rsid w:val="00AF20AA"/>
    <w:rsid w:val="00AF223F"/>
    <w:rsid w:val="00AF2326"/>
    <w:rsid w:val="00AF23CE"/>
    <w:rsid w:val="00AF2858"/>
    <w:rsid w:val="00AF2A1C"/>
    <w:rsid w:val="00AF2D12"/>
    <w:rsid w:val="00AF2F6F"/>
    <w:rsid w:val="00AF312E"/>
    <w:rsid w:val="00AF39A1"/>
    <w:rsid w:val="00AF3AF8"/>
    <w:rsid w:val="00AF3B35"/>
    <w:rsid w:val="00AF41C9"/>
    <w:rsid w:val="00AF426F"/>
    <w:rsid w:val="00AF4570"/>
    <w:rsid w:val="00AF4589"/>
    <w:rsid w:val="00AF4674"/>
    <w:rsid w:val="00AF481F"/>
    <w:rsid w:val="00AF4A37"/>
    <w:rsid w:val="00AF4DBD"/>
    <w:rsid w:val="00AF4E53"/>
    <w:rsid w:val="00AF4F8D"/>
    <w:rsid w:val="00AF52E4"/>
    <w:rsid w:val="00AF532E"/>
    <w:rsid w:val="00AF56A9"/>
    <w:rsid w:val="00AF56E8"/>
    <w:rsid w:val="00AF58BA"/>
    <w:rsid w:val="00AF590C"/>
    <w:rsid w:val="00AF5932"/>
    <w:rsid w:val="00AF5962"/>
    <w:rsid w:val="00AF5E7D"/>
    <w:rsid w:val="00AF6A92"/>
    <w:rsid w:val="00AF6BDA"/>
    <w:rsid w:val="00AF6CFD"/>
    <w:rsid w:val="00AF6D9A"/>
    <w:rsid w:val="00AF6DF0"/>
    <w:rsid w:val="00AF70EA"/>
    <w:rsid w:val="00AF7120"/>
    <w:rsid w:val="00AF737E"/>
    <w:rsid w:val="00AF74BD"/>
    <w:rsid w:val="00AF75DE"/>
    <w:rsid w:val="00AF7B50"/>
    <w:rsid w:val="00AF7C7A"/>
    <w:rsid w:val="00AF7C8C"/>
    <w:rsid w:val="00AF7C90"/>
    <w:rsid w:val="00AF7CDC"/>
    <w:rsid w:val="00AF7E7A"/>
    <w:rsid w:val="00AF7ED5"/>
    <w:rsid w:val="00B0039B"/>
    <w:rsid w:val="00B007FB"/>
    <w:rsid w:val="00B00B53"/>
    <w:rsid w:val="00B00D68"/>
    <w:rsid w:val="00B00E47"/>
    <w:rsid w:val="00B00E98"/>
    <w:rsid w:val="00B010C1"/>
    <w:rsid w:val="00B01232"/>
    <w:rsid w:val="00B013AB"/>
    <w:rsid w:val="00B013AF"/>
    <w:rsid w:val="00B017AB"/>
    <w:rsid w:val="00B01800"/>
    <w:rsid w:val="00B01BB3"/>
    <w:rsid w:val="00B01E76"/>
    <w:rsid w:val="00B01EEA"/>
    <w:rsid w:val="00B01F6F"/>
    <w:rsid w:val="00B021AD"/>
    <w:rsid w:val="00B02217"/>
    <w:rsid w:val="00B0231C"/>
    <w:rsid w:val="00B023BD"/>
    <w:rsid w:val="00B02412"/>
    <w:rsid w:val="00B02431"/>
    <w:rsid w:val="00B024C4"/>
    <w:rsid w:val="00B028DE"/>
    <w:rsid w:val="00B02980"/>
    <w:rsid w:val="00B029E9"/>
    <w:rsid w:val="00B02A70"/>
    <w:rsid w:val="00B02B22"/>
    <w:rsid w:val="00B02BBB"/>
    <w:rsid w:val="00B02F12"/>
    <w:rsid w:val="00B031FC"/>
    <w:rsid w:val="00B03246"/>
    <w:rsid w:val="00B03312"/>
    <w:rsid w:val="00B0333C"/>
    <w:rsid w:val="00B033B0"/>
    <w:rsid w:val="00B038D4"/>
    <w:rsid w:val="00B038FC"/>
    <w:rsid w:val="00B039B2"/>
    <w:rsid w:val="00B03A68"/>
    <w:rsid w:val="00B03CE2"/>
    <w:rsid w:val="00B0423F"/>
    <w:rsid w:val="00B042A7"/>
    <w:rsid w:val="00B04373"/>
    <w:rsid w:val="00B0482E"/>
    <w:rsid w:val="00B048C0"/>
    <w:rsid w:val="00B049BF"/>
    <w:rsid w:val="00B04B8F"/>
    <w:rsid w:val="00B04DCA"/>
    <w:rsid w:val="00B05374"/>
    <w:rsid w:val="00B05905"/>
    <w:rsid w:val="00B05931"/>
    <w:rsid w:val="00B05AA8"/>
    <w:rsid w:val="00B05BFC"/>
    <w:rsid w:val="00B05C28"/>
    <w:rsid w:val="00B05C8E"/>
    <w:rsid w:val="00B05DE4"/>
    <w:rsid w:val="00B05F65"/>
    <w:rsid w:val="00B05F98"/>
    <w:rsid w:val="00B05FE2"/>
    <w:rsid w:val="00B05FFF"/>
    <w:rsid w:val="00B060F5"/>
    <w:rsid w:val="00B062B4"/>
    <w:rsid w:val="00B06364"/>
    <w:rsid w:val="00B064F9"/>
    <w:rsid w:val="00B066E9"/>
    <w:rsid w:val="00B0688D"/>
    <w:rsid w:val="00B06965"/>
    <w:rsid w:val="00B069EB"/>
    <w:rsid w:val="00B06A00"/>
    <w:rsid w:val="00B06B78"/>
    <w:rsid w:val="00B06E1E"/>
    <w:rsid w:val="00B06FE3"/>
    <w:rsid w:val="00B070BF"/>
    <w:rsid w:val="00B072BF"/>
    <w:rsid w:val="00B07890"/>
    <w:rsid w:val="00B07998"/>
    <w:rsid w:val="00B079E2"/>
    <w:rsid w:val="00B07DB6"/>
    <w:rsid w:val="00B07DF7"/>
    <w:rsid w:val="00B07EB8"/>
    <w:rsid w:val="00B101C4"/>
    <w:rsid w:val="00B102C2"/>
    <w:rsid w:val="00B105E4"/>
    <w:rsid w:val="00B106BF"/>
    <w:rsid w:val="00B10726"/>
    <w:rsid w:val="00B10A05"/>
    <w:rsid w:val="00B10AF0"/>
    <w:rsid w:val="00B10BAB"/>
    <w:rsid w:val="00B110F2"/>
    <w:rsid w:val="00B1110C"/>
    <w:rsid w:val="00B1122C"/>
    <w:rsid w:val="00B11260"/>
    <w:rsid w:val="00B114D4"/>
    <w:rsid w:val="00B114D7"/>
    <w:rsid w:val="00B1156B"/>
    <w:rsid w:val="00B115F7"/>
    <w:rsid w:val="00B11785"/>
    <w:rsid w:val="00B11858"/>
    <w:rsid w:val="00B11C80"/>
    <w:rsid w:val="00B11CDB"/>
    <w:rsid w:val="00B11DD2"/>
    <w:rsid w:val="00B11F4B"/>
    <w:rsid w:val="00B12167"/>
    <w:rsid w:val="00B1216C"/>
    <w:rsid w:val="00B12322"/>
    <w:rsid w:val="00B1235C"/>
    <w:rsid w:val="00B125AD"/>
    <w:rsid w:val="00B12629"/>
    <w:rsid w:val="00B12ADC"/>
    <w:rsid w:val="00B12CAA"/>
    <w:rsid w:val="00B12E81"/>
    <w:rsid w:val="00B12FAD"/>
    <w:rsid w:val="00B132F8"/>
    <w:rsid w:val="00B13453"/>
    <w:rsid w:val="00B13BDD"/>
    <w:rsid w:val="00B14014"/>
    <w:rsid w:val="00B14300"/>
    <w:rsid w:val="00B145CE"/>
    <w:rsid w:val="00B14950"/>
    <w:rsid w:val="00B14B35"/>
    <w:rsid w:val="00B14EEA"/>
    <w:rsid w:val="00B14F1F"/>
    <w:rsid w:val="00B15018"/>
    <w:rsid w:val="00B1508D"/>
    <w:rsid w:val="00B15294"/>
    <w:rsid w:val="00B15297"/>
    <w:rsid w:val="00B154FF"/>
    <w:rsid w:val="00B1554B"/>
    <w:rsid w:val="00B1565C"/>
    <w:rsid w:val="00B157B8"/>
    <w:rsid w:val="00B1582E"/>
    <w:rsid w:val="00B15903"/>
    <w:rsid w:val="00B15C80"/>
    <w:rsid w:val="00B15DD1"/>
    <w:rsid w:val="00B15FE6"/>
    <w:rsid w:val="00B16470"/>
    <w:rsid w:val="00B16485"/>
    <w:rsid w:val="00B164B1"/>
    <w:rsid w:val="00B16955"/>
    <w:rsid w:val="00B16BB4"/>
    <w:rsid w:val="00B16FBC"/>
    <w:rsid w:val="00B17038"/>
    <w:rsid w:val="00B170DB"/>
    <w:rsid w:val="00B1724D"/>
    <w:rsid w:val="00B17464"/>
    <w:rsid w:val="00B1761D"/>
    <w:rsid w:val="00B1778D"/>
    <w:rsid w:val="00B177A2"/>
    <w:rsid w:val="00B17973"/>
    <w:rsid w:val="00B179E6"/>
    <w:rsid w:val="00B17B1F"/>
    <w:rsid w:val="00B17DF7"/>
    <w:rsid w:val="00B201D8"/>
    <w:rsid w:val="00B202EB"/>
    <w:rsid w:val="00B203CA"/>
    <w:rsid w:val="00B203F0"/>
    <w:rsid w:val="00B2073B"/>
    <w:rsid w:val="00B20758"/>
    <w:rsid w:val="00B2090D"/>
    <w:rsid w:val="00B20A70"/>
    <w:rsid w:val="00B20BE0"/>
    <w:rsid w:val="00B20DE0"/>
    <w:rsid w:val="00B211CC"/>
    <w:rsid w:val="00B2154C"/>
    <w:rsid w:val="00B215F1"/>
    <w:rsid w:val="00B2164F"/>
    <w:rsid w:val="00B217C5"/>
    <w:rsid w:val="00B21860"/>
    <w:rsid w:val="00B218AC"/>
    <w:rsid w:val="00B21978"/>
    <w:rsid w:val="00B21A33"/>
    <w:rsid w:val="00B21AD0"/>
    <w:rsid w:val="00B21ADB"/>
    <w:rsid w:val="00B21BDD"/>
    <w:rsid w:val="00B22006"/>
    <w:rsid w:val="00B22122"/>
    <w:rsid w:val="00B22169"/>
    <w:rsid w:val="00B221BC"/>
    <w:rsid w:val="00B22662"/>
    <w:rsid w:val="00B22756"/>
    <w:rsid w:val="00B228C0"/>
    <w:rsid w:val="00B22CA3"/>
    <w:rsid w:val="00B230BB"/>
    <w:rsid w:val="00B23212"/>
    <w:rsid w:val="00B23261"/>
    <w:rsid w:val="00B232FC"/>
    <w:rsid w:val="00B233D4"/>
    <w:rsid w:val="00B233DE"/>
    <w:rsid w:val="00B2363F"/>
    <w:rsid w:val="00B2364F"/>
    <w:rsid w:val="00B23920"/>
    <w:rsid w:val="00B23944"/>
    <w:rsid w:val="00B239DB"/>
    <w:rsid w:val="00B23B23"/>
    <w:rsid w:val="00B23C96"/>
    <w:rsid w:val="00B23FCE"/>
    <w:rsid w:val="00B24382"/>
    <w:rsid w:val="00B244F7"/>
    <w:rsid w:val="00B2463C"/>
    <w:rsid w:val="00B24642"/>
    <w:rsid w:val="00B2468B"/>
    <w:rsid w:val="00B246A1"/>
    <w:rsid w:val="00B246BD"/>
    <w:rsid w:val="00B24BDE"/>
    <w:rsid w:val="00B24D96"/>
    <w:rsid w:val="00B24DA0"/>
    <w:rsid w:val="00B24E63"/>
    <w:rsid w:val="00B2563D"/>
    <w:rsid w:val="00B2597D"/>
    <w:rsid w:val="00B25A4D"/>
    <w:rsid w:val="00B25E19"/>
    <w:rsid w:val="00B2635D"/>
    <w:rsid w:val="00B26381"/>
    <w:rsid w:val="00B264DC"/>
    <w:rsid w:val="00B26A09"/>
    <w:rsid w:val="00B271E8"/>
    <w:rsid w:val="00B27306"/>
    <w:rsid w:val="00B274D6"/>
    <w:rsid w:val="00B275D6"/>
    <w:rsid w:val="00B27608"/>
    <w:rsid w:val="00B27C04"/>
    <w:rsid w:val="00B27D11"/>
    <w:rsid w:val="00B300D0"/>
    <w:rsid w:val="00B30217"/>
    <w:rsid w:val="00B302F6"/>
    <w:rsid w:val="00B30640"/>
    <w:rsid w:val="00B30AEC"/>
    <w:rsid w:val="00B30C30"/>
    <w:rsid w:val="00B30E1E"/>
    <w:rsid w:val="00B30F67"/>
    <w:rsid w:val="00B310A8"/>
    <w:rsid w:val="00B3144D"/>
    <w:rsid w:val="00B3163C"/>
    <w:rsid w:val="00B3168E"/>
    <w:rsid w:val="00B317FB"/>
    <w:rsid w:val="00B31AEA"/>
    <w:rsid w:val="00B31DB1"/>
    <w:rsid w:val="00B31DB6"/>
    <w:rsid w:val="00B32057"/>
    <w:rsid w:val="00B3213C"/>
    <w:rsid w:val="00B322FD"/>
    <w:rsid w:val="00B32382"/>
    <w:rsid w:val="00B32949"/>
    <w:rsid w:val="00B32A7D"/>
    <w:rsid w:val="00B32F45"/>
    <w:rsid w:val="00B33049"/>
    <w:rsid w:val="00B33286"/>
    <w:rsid w:val="00B333F1"/>
    <w:rsid w:val="00B33795"/>
    <w:rsid w:val="00B3388C"/>
    <w:rsid w:val="00B33A6C"/>
    <w:rsid w:val="00B33E6D"/>
    <w:rsid w:val="00B3429F"/>
    <w:rsid w:val="00B34498"/>
    <w:rsid w:val="00B34594"/>
    <w:rsid w:val="00B347B1"/>
    <w:rsid w:val="00B347BA"/>
    <w:rsid w:val="00B3481F"/>
    <w:rsid w:val="00B3499A"/>
    <w:rsid w:val="00B34BEF"/>
    <w:rsid w:val="00B34EB0"/>
    <w:rsid w:val="00B34F8B"/>
    <w:rsid w:val="00B350F6"/>
    <w:rsid w:val="00B35507"/>
    <w:rsid w:val="00B3574C"/>
    <w:rsid w:val="00B35983"/>
    <w:rsid w:val="00B359F0"/>
    <w:rsid w:val="00B35AF5"/>
    <w:rsid w:val="00B35B6F"/>
    <w:rsid w:val="00B35DF7"/>
    <w:rsid w:val="00B35F5D"/>
    <w:rsid w:val="00B366B4"/>
    <w:rsid w:val="00B3689E"/>
    <w:rsid w:val="00B3691E"/>
    <w:rsid w:val="00B36B21"/>
    <w:rsid w:val="00B36B74"/>
    <w:rsid w:val="00B370CA"/>
    <w:rsid w:val="00B371A2"/>
    <w:rsid w:val="00B372C8"/>
    <w:rsid w:val="00B37695"/>
    <w:rsid w:val="00B377E8"/>
    <w:rsid w:val="00B377EF"/>
    <w:rsid w:val="00B379B6"/>
    <w:rsid w:val="00B37A7F"/>
    <w:rsid w:val="00B37A91"/>
    <w:rsid w:val="00B37AC2"/>
    <w:rsid w:val="00B37AD1"/>
    <w:rsid w:val="00B37D13"/>
    <w:rsid w:val="00B37D1E"/>
    <w:rsid w:val="00B37DD5"/>
    <w:rsid w:val="00B37F2A"/>
    <w:rsid w:val="00B404C9"/>
    <w:rsid w:val="00B407DD"/>
    <w:rsid w:val="00B40C25"/>
    <w:rsid w:val="00B40CB2"/>
    <w:rsid w:val="00B40D59"/>
    <w:rsid w:val="00B40D98"/>
    <w:rsid w:val="00B41020"/>
    <w:rsid w:val="00B4136D"/>
    <w:rsid w:val="00B4145E"/>
    <w:rsid w:val="00B416BC"/>
    <w:rsid w:val="00B41932"/>
    <w:rsid w:val="00B41ADA"/>
    <w:rsid w:val="00B41C31"/>
    <w:rsid w:val="00B41E78"/>
    <w:rsid w:val="00B41F9D"/>
    <w:rsid w:val="00B42190"/>
    <w:rsid w:val="00B42394"/>
    <w:rsid w:val="00B4254B"/>
    <w:rsid w:val="00B42581"/>
    <w:rsid w:val="00B425C1"/>
    <w:rsid w:val="00B42900"/>
    <w:rsid w:val="00B42AA2"/>
    <w:rsid w:val="00B42B08"/>
    <w:rsid w:val="00B42BB0"/>
    <w:rsid w:val="00B42D53"/>
    <w:rsid w:val="00B42DA5"/>
    <w:rsid w:val="00B431DA"/>
    <w:rsid w:val="00B4346A"/>
    <w:rsid w:val="00B43889"/>
    <w:rsid w:val="00B4389A"/>
    <w:rsid w:val="00B43C4C"/>
    <w:rsid w:val="00B43CE8"/>
    <w:rsid w:val="00B43D99"/>
    <w:rsid w:val="00B43E16"/>
    <w:rsid w:val="00B43F9F"/>
    <w:rsid w:val="00B44306"/>
    <w:rsid w:val="00B449DA"/>
    <w:rsid w:val="00B44AF2"/>
    <w:rsid w:val="00B44CE9"/>
    <w:rsid w:val="00B44F06"/>
    <w:rsid w:val="00B4514C"/>
    <w:rsid w:val="00B452F3"/>
    <w:rsid w:val="00B4548F"/>
    <w:rsid w:val="00B454F5"/>
    <w:rsid w:val="00B45501"/>
    <w:rsid w:val="00B456D7"/>
    <w:rsid w:val="00B4577F"/>
    <w:rsid w:val="00B45A06"/>
    <w:rsid w:val="00B45D8B"/>
    <w:rsid w:val="00B45DD7"/>
    <w:rsid w:val="00B460D0"/>
    <w:rsid w:val="00B4650B"/>
    <w:rsid w:val="00B46550"/>
    <w:rsid w:val="00B4658F"/>
    <w:rsid w:val="00B465A6"/>
    <w:rsid w:val="00B46658"/>
    <w:rsid w:val="00B4668C"/>
    <w:rsid w:val="00B468AC"/>
    <w:rsid w:val="00B46902"/>
    <w:rsid w:val="00B46A49"/>
    <w:rsid w:val="00B46DB5"/>
    <w:rsid w:val="00B46E36"/>
    <w:rsid w:val="00B475BD"/>
    <w:rsid w:val="00B475CA"/>
    <w:rsid w:val="00B476AA"/>
    <w:rsid w:val="00B476EE"/>
    <w:rsid w:val="00B4771E"/>
    <w:rsid w:val="00B4790C"/>
    <w:rsid w:val="00B47BAC"/>
    <w:rsid w:val="00B47F17"/>
    <w:rsid w:val="00B504D3"/>
    <w:rsid w:val="00B5069C"/>
    <w:rsid w:val="00B50747"/>
    <w:rsid w:val="00B50B45"/>
    <w:rsid w:val="00B50D0F"/>
    <w:rsid w:val="00B50D40"/>
    <w:rsid w:val="00B5101A"/>
    <w:rsid w:val="00B510BC"/>
    <w:rsid w:val="00B510CA"/>
    <w:rsid w:val="00B51105"/>
    <w:rsid w:val="00B515BA"/>
    <w:rsid w:val="00B51641"/>
    <w:rsid w:val="00B51877"/>
    <w:rsid w:val="00B5196C"/>
    <w:rsid w:val="00B51A78"/>
    <w:rsid w:val="00B51ACD"/>
    <w:rsid w:val="00B520C3"/>
    <w:rsid w:val="00B521A9"/>
    <w:rsid w:val="00B52220"/>
    <w:rsid w:val="00B523E1"/>
    <w:rsid w:val="00B523EE"/>
    <w:rsid w:val="00B52424"/>
    <w:rsid w:val="00B5242B"/>
    <w:rsid w:val="00B525F5"/>
    <w:rsid w:val="00B526C8"/>
    <w:rsid w:val="00B5270F"/>
    <w:rsid w:val="00B52AE7"/>
    <w:rsid w:val="00B52C5A"/>
    <w:rsid w:val="00B52D9F"/>
    <w:rsid w:val="00B5303E"/>
    <w:rsid w:val="00B53440"/>
    <w:rsid w:val="00B53710"/>
    <w:rsid w:val="00B53A8E"/>
    <w:rsid w:val="00B53C54"/>
    <w:rsid w:val="00B53DCC"/>
    <w:rsid w:val="00B53DCD"/>
    <w:rsid w:val="00B53ED3"/>
    <w:rsid w:val="00B540C6"/>
    <w:rsid w:val="00B541D6"/>
    <w:rsid w:val="00B541DC"/>
    <w:rsid w:val="00B542F5"/>
    <w:rsid w:val="00B54416"/>
    <w:rsid w:val="00B545F7"/>
    <w:rsid w:val="00B5460E"/>
    <w:rsid w:val="00B54795"/>
    <w:rsid w:val="00B547DA"/>
    <w:rsid w:val="00B5499E"/>
    <w:rsid w:val="00B54A70"/>
    <w:rsid w:val="00B54AA4"/>
    <w:rsid w:val="00B54F81"/>
    <w:rsid w:val="00B550F5"/>
    <w:rsid w:val="00B55197"/>
    <w:rsid w:val="00B551C5"/>
    <w:rsid w:val="00B5562B"/>
    <w:rsid w:val="00B55773"/>
    <w:rsid w:val="00B55B20"/>
    <w:rsid w:val="00B55BBD"/>
    <w:rsid w:val="00B55BE0"/>
    <w:rsid w:val="00B55D3C"/>
    <w:rsid w:val="00B55D41"/>
    <w:rsid w:val="00B55E56"/>
    <w:rsid w:val="00B55F20"/>
    <w:rsid w:val="00B56046"/>
    <w:rsid w:val="00B56436"/>
    <w:rsid w:val="00B56885"/>
    <w:rsid w:val="00B568B7"/>
    <w:rsid w:val="00B56A36"/>
    <w:rsid w:val="00B56A59"/>
    <w:rsid w:val="00B56CAF"/>
    <w:rsid w:val="00B56F90"/>
    <w:rsid w:val="00B57243"/>
    <w:rsid w:val="00B57295"/>
    <w:rsid w:val="00B574C7"/>
    <w:rsid w:val="00B57995"/>
    <w:rsid w:val="00B579C5"/>
    <w:rsid w:val="00B57D43"/>
    <w:rsid w:val="00B57E3A"/>
    <w:rsid w:val="00B600DA"/>
    <w:rsid w:val="00B6026F"/>
    <w:rsid w:val="00B60376"/>
    <w:rsid w:val="00B603F5"/>
    <w:rsid w:val="00B6057A"/>
    <w:rsid w:val="00B60583"/>
    <w:rsid w:val="00B6058B"/>
    <w:rsid w:val="00B605CC"/>
    <w:rsid w:val="00B6063A"/>
    <w:rsid w:val="00B606CD"/>
    <w:rsid w:val="00B607E1"/>
    <w:rsid w:val="00B6088B"/>
    <w:rsid w:val="00B6090F"/>
    <w:rsid w:val="00B60943"/>
    <w:rsid w:val="00B6094A"/>
    <w:rsid w:val="00B6099E"/>
    <w:rsid w:val="00B60C9C"/>
    <w:rsid w:val="00B60D85"/>
    <w:rsid w:val="00B60D9C"/>
    <w:rsid w:val="00B60E79"/>
    <w:rsid w:val="00B612BE"/>
    <w:rsid w:val="00B616A6"/>
    <w:rsid w:val="00B61776"/>
    <w:rsid w:val="00B618E6"/>
    <w:rsid w:val="00B619DC"/>
    <w:rsid w:val="00B61C1D"/>
    <w:rsid w:val="00B61DA3"/>
    <w:rsid w:val="00B61F66"/>
    <w:rsid w:val="00B623B2"/>
    <w:rsid w:val="00B627B7"/>
    <w:rsid w:val="00B62A3E"/>
    <w:rsid w:val="00B62B58"/>
    <w:rsid w:val="00B62E1D"/>
    <w:rsid w:val="00B62F3A"/>
    <w:rsid w:val="00B63305"/>
    <w:rsid w:val="00B63369"/>
    <w:rsid w:val="00B634CA"/>
    <w:rsid w:val="00B63684"/>
    <w:rsid w:val="00B638EB"/>
    <w:rsid w:val="00B639CE"/>
    <w:rsid w:val="00B63CAD"/>
    <w:rsid w:val="00B63D21"/>
    <w:rsid w:val="00B63D80"/>
    <w:rsid w:val="00B63D84"/>
    <w:rsid w:val="00B63E98"/>
    <w:rsid w:val="00B63F3B"/>
    <w:rsid w:val="00B63FEA"/>
    <w:rsid w:val="00B642E2"/>
    <w:rsid w:val="00B64331"/>
    <w:rsid w:val="00B6437B"/>
    <w:rsid w:val="00B64506"/>
    <w:rsid w:val="00B6455D"/>
    <w:rsid w:val="00B64623"/>
    <w:rsid w:val="00B646B4"/>
    <w:rsid w:val="00B6499D"/>
    <w:rsid w:val="00B64A2A"/>
    <w:rsid w:val="00B64AD9"/>
    <w:rsid w:val="00B64BAE"/>
    <w:rsid w:val="00B64BFB"/>
    <w:rsid w:val="00B64FA0"/>
    <w:rsid w:val="00B650F3"/>
    <w:rsid w:val="00B656E6"/>
    <w:rsid w:val="00B6571C"/>
    <w:rsid w:val="00B657A4"/>
    <w:rsid w:val="00B6592D"/>
    <w:rsid w:val="00B65A5E"/>
    <w:rsid w:val="00B665EF"/>
    <w:rsid w:val="00B668CB"/>
    <w:rsid w:val="00B669C7"/>
    <w:rsid w:val="00B66A81"/>
    <w:rsid w:val="00B66AF7"/>
    <w:rsid w:val="00B66BDE"/>
    <w:rsid w:val="00B66C24"/>
    <w:rsid w:val="00B66FED"/>
    <w:rsid w:val="00B67067"/>
    <w:rsid w:val="00B67142"/>
    <w:rsid w:val="00B6752B"/>
    <w:rsid w:val="00B675EA"/>
    <w:rsid w:val="00B6774A"/>
    <w:rsid w:val="00B67879"/>
    <w:rsid w:val="00B67B63"/>
    <w:rsid w:val="00B67CBB"/>
    <w:rsid w:val="00B67ECC"/>
    <w:rsid w:val="00B70101"/>
    <w:rsid w:val="00B70280"/>
    <w:rsid w:val="00B70783"/>
    <w:rsid w:val="00B70860"/>
    <w:rsid w:val="00B70B06"/>
    <w:rsid w:val="00B70EE6"/>
    <w:rsid w:val="00B7141E"/>
    <w:rsid w:val="00B7195B"/>
    <w:rsid w:val="00B71B6D"/>
    <w:rsid w:val="00B71C97"/>
    <w:rsid w:val="00B72031"/>
    <w:rsid w:val="00B721C1"/>
    <w:rsid w:val="00B721F5"/>
    <w:rsid w:val="00B72463"/>
    <w:rsid w:val="00B724CA"/>
    <w:rsid w:val="00B7256E"/>
    <w:rsid w:val="00B72AF4"/>
    <w:rsid w:val="00B7323E"/>
    <w:rsid w:val="00B73242"/>
    <w:rsid w:val="00B732BE"/>
    <w:rsid w:val="00B73784"/>
    <w:rsid w:val="00B739A8"/>
    <w:rsid w:val="00B73D0D"/>
    <w:rsid w:val="00B73DC1"/>
    <w:rsid w:val="00B73F99"/>
    <w:rsid w:val="00B73FF6"/>
    <w:rsid w:val="00B7431F"/>
    <w:rsid w:val="00B74482"/>
    <w:rsid w:val="00B74834"/>
    <w:rsid w:val="00B74EF6"/>
    <w:rsid w:val="00B752CE"/>
    <w:rsid w:val="00B75561"/>
    <w:rsid w:val="00B757DD"/>
    <w:rsid w:val="00B7585D"/>
    <w:rsid w:val="00B75887"/>
    <w:rsid w:val="00B75BD2"/>
    <w:rsid w:val="00B75C16"/>
    <w:rsid w:val="00B75E99"/>
    <w:rsid w:val="00B76003"/>
    <w:rsid w:val="00B76121"/>
    <w:rsid w:val="00B76138"/>
    <w:rsid w:val="00B763BA"/>
    <w:rsid w:val="00B7644D"/>
    <w:rsid w:val="00B765CE"/>
    <w:rsid w:val="00B765F4"/>
    <w:rsid w:val="00B7668D"/>
    <w:rsid w:val="00B7678C"/>
    <w:rsid w:val="00B768E3"/>
    <w:rsid w:val="00B76C72"/>
    <w:rsid w:val="00B76D92"/>
    <w:rsid w:val="00B76F6A"/>
    <w:rsid w:val="00B77097"/>
    <w:rsid w:val="00B77204"/>
    <w:rsid w:val="00B7737B"/>
    <w:rsid w:val="00B774B8"/>
    <w:rsid w:val="00B774BF"/>
    <w:rsid w:val="00B77794"/>
    <w:rsid w:val="00B77AE3"/>
    <w:rsid w:val="00B77BD0"/>
    <w:rsid w:val="00B77F8E"/>
    <w:rsid w:val="00B77FDF"/>
    <w:rsid w:val="00B80064"/>
    <w:rsid w:val="00B8013D"/>
    <w:rsid w:val="00B803BD"/>
    <w:rsid w:val="00B806B3"/>
    <w:rsid w:val="00B806DC"/>
    <w:rsid w:val="00B8082C"/>
    <w:rsid w:val="00B80B15"/>
    <w:rsid w:val="00B80CAE"/>
    <w:rsid w:val="00B80E55"/>
    <w:rsid w:val="00B8107F"/>
    <w:rsid w:val="00B81274"/>
    <w:rsid w:val="00B813F8"/>
    <w:rsid w:val="00B8140B"/>
    <w:rsid w:val="00B814C7"/>
    <w:rsid w:val="00B81753"/>
    <w:rsid w:val="00B8179E"/>
    <w:rsid w:val="00B81D27"/>
    <w:rsid w:val="00B81D2C"/>
    <w:rsid w:val="00B81E5E"/>
    <w:rsid w:val="00B81EF2"/>
    <w:rsid w:val="00B81F9E"/>
    <w:rsid w:val="00B82046"/>
    <w:rsid w:val="00B8234A"/>
    <w:rsid w:val="00B82352"/>
    <w:rsid w:val="00B825BE"/>
    <w:rsid w:val="00B82AC9"/>
    <w:rsid w:val="00B82B8A"/>
    <w:rsid w:val="00B82DE6"/>
    <w:rsid w:val="00B82F89"/>
    <w:rsid w:val="00B832DF"/>
    <w:rsid w:val="00B834A0"/>
    <w:rsid w:val="00B83573"/>
    <w:rsid w:val="00B8364A"/>
    <w:rsid w:val="00B83819"/>
    <w:rsid w:val="00B83876"/>
    <w:rsid w:val="00B8391D"/>
    <w:rsid w:val="00B83A7B"/>
    <w:rsid w:val="00B83B8E"/>
    <w:rsid w:val="00B83C88"/>
    <w:rsid w:val="00B83E22"/>
    <w:rsid w:val="00B83E85"/>
    <w:rsid w:val="00B84533"/>
    <w:rsid w:val="00B84568"/>
    <w:rsid w:val="00B846A3"/>
    <w:rsid w:val="00B84757"/>
    <w:rsid w:val="00B84795"/>
    <w:rsid w:val="00B84B4E"/>
    <w:rsid w:val="00B84D6C"/>
    <w:rsid w:val="00B850EE"/>
    <w:rsid w:val="00B85366"/>
    <w:rsid w:val="00B85549"/>
    <w:rsid w:val="00B8566D"/>
    <w:rsid w:val="00B8597B"/>
    <w:rsid w:val="00B85EDF"/>
    <w:rsid w:val="00B861C1"/>
    <w:rsid w:val="00B8633F"/>
    <w:rsid w:val="00B864A1"/>
    <w:rsid w:val="00B8696F"/>
    <w:rsid w:val="00B869FB"/>
    <w:rsid w:val="00B86AF7"/>
    <w:rsid w:val="00B86CF7"/>
    <w:rsid w:val="00B87075"/>
    <w:rsid w:val="00B8709A"/>
    <w:rsid w:val="00B871DA"/>
    <w:rsid w:val="00B8732E"/>
    <w:rsid w:val="00B8733B"/>
    <w:rsid w:val="00B874C7"/>
    <w:rsid w:val="00B87B6E"/>
    <w:rsid w:val="00B87C3F"/>
    <w:rsid w:val="00B90185"/>
    <w:rsid w:val="00B90384"/>
    <w:rsid w:val="00B90787"/>
    <w:rsid w:val="00B9083C"/>
    <w:rsid w:val="00B90AB2"/>
    <w:rsid w:val="00B90DEF"/>
    <w:rsid w:val="00B90DF1"/>
    <w:rsid w:val="00B91005"/>
    <w:rsid w:val="00B9165D"/>
    <w:rsid w:val="00B9178B"/>
    <w:rsid w:val="00B918AA"/>
    <w:rsid w:val="00B918BD"/>
    <w:rsid w:val="00B91A80"/>
    <w:rsid w:val="00B91AB9"/>
    <w:rsid w:val="00B91CCE"/>
    <w:rsid w:val="00B91D32"/>
    <w:rsid w:val="00B91E60"/>
    <w:rsid w:val="00B91F0F"/>
    <w:rsid w:val="00B92036"/>
    <w:rsid w:val="00B920E9"/>
    <w:rsid w:val="00B92322"/>
    <w:rsid w:val="00B923EB"/>
    <w:rsid w:val="00B92598"/>
    <w:rsid w:val="00B926EF"/>
    <w:rsid w:val="00B92F44"/>
    <w:rsid w:val="00B92FEF"/>
    <w:rsid w:val="00B932D7"/>
    <w:rsid w:val="00B9333D"/>
    <w:rsid w:val="00B93826"/>
    <w:rsid w:val="00B9386B"/>
    <w:rsid w:val="00B93BC2"/>
    <w:rsid w:val="00B93C03"/>
    <w:rsid w:val="00B93D1A"/>
    <w:rsid w:val="00B93FEA"/>
    <w:rsid w:val="00B94017"/>
    <w:rsid w:val="00B9402A"/>
    <w:rsid w:val="00B9445F"/>
    <w:rsid w:val="00B94884"/>
    <w:rsid w:val="00B94ABD"/>
    <w:rsid w:val="00B952D4"/>
    <w:rsid w:val="00B95590"/>
    <w:rsid w:val="00B95817"/>
    <w:rsid w:val="00B95982"/>
    <w:rsid w:val="00B96231"/>
    <w:rsid w:val="00B962B5"/>
    <w:rsid w:val="00B963F7"/>
    <w:rsid w:val="00B965A8"/>
    <w:rsid w:val="00B9677F"/>
    <w:rsid w:val="00B96937"/>
    <w:rsid w:val="00B96BFC"/>
    <w:rsid w:val="00B96CAC"/>
    <w:rsid w:val="00B96DED"/>
    <w:rsid w:val="00B97305"/>
    <w:rsid w:val="00B97420"/>
    <w:rsid w:val="00B97605"/>
    <w:rsid w:val="00B97988"/>
    <w:rsid w:val="00B97AC3"/>
    <w:rsid w:val="00B97C20"/>
    <w:rsid w:val="00B97C46"/>
    <w:rsid w:val="00B97FD1"/>
    <w:rsid w:val="00BA006E"/>
    <w:rsid w:val="00BA03CB"/>
    <w:rsid w:val="00BA055F"/>
    <w:rsid w:val="00BA07C1"/>
    <w:rsid w:val="00BA091A"/>
    <w:rsid w:val="00BA09FC"/>
    <w:rsid w:val="00BA0AA8"/>
    <w:rsid w:val="00BA0C2C"/>
    <w:rsid w:val="00BA0E16"/>
    <w:rsid w:val="00BA0F7D"/>
    <w:rsid w:val="00BA1191"/>
    <w:rsid w:val="00BA11C4"/>
    <w:rsid w:val="00BA11FF"/>
    <w:rsid w:val="00BA1450"/>
    <w:rsid w:val="00BA1573"/>
    <w:rsid w:val="00BA1735"/>
    <w:rsid w:val="00BA17C7"/>
    <w:rsid w:val="00BA1BDA"/>
    <w:rsid w:val="00BA1D3B"/>
    <w:rsid w:val="00BA1D93"/>
    <w:rsid w:val="00BA1DA5"/>
    <w:rsid w:val="00BA1DF6"/>
    <w:rsid w:val="00BA205D"/>
    <w:rsid w:val="00BA207C"/>
    <w:rsid w:val="00BA233D"/>
    <w:rsid w:val="00BA2468"/>
    <w:rsid w:val="00BA2659"/>
    <w:rsid w:val="00BA2B0A"/>
    <w:rsid w:val="00BA2B0C"/>
    <w:rsid w:val="00BA2F77"/>
    <w:rsid w:val="00BA2FC8"/>
    <w:rsid w:val="00BA3044"/>
    <w:rsid w:val="00BA3764"/>
    <w:rsid w:val="00BA3765"/>
    <w:rsid w:val="00BA39BA"/>
    <w:rsid w:val="00BA3A20"/>
    <w:rsid w:val="00BA3D12"/>
    <w:rsid w:val="00BA4398"/>
    <w:rsid w:val="00BA4418"/>
    <w:rsid w:val="00BA44FF"/>
    <w:rsid w:val="00BA4578"/>
    <w:rsid w:val="00BA45E4"/>
    <w:rsid w:val="00BA4772"/>
    <w:rsid w:val="00BA47D1"/>
    <w:rsid w:val="00BA49CE"/>
    <w:rsid w:val="00BA4B09"/>
    <w:rsid w:val="00BA4C46"/>
    <w:rsid w:val="00BA4C7A"/>
    <w:rsid w:val="00BA513D"/>
    <w:rsid w:val="00BA523B"/>
    <w:rsid w:val="00BA55AC"/>
    <w:rsid w:val="00BA5663"/>
    <w:rsid w:val="00BA589D"/>
    <w:rsid w:val="00BA5C9F"/>
    <w:rsid w:val="00BA5E22"/>
    <w:rsid w:val="00BA5E77"/>
    <w:rsid w:val="00BA5F01"/>
    <w:rsid w:val="00BA5FA9"/>
    <w:rsid w:val="00BA60D0"/>
    <w:rsid w:val="00BA6331"/>
    <w:rsid w:val="00BA6530"/>
    <w:rsid w:val="00BA6723"/>
    <w:rsid w:val="00BA6744"/>
    <w:rsid w:val="00BA695B"/>
    <w:rsid w:val="00BA6BE8"/>
    <w:rsid w:val="00BA6C0A"/>
    <w:rsid w:val="00BA6E32"/>
    <w:rsid w:val="00BA70EB"/>
    <w:rsid w:val="00BA71B9"/>
    <w:rsid w:val="00BA7765"/>
    <w:rsid w:val="00BA7772"/>
    <w:rsid w:val="00BA78AF"/>
    <w:rsid w:val="00BA7D7C"/>
    <w:rsid w:val="00BA7E9F"/>
    <w:rsid w:val="00BB0007"/>
    <w:rsid w:val="00BB03E2"/>
    <w:rsid w:val="00BB087E"/>
    <w:rsid w:val="00BB09B9"/>
    <w:rsid w:val="00BB0ADA"/>
    <w:rsid w:val="00BB0D58"/>
    <w:rsid w:val="00BB1130"/>
    <w:rsid w:val="00BB127B"/>
    <w:rsid w:val="00BB1668"/>
    <w:rsid w:val="00BB173A"/>
    <w:rsid w:val="00BB176A"/>
    <w:rsid w:val="00BB1BA0"/>
    <w:rsid w:val="00BB1C18"/>
    <w:rsid w:val="00BB1C7E"/>
    <w:rsid w:val="00BB1C90"/>
    <w:rsid w:val="00BB1DC6"/>
    <w:rsid w:val="00BB1DD0"/>
    <w:rsid w:val="00BB2239"/>
    <w:rsid w:val="00BB2386"/>
    <w:rsid w:val="00BB2392"/>
    <w:rsid w:val="00BB2435"/>
    <w:rsid w:val="00BB260D"/>
    <w:rsid w:val="00BB27D0"/>
    <w:rsid w:val="00BB2EBF"/>
    <w:rsid w:val="00BB356D"/>
    <w:rsid w:val="00BB38CA"/>
    <w:rsid w:val="00BB40E2"/>
    <w:rsid w:val="00BB434C"/>
    <w:rsid w:val="00BB485B"/>
    <w:rsid w:val="00BB49E7"/>
    <w:rsid w:val="00BB4A8F"/>
    <w:rsid w:val="00BB4B40"/>
    <w:rsid w:val="00BB4D70"/>
    <w:rsid w:val="00BB4D8D"/>
    <w:rsid w:val="00BB4D9C"/>
    <w:rsid w:val="00BB4E47"/>
    <w:rsid w:val="00BB4EBA"/>
    <w:rsid w:val="00BB500C"/>
    <w:rsid w:val="00BB51A5"/>
    <w:rsid w:val="00BB565C"/>
    <w:rsid w:val="00BB59C5"/>
    <w:rsid w:val="00BB5CDB"/>
    <w:rsid w:val="00BB5FB4"/>
    <w:rsid w:val="00BB604B"/>
    <w:rsid w:val="00BB610B"/>
    <w:rsid w:val="00BB626A"/>
    <w:rsid w:val="00BB62AD"/>
    <w:rsid w:val="00BB65C0"/>
    <w:rsid w:val="00BB67E0"/>
    <w:rsid w:val="00BB68BD"/>
    <w:rsid w:val="00BB6CB1"/>
    <w:rsid w:val="00BB7120"/>
    <w:rsid w:val="00BB7216"/>
    <w:rsid w:val="00BB7279"/>
    <w:rsid w:val="00BB7472"/>
    <w:rsid w:val="00BB75D2"/>
    <w:rsid w:val="00BB7671"/>
    <w:rsid w:val="00BB770E"/>
    <w:rsid w:val="00BB7751"/>
    <w:rsid w:val="00BB778F"/>
    <w:rsid w:val="00BB7CDC"/>
    <w:rsid w:val="00BC0161"/>
    <w:rsid w:val="00BC05F5"/>
    <w:rsid w:val="00BC071E"/>
    <w:rsid w:val="00BC07B7"/>
    <w:rsid w:val="00BC07F5"/>
    <w:rsid w:val="00BC0B6F"/>
    <w:rsid w:val="00BC0F6F"/>
    <w:rsid w:val="00BC0F7B"/>
    <w:rsid w:val="00BC1040"/>
    <w:rsid w:val="00BC14DA"/>
    <w:rsid w:val="00BC15A9"/>
    <w:rsid w:val="00BC1694"/>
    <w:rsid w:val="00BC170F"/>
    <w:rsid w:val="00BC1747"/>
    <w:rsid w:val="00BC1854"/>
    <w:rsid w:val="00BC19F3"/>
    <w:rsid w:val="00BC1A32"/>
    <w:rsid w:val="00BC1B10"/>
    <w:rsid w:val="00BC1C4B"/>
    <w:rsid w:val="00BC1F10"/>
    <w:rsid w:val="00BC2034"/>
    <w:rsid w:val="00BC2265"/>
    <w:rsid w:val="00BC24FC"/>
    <w:rsid w:val="00BC2526"/>
    <w:rsid w:val="00BC2553"/>
    <w:rsid w:val="00BC2583"/>
    <w:rsid w:val="00BC2643"/>
    <w:rsid w:val="00BC266F"/>
    <w:rsid w:val="00BC293C"/>
    <w:rsid w:val="00BC2948"/>
    <w:rsid w:val="00BC2981"/>
    <w:rsid w:val="00BC29A9"/>
    <w:rsid w:val="00BC2AE3"/>
    <w:rsid w:val="00BC2B2A"/>
    <w:rsid w:val="00BC2BCE"/>
    <w:rsid w:val="00BC2BF9"/>
    <w:rsid w:val="00BC2C73"/>
    <w:rsid w:val="00BC2D8D"/>
    <w:rsid w:val="00BC2D97"/>
    <w:rsid w:val="00BC2DD6"/>
    <w:rsid w:val="00BC2E4C"/>
    <w:rsid w:val="00BC2F9C"/>
    <w:rsid w:val="00BC3080"/>
    <w:rsid w:val="00BC314D"/>
    <w:rsid w:val="00BC325F"/>
    <w:rsid w:val="00BC3315"/>
    <w:rsid w:val="00BC33E0"/>
    <w:rsid w:val="00BC3527"/>
    <w:rsid w:val="00BC3703"/>
    <w:rsid w:val="00BC371E"/>
    <w:rsid w:val="00BC3788"/>
    <w:rsid w:val="00BC37D7"/>
    <w:rsid w:val="00BC3A11"/>
    <w:rsid w:val="00BC3A30"/>
    <w:rsid w:val="00BC3D3D"/>
    <w:rsid w:val="00BC3DEF"/>
    <w:rsid w:val="00BC3E3F"/>
    <w:rsid w:val="00BC3F37"/>
    <w:rsid w:val="00BC3FCB"/>
    <w:rsid w:val="00BC42DA"/>
    <w:rsid w:val="00BC450E"/>
    <w:rsid w:val="00BC4715"/>
    <w:rsid w:val="00BC47A6"/>
    <w:rsid w:val="00BC4910"/>
    <w:rsid w:val="00BC4A76"/>
    <w:rsid w:val="00BC4DE4"/>
    <w:rsid w:val="00BC4E22"/>
    <w:rsid w:val="00BC50E4"/>
    <w:rsid w:val="00BC5192"/>
    <w:rsid w:val="00BC5673"/>
    <w:rsid w:val="00BC5BA6"/>
    <w:rsid w:val="00BC5C33"/>
    <w:rsid w:val="00BC5DBD"/>
    <w:rsid w:val="00BC5EE6"/>
    <w:rsid w:val="00BC601C"/>
    <w:rsid w:val="00BC60B0"/>
    <w:rsid w:val="00BC60E7"/>
    <w:rsid w:val="00BC64AD"/>
    <w:rsid w:val="00BC653D"/>
    <w:rsid w:val="00BC65B6"/>
    <w:rsid w:val="00BC65BB"/>
    <w:rsid w:val="00BC6C9D"/>
    <w:rsid w:val="00BC7026"/>
    <w:rsid w:val="00BC70B7"/>
    <w:rsid w:val="00BC7177"/>
    <w:rsid w:val="00BC7444"/>
    <w:rsid w:val="00BC766C"/>
    <w:rsid w:val="00BC791F"/>
    <w:rsid w:val="00BC7A3C"/>
    <w:rsid w:val="00BC7A99"/>
    <w:rsid w:val="00BC7CE6"/>
    <w:rsid w:val="00BC7D12"/>
    <w:rsid w:val="00BC7F8F"/>
    <w:rsid w:val="00BC7FBC"/>
    <w:rsid w:val="00BD0222"/>
    <w:rsid w:val="00BD02DD"/>
    <w:rsid w:val="00BD04F0"/>
    <w:rsid w:val="00BD0528"/>
    <w:rsid w:val="00BD065B"/>
    <w:rsid w:val="00BD090C"/>
    <w:rsid w:val="00BD09EC"/>
    <w:rsid w:val="00BD0D2D"/>
    <w:rsid w:val="00BD0EE4"/>
    <w:rsid w:val="00BD1179"/>
    <w:rsid w:val="00BD11CC"/>
    <w:rsid w:val="00BD12E0"/>
    <w:rsid w:val="00BD13B8"/>
    <w:rsid w:val="00BD1414"/>
    <w:rsid w:val="00BD1666"/>
    <w:rsid w:val="00BD17A0"/>
    <w:rsid w:val="00BD201C"/>
    <w:rsid w:val="00BD21E0"/>
    <w:rsid w:val="00BD22A9"/>
    <w:rsid w:val="00BD2347"/>
    <w:rsid w:val="00BD2378"/>
    <w:rsid w:val="00BD23FD"/>
    <w:rsid w:val="00BD2412"/>
    <w:rsid w:val="00BD2696"/>
    <w:rsid w:val="00BD2895"/>
    <w:rsid w:val="00BD292D"/>
    <w:rsid w:val="00BD29BC"/>
    <w:rsid w:val="00BD2B17"/>
    <w:rsid w:val="00BD2C58"/>
    <w:rsid w:val="00BD30AD"/>
    <w:rsid w:val="00BD30B7"/>
    <w:rsid w:val="00BD30BE"/>
    <w:rsid w:val="00BD34CC"/>
    <w:rsid w:val="00BD3E17"/>
    <w:rsid w:val="00BD3FCB"/>
    <w:rsid w:val="00BD4003"/>
    <w:rsid w:val="00BD493E"/>
    <w:rsid w:val="00BD4BF4"/>
    <w:rsid w:val="00BD4E0B"/>
    <w:rsid w:val="00BD51D6"/>
    <w:rsid w:val="00BD5232"/>
    <w:rsid w:val="00BD542A"/>
    <w:rsid w:val="00BD570E"/>
    <w:rsid w:val="00BD5F20"/>
    <w:rsid w:val="00BD60B8"/>
    <w:rsid w:val="00BD63A1"/>
    <w:rsid w:val="00BD6637"/>
    <w:rsid w:val="00BD66F4"/>
    <w:rsid w:val="00BD673F"/>
    <w:rsid w:val="00BD69A8"/>
    <w:rsid w:val="00BD6BBE"/>
    <w:rsid w:val="00BD713A"/>
    <w:rsid w:val="00BD71EB"/>
    <w:rsid w:val="00BD7214"/>
    <w:rsid w:val="00BD726E"/>
    <w:rsid w:val="00BD77A5"/>
    <w:rsid w:val="00BD7924"/>
    <w:rsid w:val="00BD7C1B"/>
    <w:rsid w:val="00BD7C71"/>
    <w:rsid w:val="00BD7CAD"/>
    <w:rsid w:val="00BD7EAF"/>
    <w:rsid w:val="00BE01C5"/>
    <w:rsid w:val="00BE02D6"/>
    <w:rsid w:val="00BE03A7"/>
    <w:rsid w:val="00BE0573"/>
    <w:rsid w:val="00BE05C5"/>
    <w:rsid w:val="00BE069F"/>
    <w:rsid w:val="00BE0D1B"/>
    <w:rsid w:val="00BE0DFC"/>
    <w:rsid w:val="00BE0E07"/>
    <w:rsid w:val="00BE0E56"/>
    <w:rsid w:val="00BE0F7A"/>
    <w:rsid w:val="00BE0FA5"/>
    <w:rsid w:val="00BE1429"/>
    <w:rsid w:val="00BE1456"/>
    <w:rsid w:val="00BE1597"/>
    <w:rsid w:val="00BE15DC"/>
    <w:rsid w:val="00BE1750"/>
    <w:rsid w:val="00BE1B0C"/>
    <w:rsid w:val="00BE1C70"/>
    <w:rsid w:val="00BE1D27"/>
    <w:rsid w:val="00BE2048"/>
    <w:rsid w:val="00BE23B3"/>
    <w:rsid w:val="00BE2422"/>
    <w:rsid w:val="00BE2547"/>
    <w:rsid w:val="00BE2726"/>
    <w:rsid w:val="00BE292D"/>
    <w:rsid w:val="00BE2C23"/>
    <w:rsid w:val="00BE2D66"/>
    <w:rsid w:val="00BE3014"/>
    <w:rsid w:val="00BE31CB"/>
    <w:rsid w:val="00BE31D0"/>
    <w:rsid w:val="00BE32E4"/>
    <w:rsid w:val="00BE3353"/>
    <w:rsid w:val="00BE33CC"/>
    <w:rsid w:val="00BE3594"/>
    <w:rsid w:val="00BE3871"/>
    <w:rsid w:val="00BE3A55"/>
    <w:rsid w:val="00BE3D8C"/>
    <w:rsid w:val="00BE3EF9"/>
    <w:rsid w:val="00BE40EB"/>
    <w:rsid w:val="00BE42C8"/>
    <w:rsid w:val="00BE44B9"/>
    <w:rsid w:val="00BE4659"/>
    <w:rsid w:val="00BE4779"/>
    <w:rsid w:val="00BE484B"/>
    <w:rsid w:val="00BE4995"/>
    <w:rsid w:val="00BE49EC"/>
    <w:rsid w:val="00BE4B6D"/>
    <w:rsid w:val="00BE4DBA"/>
    <w:rsid w:val="00BE4FE9"/>
    <w:rsid w:val="00BE501D"/>
    <w:rsid w:val="00BE5506"/>
    <w:rsid w:val="00BE552D"/>
    <w:rsid w:val="00BE5549"/>
    <w:rsid w:val="00BE56DC"/>
    <w:rsid w:val="00BE59B8"/>
    <w:rsid w:val="00BE5A12"/>
    <w:rsid w:val="00BE5B9F"/>
    <w:rsid w:val="00BE5DC5"/>
    <w:rsid w:val="00BE5FAC"/>
    <w:rsid w:val="00BE604F"/>
    <w:rsid w:val="00BE61CE"/>
    <w:rsid w:val="00BE633B"/>
    <w:rsid w:val="00BE6524"/>
    <w:rsid w:val="00BE6884"/>
    <w:rsid w:val="00BE6D21"/>
    <w:rsid w:val="00BE6E3D"/>
    <w:rsid w:val="00BE6EED"/>
    <w:rsid w:val="00BE6F9E"/>
    <w:rsid w:val="00BE73A8"/>
    <w:rsid w:val="00BE74D9"/>
    <w:rsid w:val="00BE7766"/>
    <w:rsid w:val="00BE77C7"/>
    <w:rsid w:val="00BE7858"/>
    <w:rsid w:val="00BE7914"/>
    <w:rsid w:val="00BE7A6D"/>
    <w:rsid w:val="00BE7B63"/>
    <w:rsid w:val="00BE7C79"/>
    <w:rsid w:val="00BE7C83"/>
    <w:rsid w:val="00BE7DFE"/>
    <w:rsid w:val="00BE7F69"/>
    <w:rsid w:val="00BF0277"/>
    <w:rsid w:val="00BF0418"/>
    <w:rsid w:val="00BF07A2"/>
    <w:rsid w:val="00BF09C3"/>
    <w:rsid w:val="00BF0BEE"/>
    <w:rsid w:val="00BF0C16"/>
    <w:rsid w:val="00BF0C77"/>
    <w:rsid w:val="00BF0DD6"/>
    <w:rsid w:val="00BF0E2C"/>
    <w:rsid w:val="00BF0E92"/>
    <w:rsid w:val="00BF1118"/>
    <w:rsid w:val="00BF123D"/>
    <w:rsid w:val="00BF148B"/>
    <w:rsid w:val="00BF14D1"/>
    <w:rsid w:val="00BF1650"/>
    <w:rsid w:val="00BF18FB"/>
    <w:rsid w:val="00BF1BDA"/>
    <w:rsid w:val="00BF1BEC"/>
    <w:rsid w:val="00BF1C1A"/>
    <w:rsid w:val="00BF201A"/>
    <w:rsid w:val="00BF21E3"/>
    <w:rsid w:val="00BF235B"/>
    <w:rsid w:val="00BF23C8"/>
    <w:rsid w:val="00BF271C"/>
    <w:rsid w:val="00BF2753"/>
    <w:rsid w:val="00BF2856"/>
    <w:rsid w:val="00BF28DF"/>
    <w:rsid w:val="00BF28F3"/>
    <w:rsid w:val="00BF29AB"/>
    <w:rsid w:val="00BF3070"/>
    <w:rsid w:val="00BF3153"/>
    <w:rsid w:val="00BF32DD"/>
    <w:rsid w:val="00BF331A"/>
    <w:rsid w:val="00BF3487"/>
    <w:rsid w:val="00BF37A5"/>
    <w:rsid w:val="00BF380F"/>
    <w:rsid w:val="00BF3A21"/>
    <w:rsid w:val="00BF3BBE"/>
    <w:rsid w:val="00BF3CF6"/>
    <w:rsid w:val="00BF3D88"/>
    <w:rsid w:val="00BF40CD"/>
    <w:rsid w:val="00BF4157"/>
    <w:rsid w:val="00BF41CE"/>
    <w:rsid w:val="00BF4360"/>
    <w:rsid w:val="00BF4373"/>
    <w:rsid w:val="00BF437B"/>
    <w:rsid w:val="00BF45CC"/>
    <w:rsid w:val="00BF4654"/>
    <w:rsid w:val="00BF46E6"/>
    <w:rsid w:val="00BF48D9"/>
    <w:rsid w:val="00BF4A0D"/>
    <w:rsid w:val="00BF4ADB"/>
    <w:rsid w:val="00BF4BDE"/>
    <w:rsid w:val="00BF4BEB"/>
    <w:rsid w:val="00BF4E3E"/>
    <w:rsid w:val="00BF4EE8"/>
    <w:rsid w:val="00BF531F"/>
    <w:rsid w:val="00BF5389"/>
    <w:rsid w:val="00BF55FE"/>
    <w:rsid w:val="00BF56E8"/>
    <w:rsid w:val="00BF5B0D"/>
    <w:rsid w:val="00BF5B95"/>
    <w:rsid w:val="00BF5F00"/>
    <w:rsid w:val="00BF60A5"/>
    <w:rsid w:val="00BF6252"/>
    <w:rsid w:val="00BF6337"/>
    <w:rsid w:val="00BF64D9"/>
    <w:rsid w:val="00BF6A4A"/>
    <w:rsid w:val="00BF6BC8"/>
    <w:rsid w:val="00BF6F79"/>
    <w:rsid w:val="00BF71AE"/>
    <w:rsid w:val="00BF7452"/>
    <w:rsid w:val="00BF77EB"/>
    <w:rsid w:val="00BF7AF2"/>
    <w:rsid w:val="00BF7B25"/>
    <w:rsid w:val="00BF7BBF"/>
    <w:rsid w:val="00BF7C38"/>
    <w:rsid w:val="00BF7C42"/>
    <w:rsid w:val="00BF7CAC"/>
    <w:rsid w:val="00BF7F36"/>
    <w:rsid w:val="00C00001"/>
    <w:rsid w:val="00C00187"/>
    <w:rsid w:val="00C00205"/>
    <w:rsid w:val="00C0028B"/>
    <w:rsid w:val="00C00397"/>
    <w:rsid w:val="00C00481"/>
    <w:rsid w:val="00C004B1"/>
    <w:rsid w:val="00C004F2"/>
    <w:rsid w:val="00C00680"/>
    <w:rsid w:val="00C00687"/>
    <w:rsid w:val="00C0092F"/>
    <w:rsid w:val="00C00A72"/>
    <w:rsid w:val="00C00BA0"/>
    <w:rsid w:val="00C00FF9"/>
    <w:rsid w:val="00C0126B"/>
    <w:rsid w:val="00C013B1"/>
    <w:rsid w:val="00C014C1"/>
    <w:rsid w:val="00C014E8"/>
    <w:rsid w:val="00C01739"/>
    <w:rsid w:val="00C017D3"/>
    <w:rsid w:val="00C018B5"/>
    <w:rsid w:val="00C01935"/>
    <w:rsid w:val="00C01945"/>
    <w:rsid w:val="00C0198C"/>
    <w:rsid w:val="00C019E2"/>
    <w:rsid w:val="00C01BC1"/>
    <w:rsid w:val="00C01CB2"/>
    <w:rsid w:val="00C01DA3"/>
    <w:rsid w:val="00C01E13"/>
    <w:rsid w:val="00C0235E"/>
    <w:rsid w:val="00C027A3"/>
    <w:rsid w:val="00C028BE"/>
    <w:rsid w:val="00C02A16"/>
    <w:rsid w:val="00C02B0D"/>
    <w:rsid w:val="00C02BBE"/>
    <w:rsid w:val="00C02EE6"/>
    <w:rsid w:val="00C02F8F"/>
    <w:rsid w:val="00C03458"/>
    <w:rsid w:val="00C034ED"/>
    <w:rsid w:val="00C03A11"/>
    <w:rsid w:val="00C03A3A"/>
    <w:rsid w:val="00C03B07"/>
    <w:rsid w:val="00C03C1B"/>
    <w:rsid w:val="00C03D36"/>
    <w:rsid w:val="00C03FA6"/>
    <w:rsid w:val="00C03FF2"/>
    <w:rsid w:val="00C04072"/>
    <w:rsid w:val="00C04112"/>
    <w:rsid w:val="00C04271"/>
    <w:rsid w:val="00C044DF"/>
    <w:rsid w:val="00C04721"/>
    <w:rsid w:val="00C048EC"/>
    <w:rsid w:val="00C0493C"/>
    <w:rsid w:val="00C04A31"/>
    <w:rsid w:val="00C04A82"/>
    <w:rsid w:val="00C04D46"/>
    <w:rsid w:val="00C04D9F"/>
    <w:rsid w:val="00C04FF0"/>
    <w:rsid w:val="00C05255"/>
    <w:rsid w:val="00C052DB"/>
    <w:rsid w:val="00C052F5"/>
    <w:rsid w:val="00C0533C"/>
    <w:rsid w:val="00C0569B"/>
    <w:rsid w:val="00C056A0"/>
    <w:rsid w:val="00C056CF"/>
    <w:rsid w:val="00C0580B"/>
    <w:rsid w:val="00C0595F"/>
    <w:rsid w:val="00C059EE"/>
    <w:rsid w:val="00C05C68"/>
    <w:rsid w:val="00C05E4E"/>
    <w:rsid w:val="00C05FB5"/>
    <w:rsid w:val="00C06009"/>
    <w:rsid w:val="00C06123"/>
    <w:rsid w:val="00C0657C"/>
    <w:rsid w:val="00C066F4"/>
    <w:rsid w:val="00C06887"/>
    <w:rsid w:val="00C06A0E"/>
    <w:rsid w:val="00C06DAF"/>
    <w:rsid w:val="00C0785E"/>
    <w:rsid w:val="00C07CCC"/>
    <w:rsid w:val="00C07D4C"/>
    <w:rsid w:val="00C07FA7"/>
    <w:rsid w:val="00C100A5"/>
    <w:rsid w:val="00C1025B"/>
    <w:rsid w:val="00C10287"/>
    <w:rsid w:val="00C102B9"/>
    <w:rsid w:val="00C10362"/>
    <w:rsid w:val="00C1042C"/>
    <w:rsid w:val="00C1064F"/>
    <w:rsid w:val="00C10787"/>
    <w:rsid w:val="00C107D2"/>
    <w:rsid w:val="00C10AA8"/>
    <w:rsid w:val="00C10B8B"/>
    <w:rsid w:val="00C10CF4"/>
    <w:rsid w:val="00C10E05"/>
    <w:rsid w:val="00C111BA"/>
    <w:rsid w:val="00C1125D"/>
    <w:rsid w:val="00C1135A"/>
    <w:rsid w:val="00C11464"/>
    <w:rsid w:val="00C11A11"/>
    <w:rsid w:val="00C11CD1"/>
    <w:rsid w:val="00C12048"/>
    <w:rsid w:val="00C1232B"/>
    <w:rsid w:val="00C124DA"/>
    <w:rsid w:val="00C12575"/>
    <w:rsid w:val="00C125DE"/>
    <w:rsid w:val="00C12852"/>
    <w:rsid w:val="00C12B08"/>
    <w:rsid w:val="00C12E26"/>
    <w:rsid w:val="00C13779"/>
    <w:rsid w:val="00C138F3"/>
    <w:rsid w:val="00C1391A"/>
    <w:rsid w:val="00C13A2B"/>
    <w:rsid w:val="00C13A7D"/>
    <w:rsid w:val="00C13FC0"/>
    <w:rsid w:val="00C14232"/>
    <w:rsid w:val="00C14283"/>
    <w:rsid w:val="00C14806"/>
    <w:rsid w:val="00C1486B"/>
    <w:rsid w:val="00C1487B"/>
    <w:rsid w:val="00C14C58"/>
    <w:rsid w:val="00C14CA3"/>
    <w:rsid w:val="00C14CC7"/>
    <w:rsid w:val="00C14E9F"/>
    <w:rsid w:val="00C15044"/>
    <w:rsid w:val="00C151A6"/>
    <w:rsid w:val="00C15360"/>
    <w:rsid w:val="00C153D2"/>
    <w:rsid w:val="00C15515"/>
    <w:rsid w:val="00C156E9"/>
    <w:rsid w:val="00C158D5"/>
    <w:rsid w:val="00C15A42"/>
    <w:rsid w:val="00C15B1F"/>
    <w:rsid w:val="00C15D9B"/>
    <w:rsid w:val="00C15DAF"/>
    <w:rsid w:val="00C1618E"/>
    <w:rsid w:val="00C16428"/>
    <w:rsid w:val="00C16A63"/>
    <w:rsid w:val="00C16B44"/>
    <w:rsid w:val="00C1705D"/>
    <w:rsid w:val="00C1707E"/>
    <w:rsid w:val="00C173AE"/>
    <w:rsid w:val="00C178FD"/>
    <w:rsid w:val="00C1794F"/>
    <w:rsid w:val="00C17C35"/>
    <w:rsid w:val="00C17D16"/>
    <w:rsid w:val="00C17D68"/>
    <w:rsid w:val="00C20315"/>
    <w:rsid w:val="00C204FD"/>
    <w:rsid w:val="00C2056B"/>
    <w:rsid w:val="00C20949"/>
    <w:rsid w:val="00C20B43"/>
    <w:rsid w:val="00C20B6B"/>
    <w:rsid w:val="00C20BD8"/>
    <w:rsid w:val="00C20D64"/>
    <w:rsid w:val="00C20E3F"/>
    <w:rsid w:val="00C20F99"/>
    <w:rsid w:val="00C210D2"/>
    <w:rsid w:val="00C212AF"/>
    <w:rsid w:val="00C214FE"/>
    <w:rsid w:val="00C215BC"/>
    <w:rsid w:val="00C21635"/>
    <w:rsid w:val="00C21A24"/>
    <w:rsid w:val="00C21D97"/>
    <w:rsid w:val="00C2205F"/>
    <w:rsid w:val="00C22285"/>
    <w:rsid w:val="00C2234C"/>
    <w:rsid w:val="00C224E1"/>
    <w:rsid w:val="00C2254E"/>
    <w:rsid w:val="00C22622"/>
    <w:rsid w:val="00C22715"/>
    <w:rsid w:val="00C228AB"/>
    <w:rsid w:val="00C231FC"/>
    <w:rsid w:val="00C23263"/>
    <w:rsid w:val="00C232FE"/>
    <w:rsid w:val="00C2338C"/>
    <w:rsid w:val="00C235A6"/>
    <w:rsid w:val="00C236D5"/>
    <w:rsid w:val="00C239C5"/>
    <w:rsid w:val="00C23A6E"/>
    <w:rsid w:val="00C23BC0"/>
    <w:rsid w:val="00C23C48"/>
    <w:rsid w:val="00C23ED8"/>
    <w:rsid w:val="00C23F18"/>
    <w:rsid w:val="00C241C5"/>
    <w:rsid w:val="00C241CF"/>
    <w:rsid w:val="00C2420C"/>
    <w:rsid w:val="00C243A0"/>
    <w:rsid w:val="00C243E8"/>
    <w:rsid w:val="00C245D4"/>
    <w:rsid w:val="00C24703"/>
    <w:rsid w:val="00C24A13"/>
    <w:rsid w:val="00C24B4F"/>
    <w:rsid w:val="00C24C13"/>
    <w:rsid w:val="00C24ECE"/>
    <w:rsid w:val="00C250D1"/>
    <w:rsid w:val="00C252A2"/>
    <w:rsid w:val="00C254F5"/>
    <w:rsid w:val="00C25E7F"/>
    <w:rsid w:val="00C25F45"/>
    <w:rsid w:val="00C2638B"/>
    <w:rsid w:val="00C263C1"/>
    <w:rsid w:val="00C2647B"/>
    <w:rsid w:val="00C2680F"/>
    <w:rsid w:val="00C26A8F"/>
    <w:rsid w:val="00C26AEA"/>
    <w:rsid w:val="00C26BDE"/>
    <w:rsid w:val="00C26C87"/>
    <w:rsid w:val="00C274B5"/>
    <w:rsid w:val="00C276C7"/>
    <w:rsid w:val="00C27956"/>
    <w:rsid w:val="00C27AAB"/>
    <w:rsid w:val="00C27B71"/>
    <w:rsid w:val="00C27BD2"/>
    <w:rsid w:val="00C27C2A"/>
    <w:rsid w:val="00C27CC1"/>
    <w:rsid w:val="00C27CD3"/>
    <w:rsid w:val="00C303DE"/>
    <w:rsid w:val="00C30559"/>
    <w:rsid w:val="00C30649"/>
    <w:rsid w:val="00C306E8"/>
    <w:rsid w:val="00C30817"/>
    <w:rsid w:val="00C30996"/>
    <w:rsid w:val="00C30A9D"/>
    <w:rsid w:val="00C30AC5"/>
    <w:rsid w:val="00C30AE8"/>
    <w:rsid w:val="00C30C1F"/>
    <w:rsid w:val="00C3103F"/>
    <w:rsid w:val="00C31120"/>
    <w:rsid w:val="00C3114C"/>
    <w:rsid w:val="00C3127F"/>
    <w:rsid w:val="00C3139B"/>
    <w:rsid w:val="00C31435"/>
    <w:rsid w:val="00C314C1"/>
    <w:rsid w:val="00C31514"/>
    <w:rsid w:val="00C3154B"/>
    <w:rsid w:val="00C31587"/>
    <w:rsid w:val="00C31645"/>
    <w:rsid w:val="00C3193C"/>
    <w:rsid w:val="00C31982"/>
    <w:rsid w:val="00C319C7"/>
    <w:rsid w:val="00C319F0"/>
    <w:rsid w:val="00C31A90"/>
    <w:rsid w:val="00C31C7B"/>
    <w:rsid w:val="00C32218"/>
    <w:rsid w:val="00C32253"/>
    <w:rsid w:val="00C322A7"/>
    <w:rsid w:val="00C32413"/>
    <w:rsid w:val="00C32438"/>
    <w:rsid w:val="00C324B0"/>
    <w:rsid w:val="00C32568"/>
    <w:rsid w:val="00C3288E"/>
    <w:rsid w:val="00C328BB"/>
    <w:rsid w:val="00C329E2"/>
    <w:rsid w:val="00C32A97"/>
    <w:rsid w:val="00C32C60"/>
    <w:rsid w:val="00C32F4E"/>
    <w:rsid w:val="00C32F66"/>
    <w:rsid w:val="00C33209"/>
    <w:rsid w:val="00C33417"/>
    <w:rsid w:val="00C334D2"/>
    <w:rsid w:val="00C335C7"/>
    <w:rsid w:val="00C337BF"/>
    <w:rsid w:val="00C33879"/>
    <w:rsid w:val="00C339F2"/>
    <w:rsid w:val="00C33AED"/>
    <w:rsid w:val="00C33BD2"/>
    <w:rsid w:val="00C33DC7"/>
    <w:rsid w:val="00C33E53"/>
    <w:rsid w:val="00C341F6"/>
    <w:rsid w:val="00C34512"/>
    <w:rsid w:val="00C34971"/>
    <w:rsid w:val="00C34D55"/>
    <w:rsid w:val="00C34E3E"/>
    <w:rsid w:val="00C35132"/>
    <w:rsid w:val="00C35470"/>
    <w:rsid w:val="00C358C9"/>
    <w:rsid w:val="00C35AFC"/>
    <w:rsid w:val="00C35E4D"/>
    <w:rsid w:val="00C35E8B"/>
    <w:rsid w:val="00C35FFA"/>
    <w:rsid w:val="00C36044"/>
    <w:rsid w:val="00C361E9"/>
    <w:rsid w:val="00C3621C"/>
    <w:rsid w:val="00C36241"/>
    <w:rsid w:val="00C36447"/>
    <w:rsid w:val="00C364D8"/>
    <w:rsid w:val="00C3676A"/>
    <w:rsid w:val="00C3678E"/>
    <w:rsid w:val="00C367EE"/>
    <w:rsid w:val="00C36959"/>
    <w:rsid w:val="00C36ACC"/>
    <w:rsid w:val="00C36B9F"/>
    <w:rsid w:val="00C36D30"/>
    <w:rsid w:val="00C3719A"/>
    <w:rsid w:val="00C3725E"/>
    <w:rsid w:val="00C373D7"/>
    <w:rsid w:val="00C37490"/>
    <w:rsid w:val="00C37554"/>
    <w:rsid w:val="00C37785"/>
    <w:rsid w:val="00C37B4D"/>
    <w:rsid w:val="00C400E9"/>
    <w:rsid w:val="00C402DC"/>
    <w:rsid w:val="00C4049B"/>
    <w:rsid w:val="00C404AF"/>
    <w:rsid w:val="00C40575"/>
    <w:rsid w:val="00C4061F"/>
    <w:rsid w:val="00C40991"/>
    <w:rsid w:val="00C40BBC"/>
    <w:rsid w:val="00C41013"/>
    <w:rsid w:val="00C41360"/>
    <w:rsid w:val="00C41740"/>
    <w:rsid w:val="00C41DCF"/>
    <w:rsid w:val="00C41E31"/>
    <w:rsid w:val="00C41E5F"/>
    <w:rsid w:val="00C41FCE"/>
    <w:rsid w:val="00C42243"/>
    <w:rsid w:val="00C422A1"/>
    <w:rsid w:val="00C424C7"/>
    <w:rsid w:val="00C4256F"/>
    <w:rsid w:val="00C4261A"/>
    <w:rsid w:val="00C42D7F"/>
    <w:rsid w:val="00C42EF4"/>
    <w:rsid w:val="00C42FD4"/>
    <w:rsid w:val="00C432B7"/>
    <w:rsid w:val="00C4371C"/>
    <w:rsid w:val="00C43739"/>
    <w:rsid w:val="00C4374B"/>
    <w:rsid w:val="00C43755"/>
    <w:rsid w:val="00C43877"/>
    <w:rsid w:val="00C4396E"/>
    <w:rsid w:val="00C43A66"/>
    <w:rsid w:val="00C43B43"/>
    <w:rsid w:val="00C43BB4"/>
    <w:rsid w:val="00C43C51"/>
    <w:rsid w:val="00C43EF8"/>
    <w:rsid w:val="00C441A0"/>
    <w:rsid w:val="00C441F2"/>
    <w:rsid w:val="00C44292"/>
    <w:rsid w:val="00C443BA"/>
    <w:rsid w:val="00C44608"/>
    <w:rsid w:val="00C446DA"/>
    <w:rsid w:val="00C449B9"/>
    <w:rsid w:val="00C44A84"/>
    <w:rsid w:val="00C44BE5"/>
    <w:rsid w:val="00C44C15"/>
    <w:rsid w:val="00C44C34"/>
    <w:rsid w:val="00C44D0E"/>
    <w:rsid w:val="00C44DC4"/>
    <w:rsid w:val="00C44FE2"/>
    <w:rsid w:val="00C4518E"/>
    <w:rsid w:val="00C45195"/>
    <w:rsid w:val="00C4528A"/>
    <w:rsid w:val="00C452BC"/>
    <w:rsid w:val="00C452E8"/>
    <w:rsid w:val="00C4530A"/>
    <w:rsid w:val="00C4548E"/>
    <w:rsid w:val="00C458C6"/>
    <w:rsid w:val="00C45BE6"/>
    <w:rsid w:val="00C45D91"/>
    <w:rsid w:val="00C45F13"/>
    <w:rsid w:val="00C45FB0"/>
    <w:rsid w:val="00C45FE3"/>
    <w:rsid w:val="00C4610F"/>
    <w:rsid w:val="00C4623A"/>
    <w:rsid w:val="00C465FC"/>
    <w:rsid w:val="00C466D3"/>
    <w:rsid w:val="00C46726"/>
    <w:rsid w:val="00C467F3"/>
    <w:rsid w:val="00C46A15"/>
    <w:rsid w:val="00C46B77"/>
    <w:rsid w:val="00C46D1D"/>
    <w:rsid w:val="00C46D3E"/>
    <w:rsid w:val="00C4720A"/>
    <w:rsid w:val="00C4730D"/>
    <w:rsid w:val="00C47418"/>
    <w:rsid w:val="00C4748B"/>
    <w:rsid w:val="00C47599"/>
    <w:rsid w:val="00C47655"/>
    <w:rsid w:val="00C476DE"/>
    <w:rsid w:val="00C47866"/>
    <w:rsid w:val="00C47A8B"/>
    <w:rsid w:val="00C47E2E"/>
    <w:rsid w:val="00C47E8E"/>
    <w:rsid w:val="00C47FF1"/>
    <w:rsid w:val="00C50160"/>
    <w:rsid w:val="00C501DD"/>
    <w:rsid w:val="00C50209"/>
    <w:rsid w:val="00C50752"/>
    <w:rsid w:val="00C507C1"/>
    <w:rsid w:val="00C50968"/>
    <w:rsid w:val="00C50969"/>
    <w:rsid w:val="00C50AE6"/>
    <w:rsid w:val="00C50D4C"/>
    <w:rsid w:val="00C50DB3"/>
    <w:rsid w:val="00C51236"/>
    <w:rsid w:val="00C512A8"/>
    <w:rsid w:val="00C51E83"/>
    <w:rsid w:val="00C51EFA"/>
    <w:rsid w:val="00C51FE7"/>
    <w:rsid w:val="00C52031"/>
    <w:rsid w:val="00C521FF"/>
    <w:rsid w:val="00C52304"/>
    <w:rsid w:val="00C52395"/>
    <w:rsid w:val="00C523BD"/>
    <w:rsid w:val="00C52466"/>
    <w:rsid w:val="00C5255C"/>
    <w:rsid w:val="00C525D6"/>
    <w:rsid w:val="00C52964"/>
    <w:rsid w:val="00C52B23"/>
    <w:rsid w:val="00C52F04"/>
    <w:rsid w:val="00C52F85"/>
    <w:rsid w:val="00C5311F"/>
    <w:rsid w:val="00C5319B"/>
    <w:rsid w:val="00C53290"/>
    <w:rsid w:val="00C535B0"/>
    <w:rsid w:val="00C535F1"/>
    <w:rsid w:val="00C536CA"/>
    <w:rsid w:val="00C538AE"/>
    <w:rsid w:val="00C5395A"/>
    <w:rsid w:val="00C53EF9"/>
    <w:rsid w:val="00C542B2"/>
    <w:rsid w:val="00C542ED"/>
    <w:rsid w:val="00C5440E"/>
    <w:rsid w:val="00C545F1"/>
    <w:rsid w:val="00C54D61"/>
    <w:rsid w:val="00C55201"/>
    <w:rsid w:val="00C552B0"/>
    <w:rsid w:val="00C5552C"/>
    <w:rsid w:val="00C557D5"/>
    <w:rsid w:val="00C559A1"/>
    <w:rsid w:val="00C55B44"/>
    <w:rsid w:val="00C55BCD"/>
    <w:rsid w:val="00C55D1B"/>
    <w:rsid w:val="00C56204"/>
    <w:rsid w:val="00C5645E"/>
    <w:rsid w:val="00C56483"/>
    <w:rsid w:val="00C565FA"/>
    <w:rsid w:val="00C567FF"/>
    <w:rsid w:val="00C5682E"/>
    <w:rsid w:val="00C569AA"/>
    <w:rsid w:val="00C56A32"/>
    <w:rsid w:val="00C56AE0"/>
    <w:rsid w:val="00C56DCC"/>
    <w:rsid w:val="00C56DE1"/>
    <w:rsid w:val="00C57102"/>
    <w:rsid w:val="00C5716A"/>
    <w:rsid w:val="00C57245"/>
    <w:rsid w:val="00C57514"/>
    <w:rsid w:val="00C57797"/>
    <w:rsid w:val="00C5781A"/>
    <w:rsid w:val="00C578AB"/>
    <w:rsid w:val="00C57915"/>
    <w:rsid w:val="00C57A17"/>
    <w:rsid w:val="00C57CD5"/>
    <w:rsid w:val="00C57D3C"/>
    <w:rsid w:val="00C57E9C"/>
    <w:rsid w:val="00C57F01"/>
    <w:rsid w:val="00C57F9E"/>
    <w:rsid w:val="00C57FDB"/>
    <w:rsid w:val="00C60053"/>
    <w:rsid w:val="00C60073"/>
    <w:rsid w:val="00C6013D"/>
    <w:rsid w:val="00C60205"/>
    <w:rsid w:val="00C60295"/>
    <w:rsid w:val="00C603AF"/>
    <w:rsid w:val="00C604AB"/>
    <w:rsid w:val="00C60804"/>
    <w:rsid w:val="00C608D0"/>
    <w:rsid w:val="00C60B96"/>
    <w:rsid w:val="00C60BA2"/>
    <w:rsid w:val="00C60BDA"/>
    <w:rsid w:val="00C60F8B"/>
    <w:rsid w:val="00C612A6"/>
    <w:rsid w:val="00C613A0"/>
    <w:rsid w:val="00C61412"/>
    <w:rsid w:val="00C6155C"/>
    <w:rsid w:val="00C6190A"/>
    <w:rsid w:val="00C619DD"/>
    <w:rsid w:val="00C61D8B"/>
    <w:rsid w:val="00C61D99"/>
    <w:rsid w:val="00C61EEB"/>
    <w:rsid w:val="00C61F9B"/>
    <w:rsid w:val="00C61FAD"/>
    <w:rsid w:val="00C6276E"/>
    <w:rsid w:val="00C62848"/>
    <w:rsid w:val="00C62A69"/>
    <w:rsid w:val="00C6334A"/>
    <w:rsid w:val="00C6334E"/>
    <w:rsid w:val="00C63543"/>
    <w:rsid w:val="00C635A9"/>
    <w:rsid w:val="00C635E7"/>
    <w:rsid w:val="00C63616"/>
    <w:rsid w:val="00C63787"/>
    <w:rsid w:val="00C63814"/>
    <w:rsid w:val="00C63C86"/>
    <w:rsid w:val="00C63DCD"/>
    <w:rsid w:val="00C63F5C"/>
    <w:rsid w:val="00C6430A"/>
    <w:rsid w:val="00C64486"/>
    <w:rsid w:val="00C644CC"/>
    <w:rsid w:val="00C6454A"/>
    <w:rsid w:val="00C64692"/>
    <w:rsid w:val="00C6482B"/>
    <w:rsid w:val="00C6497F"/>
    <w:rsid w:val="00C649AB"/>
    <w:rsid w:val="00C64A8D"/>
    <w:rsid w:val="00C64E5D"/>
    <w:rsid w:val="00C64E68"/>
    <w:rsid w:val="00C64FCC"/>
    <w:rsid w:val="00C65001"/>
    <w:rsid w:val="00C65087"/>
    <w:rsid w:val="00C65395"/>
    <w:rsid w:val="00C655E0"/>
    <w:rsid w:val="00C65645"/>
    <w:rsid w:val="00C65680"/>
    <w:rsid w:val="00C656C2"/>
    <w:rsid w:val="00C6572D"/>
    <w:rsid w:val="00C65844"/>
    <w:rsid w:val="00C65918"/>
    <w:rsid w:val="00C65AD1"/>
    <w:rsid w:val="00C65CDF"/>
    <w:rsid w:val="00C65DB9"/>
    <w:rsid w:val="00C65E4F"/>
    <w:rsid w:val="00C65FE6"/>
    <w:rsid w:val="00C6600F"/>
    <w:rsid w:val="00C660D1"/>
    <w:rsid w:val="00C66134"/>
    <w:rsid w:val="00C66161"/>
    <w:rsid w:val="00C667E3"/>
    <w:rsid w:val="00C66AE1"/>
    <w:rsid w:val="00C66B72"/>
    <w:rsid w:val="00C66D0F"/>
    <w:rsid w:val="00C66D92"/>
    <w:rsid w:val="00C66DD4"/>
    <w:rsid w:val="00C66EBB"/>
    <w:rsid w:val="00C67049"/>
    <w:rsid w:val="00C670FA"/>
    <w:rsid w:val="00C671D9"/>
    <w:rsid w:val="00C67679"/>
    <w:rsid w:val="00C6787C"/>
    <w:rsid w:val="00C679A6"/>
    <w:rsid w:val="00C67B67"/>
    <w:rsid w:val="00C67DEB"/>
    <w:rsid w:val="00C67E1D"/>
    <w:rsid w:val="00C70228"/>
    <w:rsid w:val="00C7054E"/>
    <w:rsid w:val="00C70746"/>
    <w:rsid w:val="00C709AA"/>
    <w:rsid w:val="00C70C22"/>
    <w:rsid w:val="00C70C8A"/>
    <w:rsid w:val="00C70D1C"/>
    <w:rsid w:val="00C70E67"/>
    <w:rsid w:val="00C70E7E"/>
    <w:rsid w:val="00C714DE"/>
    <w:rsid w:val="00C71676"/>
    <w:rsid w:val="00C71897"/>
    <w:rsid w:val="00C719D6"/>
    <w:rsid w:val="00C71A6C"/>
    <w:rsid w:val="00C71AA0"/>
    <w:rsid w:val="00C71CDE"/>
    <w:rsid w:val="00C71E44"/>
    <w:rsid w:val="00C71E52"/>
    <w:rsid w:val="00C71F60"/>
    <w:rsid w:val="00C72097"/>
    <w:rsid w:val="00C7232F"/>
    <w:rsid w:val="00C7246D"/>
    <w:rsid w:val="00C727D5"/>
    <w:rsid w:val="00C728FB"/>
    <w:rsid w:val="00C72B2F"/>
    <w:rsid w:val="00C72E6C"/>
    <w:rsid w:val="00C72F71"/>
    <w:rsid w:val="00C72FEB"/>
    <w:rsid w:val="00C73095"/>
    <w:rsid w:val="00C730F7"/>
    <w:rsid w:val="00C73188"/>
    <w:rsid w:val="00C731A1"/>
    <w:rsid w:val="00C733DD"/>
    <w:rsid w:val="00C738D9"/>
    <w:rsid w:val="00C738E8"/>
    <w:rsid w:val="00C73A24"/>
    <w:rsid w:val="00C73A65"/>
    <w:rsid w:val="00C73AE5"/>
    <w:rsid w:val="00C73D69"/>
    <w:rsid w:val="00C73F1F"/>
    <w:rsid w:val="00C7433E"/>
    <w:rsid w:val="00C743A9"/>
    <w:rsid w:val="00C746ED"/>
    <w:rsid w:val="00C74A44"/>
    <w:rsid w:val="00C74E13"/>
    <w:rsid w:val="00C74EBE"/>
    <w:rsid w:val="00C75295"/>
    <w:rsid w:val="00C752AC"/>
    <w:rsid w:val="00C752D5"/>
    <w:rsid w:val="00C7542B"/>
    <w:rsid w:val="00C7563E"/>
    <w:rsid w:val="00C7569A"/>
    <w:rsid w:val="00C75B84"/>
    <w:rsid w:val="00C75C77"/>
    <w:rsid w:val="00C75DA2"/>
    <w:rsid w:val="00C75F45"/>
    <w:rsid w:val="00C760C1"/>
    <w:rsid w:val="00C7637E"/>
    <w:rsid w:val="00C764B8"/>
    <w:rsid w:val="00C764E9"/>
    <w:rsid w:val="00C765D3"/>
    <w:rsid w:val="00C7666C"/>
    <w:rsid w:val="00C76794"/>
    <w:rsid w:val="00C768A0"/>
    <w:rsid w:val="00C768EA"/>
    <w:rsid w:val="00C768EE"/>
    <w:rsid w:val="00C76AAD"/>
    <w:rsid w:val="00C76BC3"/>
    <w:rsid w:val="00C76C17"/>
    <w:rsid w:val="00C76DA2"/>
    <w:rsid w:val="00C76DB2"/>
    <w:rsid w:val="00C76EA0"/>
    <w:rsid w:val="00C76F02"/>
    <w:rsid w:val="00C76FC6"/>
    <w:rsid w:val="00C77225"/>
    <w:rsid w:val="00C772D2"/>
    <w:rsid w:val="00C7743D"/>
    <w:rsid w:val="00C7748B"/>
    <w:rsid w:val="00C77675"/>
    <w:rsid w:val="00C776ED"/>
    <w:rsid w:val="00C777D5"/>
    <w:rsid w:val="00C778C1"/>
    <w:rsid w:val="00C77AA5"/>
    <w:rsid w:val="00C80060"/>
    <w:rsid w:val="00C80602"/>
    <w:rsid w:val="00C80858"/>
    <w:rsid w:val="00C8090C"/>
    <w:rsid w:val="00C80B04"/>
    <w:rsid w:val="00C80DB5"/>
    <w:rsid w:val="00C80F3C"/>
    <w:rsid w:val="00C81BD5"/>
    <w:rsid w:val="00C81C68"/>
    <w:rsid w:val="00C81C76"/>
    <w:rsid w:val="00C81CA8"/>
    <w:rsid w:val="00C81E82"/>
    <w:rsid w:val="00C81FDA"/>
    <w:rsid w:val="00C823F1"/>
    <w:rsid w:val="00C82435"/>
    <w:rsid w:val="00C8252A"/>
    <w:rsid w:val="00C828A7"/>
    <w:rsid w:val="00C82BB3"/>
    <w:rsid w:val="00C82BC1"/>
    <w:rsid w:val="00C82BFC"/>
    <w:rsid w:val="00C82CCA"/>
    <w:rsid w:val="00C82D9A"/>
    <w:rsid w:val="00C82EEE"/>
    <w:rsid w:val="00C8316D"/>
    <w:rsid w:val="00C833E3"/>
    <w:rsid w:val="00C83577"/>
    <w:rsid w:val="00C83828"/>
    <w:rsid w:val="00C8389F"/>
    <w:rsid w:val="00C839A3"/>
    <w:rsid w:val="00C83B2D"/>
    <w:rsid w:val="00C84225"/>
    <w:rsid w:val="00C84268"/>
    <w:rsid w:val="00C8427A"/>
    <w:rsid w:val="00C846D5"/>
    <w:rsid w:val="00C846D8"/>
    <w:rsid w:val="00C847C0"/>
    <w:rsid w:val="00C84CA1"/>
    <w:rsid w:val="00C8507C"/>
    <w:rsid w:val="00C8553D"/>
    <w:rsid w:val="00C8597D"/>
    <w:rsid w:val="00C85990"/>
    <w:rsid w:val="00C85A3D"/>
    <w:rsid w:val="00C85ACF"/>
    <w:rsid w:val="00C86067"/>
    <w:rsid w:val="00C860DE"/>
    <w:rsid w:val="00C8624B"/>
    <w:rsid w:val="00C86573"/>
    <w:rsid w:val="00C866F0"/>
    <w:rsid w:val="00C86732"/>
    <w:rsid w:val="00C867CF"/>
    <w:rsid w:val="00C86816"/>
    <w:rsid w:val="00C8689B"/>
    <w:rsid w:val="00C868D0"/>
    <w:rsid w:val="00C86DEA"/>
    <w:rsid w:val="00C86F30"/>
    <w:rsid w:val="00C86FD0"/>
    <w:rsid w:val="00C8715E"/>
    <w:rsid w:val="00C871F0"/>
    <w:rsid w:val="00C871F5"/>
    <w:rsid w:val="00C87266"/>
    <w:rsid w:val="00C872C5"/>
    <w:rsid w:val="00C87391"/>
    <w:rsid w:val="00C874F8"/>
    <w:rsid w:val="00C8794B"/>
    <w:rsid w:val="00C87B44"/>
    <w:rsid w:val="00C87B60"/>
    <w:rsid w:val="00C87DC2"/>
    <w:rsid w:val="00C87F27"/>
    <w:rsid w:val="00C90343"/>
    <w:rsid w:val="00C9039E"/>
    <w:rsid w:val="00C903F6"/>
    <w:rsid w:val="00C905B0"/>
    <w:rsid w:val="00C90839"/>
    <w:rsid w:val="00C9090D"/>
    <w:rsid w:val="00C90BCE"/>
    <w:rsid w:val="00C90C49"/>
    <w:rsid w:val="00C90D79"/>
    <w:rsid w:val="00C90F35"/>
    <w:rsid w:val="00C90F89"/>
    <w:rsid w:val="00C9165E"/>
    <w:rsid w:val="00C916AA"/>
    <w:rsid w:val="00C91711"/>
    <w:rsid w:val="00C91713"/>
    <w:rsid w:val="00C91932"/>
    <w:rsid w:val="00C91B8A"/>
    <w:rsid w:val="00C91D27"/>
    <w:rsid w:val="00C91D43"/>
    <w:rsid w:val="00C91DFA"/>
    <w:rsid w:val="00C91F0F"/>
    <w:rsid w:val="00C91FC7"/>
    <w:rsid w:val="00C923B5"/>
    <w:rsid w:val="00C924A6"/>
    <w:rsid w:val="00C9280C"/>
    <w:rsid w:val="00C92C27"/>
    <w:rsid w:val="00C92C56"/>
    <w:rsid w:val="00C92CE5"/>
    <w:rsid w:val="00C92F2D"/>
    <w:rsid w:val="00C93258"/>
    <w:rsid w:val="00C9328F"/>
    <w:rsid w:val="00C93297"/>
    <w:rsid w:val="00C938EB"/>
    <w:rsid w:val="00C939D3"/>
    <w:rsid w:val="00C93A90"/>
    <w:rsid w:val="00C93B75"/>
    <w:rsid w:val="00C93D31"/>
    <w:rsid w:val="00C93E04"/>
    <w:rsid w:val="00C93E65"/>
    <w:rsid w:val="00C941E7"/>
    <w:rsid w:val="00C94206"/>
    <w:rsid w:val="00C94324"/>
    <w:rsid w:val="00C94365"/>
    <w:rsid w:val="00C94453"/>
    <w:rsid w:val="00C94773"/>
    <w:rsid w:val="00C94888"/>
    <w:rsid w:val="00C94AD0"/>
    <w:rsid w:val="00C94B83"/>
    <w:rsid w:val="00C95473"/>
    <w:rsid w:val="00C959F6"/>
    <w:rsid w:val="00C95C7E"/>
    <w:rsid w:val="00C95DEB"/>
    <w:rsid w:val="00C95E25"/>
    <w:rsid w:val="00C9641D"/>
    <w:rsid w:val="00C9677B"/>
    <w:rsid w:val="00C96B34"/>
    <w:rsid w:val="00C96B54"/>
    <w:rsid w:val="00C96BC2"/>
    <w:rsid w:val="00C96C39"/>
    <w:rsid w:val="00C96D94"/>
    <w:rsid w:val="00C96E69"/>
    <w:rsid w:val="00C96F7E"/>
    <w:rsid w:val="00C96FD7"/>
    <w:rsid w:val="00C971D8"/>
    <w:rsid w:val="00C97957"/>
    <w:rsid w:val="00C97D92"/>
    <w:rsid w:val="00C97EAC"/>
    <w:rsid w:val="00C97F91"/>
    <w:rsid w:val="00CA0012"/>
    <w:rsid w:val="00CA00E5"/>
    <w:rsid w:val="00CA0139"/>
    <w:rsid w:val="00CA047B"/>
    <w:rsid w:val="00CA05AB"/>
    <w:rsid w:val="00CA05F5"/>
    <w:rsid w:val="00CA07AF"/>
    <w:rsid w:val="00CA07DC"/>
    <w:rsid w:val="00CA0A55"/>
    <w:rsid w:val="00CA0A58"/>
    <w:rsid w:val="00CA0BA7"/>
    <w:rsid w:val="00CA0C8C"/>
    <w:rsid w:val="00CA0F59"/>
    <w:rsid w:val="00CA0FCD"/>
    <w:rsid w:val="00CA11B9"/>
    <w:rsid w:val="00CA1352"/>
    <w:rsid w:val="00CA13CB"/>
    <w:rsid w:val="00CA17B4"/>
    <w:rsid w:val="00CA1A4E"/>
    <w:rsid w:val="00CA1B75"/>
    <w:rsid w:val="00CA1DC5"/>
    <w:rsid w:val="00CA1F27"/>
    <w:rsid w:val="00CA212F"/>
    <w:rsid w:val="00CA28DF"/>
    <w:rsid w:val="00CA29D6"/>
    <w:rsid w:val="00CA2BDE"/>
    <w:rsid w:val="00CA2EA9"/>
    <w:rsid w:val="00CA2FD1"/>
    <w:rsid w:val="00CA32D9"/>
    <w:rsid w:val="00CA3500"/>
    <w:rsid w:val="00CA3591"/>
    <w:rsid w:val="00CA3627"/>
    <w:rsid w:val="00CA39BA"/>
    <w:rsid w:val="00CA3A7C"/>
    <w:rsid w:val="00CA451E"/>
    <w:rsid w:val="00CA4699"/>
    <w:rsid w:val="00CA46F7"/>
    <w:rsid w:val="00CA4762"/>
    <w:rsid w:val="00CA4873"/>
    <w:rsid w:val="00CA48A8"/>
    <w:rsid w:val="00CA48B0"/>
    <w:rsid w:val="00CA4B22"/>
    <w:rsid w:val="00CA5032"/>
    <w:rsid w:val="00CA5266"/>
    <w:rsid w:val="00CA52A4"/>
    <w:rsid w:val="00CA52AF"/>
    <w:rsid w:val="00CA52F5"/>
    <w:rsid w:val="00CA55A0"/>
    <w:rsid w:val="00CA597E"/>
    <w:rsid w:val="00CA5B11"/>
    <w:rsid w:val="00CA5BAA"/>
    <w:rsid w:val="00CA5D35"/>
    <w:rsid w:val="00CA5DBE"/>
    <w:rsid w:val="00CA5E8C"/>
    <w:rsid w:val="00CA5F3F"/>
    <w:rsid w:val="00CA6499"/>
    <w:rsid w:val="00CA65FB"/>
    <w:rsid w:val="00CA67D4"/>
    <w:rsid w:val="00CA6A1B"/>
    <w:rsid w:val="00CA6C1A"/>
    <w:rsid w:val="00CA6CC0"/>
    <w:rsid w:val="00CA6D50"/>
    <w:rsid w:val="00CA6E19"/>
    <w:rsid w:val="00CA6F55"/>
    <w:rsid w:val="00CA71E7"/>
    <w:rsid w:val="00CA73BE"/>
    <w:rsid w:val="00CA7477"/>
    <w:rsid w:val="00CA7603"/>
    <w:rsid w:val="00CA7883"/>
    <w:rsid w:val="00CA791E"/>
    <w:rsid w:val="00CA79A5"/>
    <w:rsid w:val="00CA7B34"/>
    <w:rsid w:val="00CA7CCA"/>
    <w:rsid w:val="00CB0066"/>
    <w:rsid w:val="00CB0190"/>
    <w:rsid w:val="00CB0211"/>
    <w:rsid w:val="00CB02B4"/>
    <w:rsid w:val="00CB02C1"/>
    <w:rsid w:val="00CB0720"/>
    <w:rsid w:val="00CB0721"/>
    <w:rsid w:val="00CB0791"/>
    <w:rsid w:val="00CB0894"/>
    <w:rsid w:val="00CB0AD0"/>
    <w:rsid w:val="00CB0C1D"/>
    <w:rsid w:val="00CB0FF9"/>
    <w:rsid w:val="00CB118C"/>
    <w:rsid w:val="00CB120B"/>
    <w:rsid w:val="00CB128A"/>
    <w:rsid w:val="00CB1460"/>
    <w:rsid w:val="00CB147F"/>
    <w:rsid w:val="00CB150A"/>
    <w:rsid w:val="00CB18E0"/>
    <w:rsid w:val="00CB1B1F"/>
    <w:rsid w:val="00CB1E82"/>
    <w:rsid w:val="00CB1EBA"/>
    <w:rsid w:val="00CB1EFD"/>
    <w:rsid w:val="00CB21AD"/>
    <w:rsid w:val="00CB275E"/>
    <w:rsid w:val="00CB280F"/>
    <w:rsid w:val="00CB298E"/>
    <w:rsid w:val="00CB2A7E"/>
    <w:rsid w:val="00CB2C2B"/>
    <w:rsid w:val="00CB2CD1"/>
    <w:rsid w:val="00CB3029"/>
    <w:rsid w:val="00CB30D8"/>
    <w:rsid w:val="00CB3717"/>
    <w:rsid w:val="00CB384B"/>
    <w:rsid w:val="00CB3BE9"/>
    <w:rsid w:val="00CB3F58"/>
    <w:rsid w:val="00CB436B"/>
    <w:rsid w:val="00CB445E"/>
    <w:rsid w:val="00CB457C"/>
    <w:rsid w:val="00CB4593"/>
    <w:rsid w:val="00CB4608"/>
    <w:rsid w:val="00CB4B9F"/>
    <w:rsid w:val="00CB4CB8"/>
    <w:rsid w:val="00CB4E93"/>
    <w:rsid w:val="00CB51A7"/>
    <w:rsid w:val="00CB5419"/>
    <w:rsid w:val="00CB54EB"/>
    <w:rsid w:val="00CB5566"/>
    <w:rsid w:val="00CB5C30"/>
    <w:rsid w:val="00CB5C46"/>
    <w:rsid w:val="00CB5ECA"/>
    <w:rsid w:val="00CB5ED9"/>
    <w:rsid w:val="00CB6018"/>
    <w:rsid w:val="00CB603F"/>
    <w:rsid w:val="00CB60D6"/>
    <w:rsid w:val="00CB659B"/>
    <w:rsid w:val="00CB66B1"/>
    <w:rsid w:val="00CB66F1"/>
    <w:rsid w:val="00CB6834"/>
    <w:rsid w:val="00CB6A3E"/>
    <w:rsid w:val="00CB6B83"/>
    <w:rsid w:val="00CB6E4A"/>
    <w:rsid w:val="00CB711F"/>
    <w:rsid w:val="00CB740D"/>
    <w:rsid w:val="00CB758C"/>
    <w:rsid w:val="00CB7789"/>
    <w:rsid w:val="00CB77CA"/>
    <w:rsid w:val="00CB7AAD"/>
    <w:rsid w:val="00CB7B7B"/>
    <w:rsid w:val="00CB7F4E"/>
    <w:rsid w:val="00CC0029"/>
    <w:rsid w:val="00CC03A0"/>
    <w:rsid w:val="00CC0522"/>
    <w:rsid w:val="00CC0746"/>
    <w:rsid w:val="00CC0ABE"/>
    <w:rsid w:val="00CC0BBD"/>
    <w:rsid w:val="00CC0DC5"/>
    <w:rsid w:val="00CC1396"/>
    <w:rsid w:val="00CC13F2"/>
    <w:rsid w:val="00CC15E0"/>
    <w:rsid w:val="00CC16E0"/>
    <w:rsid w:val="00CC16E3"/>
    <w:rsid w:val="00CC17A8"/>
    <w:rsid w:val="00CC197D"/>
    <w:rsid w:val="00CC19E6"/>
    <w:rsid w:val="00CC1C3F"/>
    <w:rsid w:val="00CC1EA4"/>
    <w:rsid w:val="00CC1EAF"/>
    <w:rsid w:val="00CC24C1"/>
    <w:rsid w:val="00CC2567"/>
    <w:rsid w:val="00CC2599"/>
    <w:rsid w:val="00CC27F0"/>
    <w:rsid w:val="00CC2846"/>
    <w:rsid w:val="00CC28EB"/>
    <w:rsid w:val="00CC2BF1"/>
    <w:rsid w:val="00CC2F79"/>
    <w:rsid w:val="00CC3143"/>
    <w:rsid w:val="00CC331D"/>
    <w:rsid w:val="00CC33DF"/>
    <w:rsid w:val="00CC3575"/>
    <w:rsid w:val="00CC3610"/>
    <w:rsid w:val="00CC37D1"/>
    <w:rsid w:val="00CC3A63"/>
    <w:rsid w:val="00CC3AC5"/>
    <w:rsid w:val="00CC3B68"/>
    <w:rsid w:val="00CC3CDE"/>
    <w:rsid w:val="00CC3D23"/>
    <w:rsid w:val="00CC3E77"/>
    <w:rsid w:val="00CC3F48"/>
    <w:rsid w:val="00CC403A"/>
    <w:rsid w:val="00CC4186"/>
    <w:rsid w:val="00CC4349"/>
    <w:rsid w:val="00CC469B"/>
    <w:rsid w:val="00CC4729"/>
    <w:rsid w:val="00CC4731"/>
    <w:rsid w:val="00CC4746"/>
    <w:rsid w:val="00CC4867"/>
    <w:rsid w:val="00CC4939"/>
    <w:rsid w:val="00CC4D84"/>
    <w:rsid w:val="00CC4D88"/>
    <w:rsid w:val="00CC5447"/>
    <w:rsid w:val="00CC5647"/>
    <w:rsid w:val="00CC5753"/>
    <w:rsid w:val="00CC5778"/>
    <w:rsid w:val="00CC5790"/>
    <w:rsid w:val="00CC5C11"/>
    <w:rsid w:val="00CC5C42"/>
    <w:rsid w:val="00CC5D38"/>
    <w:rsid w:val="00CC5DC5"/>
    <w:rsid w:val="00CC5E4F"/>
    <w:rsid w:val="00CC600A"/>
    <w:rsid w:val="00CC6116"/>
    <w:rsid w:val="00CC66D7"/>
    <w:rsid w:val="00CC676B"/>
    <w:rsid w:val="00CC681E"/>
    <w:rsid w:val="00CC6A1F"/>
    <w:rsid w:val="00CC6B48"/>
    <w:rsid w:val="00CC6CFE"/>
    <w:rsid w:val="00CC6D3C"/>
    <w:rsid w:val="00CC6E13"/>
    <w:rsid w:val="00CC6E4C"/>
    <w:rsid w:val="00CC7050"/>
    <w:rsid w:val="00CC726E"/>
    <w:rsid w:val="00CC7278"/>
    <w:rsid w:val="00CC74FB"/>
    <w:rsid w:val="00CC7671"/>
    <w:rsid w:val="00CC767A"/>
    <w:rsid w:val="00CC76A4"/>
    <w:rsid w:val="00CC7763"/>
    <w:rsid w:val="00CC794D"/>
    <w:rsid w:val="00CC7B65"/>
    <w:rsid w:val="00CC7D0A"/>
    <w:rsid w:val="00CC7DED"/>
    <w:rsid w:val="00CD02F0"/>
    <w:rsid w:val="00CD0360"/>
    <w:rsid w:val="00CD0415"/>
    <w:rsid w:val="00CD07C5"/>
    <w:rsid w:val="00CD09EE"/>
    <w:rsid w:val="00CD0E73"/>
    <w:rsid w:val="00CD0EC3"/>
    <w:rsid w:val="00CD0F5C"/>
    <w:rsid w:val="00CD103E"/>
    <w:rsid w:val="00CD1112"/>
    <w:rsid w:val="00CD137C"/>
    <w:rsid w:val="00CD157B"/>
    <w:rsid w:val="00CD17B6"/>
    <w:rsid w:val="00CD18F7"/>
    <w:rsid w:val="00CD1CFD"/>
    <w:rsid w:val="00CD1E77"/>
    <w:rsid w:val="00CD1FD1"/>
    <w:rsid w:val="00CD2149"/>
    <w:rsid w:val="00CD2378"/>
    <w:rsid w:val="00CD29EA"/>
    <w:rsid w:val="00CD2ABA"/>
    <w:rsid w:val="00CD2B1C"/>
    <w:rsid w:val="00CD2C1F"/>
    <w:rsid w:val="00CD2D6E"/>
    <w:rsid w:val="00CD2D8A"/>
    <w:rsid w:val="00CD334A"/>
    <w:rsid w:val="00CD3357"/>
    <w:rsid w:val="00CD340C"/>
    <w:rsid w:val="00CD34EA"/>
    <w:rsid w:val="00CD3867"/>
    <w:rsid w:val="00CD38C4"/>
    <w:rsid w:val="00CD3B98"/>
    <w:rsid w:val="00CD3C82"/>
    <w:rsid w:val="00CD3E39"/>
    <w:rsid w:val="00CD4236"/>
    <w:rsid w:val="00CD4299"/>
    <w:rsid w:val="00CD4568"/>
    <w:rsid w:val="00CD45FB"/>
    <w:rsid w:val="00CD4708"/>
    <w:rsid w:val="00CD4825"/>
    <w:rsid w:val="00CD4AF9"/>
    <w:rsid w:val="00CD4B5E"/>
    <w:rsid w:val="00CD4BD9"/>
    <w:rsid w:val="00CD4DF0"/>
    <w:rsid w:val="00CD509A"/>
    <w:rsid w:val="00CD50AF"/>
    <w:rsid w:val="00CD5132"/>
    <w:rsid w:val="00CD51F7"/>
    <w:rsid w:val="00CD5343"/>
    <w:rsid w:val="00CD5763"/>
    <w:rsid w:val="00CD58EE"/>
    <w:rsid w:val="00CD5A3D"/>
    <w:rsid w:val="00CD5A64"/>
    <w:rsid w:val="00CD5B82"/>
    <w:rsid w:val="00CD5E17"/>
    <w:rsid w:val="00CD6289"/>
    <w:rsid w:val="00CD638D"/>
    <w:rsid w:val="00CD63DE"/>
    <w:rsid w:val="00CD643D"/>
    <w:rsid w:val="00CD6462"/>
    <w:rsid w:val="00CD647D"/>
    <w:rsid w:val="00CD6716"/>
    <w:rsid w:val="00CD6823"/>
    <w:rsid w:val="00CD6998"/>
    <w:rsid w:val="00CD6B3A"/>
    <w:rsid w:val="00CD7095"/>
    <w:rsid w:val="00CD70BD"/>
    <w:rsid w:val="00CD727E"/>
    <w:rsid w:val="00CD7705"/>
    <w:rsid w:val="00CD7906"/>
    <w:rsid w:val="00CD7909"/>
    <w:rsid w:val="00CD7B05"/>
    <w:rsid w:val="00CD7C5E"/>
    <w:rsid w:val="00CE018F"/>
    <w:rsid w:val="00CE019D"/>
    <w:rsid w:val="00CE0330"/>
    <w:rsid w:val="00CE0424"/>
    <w:rsid w:val="00CE0680"/>
    <w:rsid w:val="00CE06CB"/>
    <w:rsid w:val="00CE06D1"/>
    <w:rsid w:val="00CE0A98"/>
    <w:rsid w:val="00CE0BD7"/>
    <w:rsid w:val="00CE0C5B"/>
    <w:rsid w:val="00CE0D5E"/>
    <w:rsid w:val="00CE0F98"/>
    <w:rsid w:val="00CE1149"/>
    <w:rsid w:val="00CE1387"/>
    <w:rsid w:val="00CE1476"/>
    <w:rsid w:val="00CE14E4"/>
    <w:rsid w:val="00CE15DF"/>
    <w:rsid w:val="00CE17C7"/>
    <w:rsid w:val="00CE1EDA"/>
    <w:rsid w:val="00CE2155"/>
    <w:rsid w:val="00CE2596"/>
    <w:rsid w:val="00CE29D1"/>
    <w:rsid w:val="00CE2A74"/>
    <w:rsid w:val="00CE2B66"/>
    <w:rsid w:val="00CE2F14"/>
    <w:rsid w:val="00CE3006"/>
    <w:rsid w:val="00CE3051"/>
    <w:rsid w:val="00CE3068"/>
    <w:rsid w:val="00CE33F5"/>
    <w:rsid w:val="00CE378D"/>
    <w:rsid w:val="00CE3ADE"/>
    <w:rsid w:val="00CE3CD6"/>
    <w:rsid w:val="00CE3DA5"/>
    <w:rsid w:val="00CE3E5B"/>
    <w:rsid w:val="00CE420C"/>
    <w:rsid w:val="00CE4686"/>
    <w:rsid w:val="00CE477A"/>
    <w:rsid w:val="00CE49AD"/>
    <w:rsid w:val="00CE4B7A"/>
    <w:rsid w:val="00CE4B9F"/>
    <w:rsid w:val="00CE4D65"/>
    <w:rsid w:val="00CE4D7D"/>
    <w:rsid w:val="00CE4E2F"/>
    <w:rsid w:val="00CE4F17"/>
    <w:rsid w:val="00CE4F71"/>
    <w:rsid w:val="00CE562E"/>
    <w:rsid w:val="00CE5788"/>
    <w:rsid w:val="00CE5A18"/>
    <w:rsid w:val="00CE5BAE"/>
    <w:rsid w:val="00CE5C13"/>
    <w:rsid w:val="00CE60FF"/>
    <w:rsid w:val="00CE618C"/>
    <w:rsid w:val="00CE6444"/>
    <w:rsid w:val="00CE6496"/>
    <w:rsid w:val="00CE6514"/>
    <w:rsid w:val="00CE66A6"/>
    <w:rsid w:val="00CE67D9"/>
    <w:rsid w:val="00CE67E4"/>
    <w:rsid w:val="00CE68F5"/>
    <w:rsid w:val="00CE6AA6"/>
    <w:rsid w:val="00CE6B62"/>
    <w:rsid w:val="00CE6C2A"/>
    <w:rsid w:val="00CE6C5C"/>
    <w:rsid w:val="00CE6D7C"/>
    <w:rsid w:val="00CE6D83"/>
    <w:rsid w:val="00CE7286"/>
    <w:rsid w:val="00CE7466"/>
    <w:rsid w:val="00CE751B"/>
    <w:rsid w:val="00CE758D"/>
    <w:rsid w:val="00CE762C"/>
    <w:rsid w:val="00CE76DC"/>
    <w:rsid w:val="00CE7DBC"/>
    <w:rsid w:val="00CE7EA6"/>
    <w:rsid w:val="00CF0060"/>
    <w:rsid w:val="00CF0083"/>
    <w:rsid w:val="00CF0350"/>
    <w:rsid w:val="00CF0411"/>
    <w:rsid w:val="00CF05DF"/>
    <w:rsid w:val="00CF069D"/>
    <w:rsid w:val="00CF0736"/>
    <w:rsid w:val="00CF0A7B"/>
    <w:rsid w:val="00CF0ACD"/>
    <w:rsid w:val="00CF0B9A"/>
    <w:rsid w:val="00CF0C24"/>
    <w:rsid w:val="00CF0CBC"/>
    <w:rsid w:val="00CF0E82"/>
    <w:rsid w:val="00CF1131"/>
    <w:rsid w:val="00CF150E"/>
    <w:rsid w:val="00CF1A57"/>
    <w:rsid w:val="00CF1D72"/>
    <w:rsid w:val="00CF1DD2"/>
    <w:rsid w:val="00CF20F1"/>
    <w:rsid w:val="00CF2278"/>
    <w:rsid w:val="00CF2579"/>
    <w:rsid w:val="00CF257D"/>
    <w:rsid w:val="00CF269E"/>
    <w:rsid w:val="00CF271E"/>
    <w:rsid w:val="00CF272C"/>
    <w:rsid w:val="00CF2737"/>
    <w:rsid w:val="00CF28C6"/>
    <w:rsid w:val="00CF2EE9"/>
    <w:rsid w:val="00CF3221"/>
    <w:rsid w:val="00CF3322"/>
    <w:rsid w:val="00CF3595"/>
    <w:rsid w:val="00CF3891"/>
    <w:rsid w:val="00CF39DD"/>
    <w:rsid w:val="00CF3A01"/>
    <w:rsid w:val="00CF3D4A"/>
    <w:rsid w:val="00CF3FDF"/>
    <w:rsid w:val="00CF4223"/>
    <w:rsid w:val="00CF424A"/>
    <w:rsid w:val="00CF42C9"/>
    <w:rsid w:val="00CF434E"/>
    <w:rsid w:val="00CF4654"/>
    <w:rsid w:val="00CF4752"/>
    <w:rsid w:val="00CF4773"/>
    <w:rsid w:val="00CF481F"/>
    <w:rsid w:val="00CF48F0"/>
    <w:rsid w:val="00CF49F7"/>
    <w:rsid w:val="00CF4B71"/>
    <w:rsid w:val="00CF4C37"/>
    <w:rsid w:val="00CF4FBF"/>
    <w:rsid w:val="00CF57AA"/>
    <w:rsid w:val="00CF5996"/>
    <w:rsid w:val="00CF5A4F"/>
    <w:rsid w:val="00CF5E63"/>
    <w:rsid w:val="00CF5EE5"/>
    <w:rsid w:val="00CF5EF2"/>
    <w:rsid w:val="00CF5F95"/>
    <w:rsid w:val="00CF60AD"/>
    <w:rsid w:val="00CF63FC"/>
    <w:rsid w:val="00CF6671"/>
    <w:rsid w:val="00CF670D"/>
    <w:rsid w:val="00CF6A22"/>
    <w:rsid w:val="00CF6B93"/>
    <w:rsid w:val="00CF6BA3"/>
    <w:rsid w:val="00CF6CBC"/>
    <w:rsid w:val="00CF6D63"/>
    <w:rsid w:val="00CF6EC8"/>
    <w:rsid w:val="00CF7200"/>
    <w:rsid w:val="00CF73A2"/>
    <w:rsid w:val="00CF759B"/>
    <w:rsid w:val="00CF79DF"/>
    <w:rsid w:val="00CF7A7B"/>
    <w:rsid w:val="00CF7AA3"/>
    <w:rsid w:val="00CF7ACF"/>
    <w:rsid w:val="00CF7DB1"/>
    <w:rsid w:val="00CF7E7B"/>
    <w:rsid w:val="00D001D1"/>
    <w:rsid w:val="00D0021B"/>
    <w:rsid w:val="00D00288"/>
    <w:rsid w:val="00D00450"/>
    <w:rsid w:val="00D00459"/>
    <w:rsid w:val="00D0052A"/>
    <w:rsid w:val="00D00666"/>
    <w:rsid w:val="00D006FA"/>
    <w:rsid w:val="00D009D6"/>
    <w:rsid w:val="00D009FC"/>
    <w:rsid w:val="00D00B0E"/>
    <w:rsid w:val="00D00B85"/>
    <w:rsid w:val="00D00C92"/>
    <w:rsid w:val="00D00D7C"/>
    <w:rsid w:val="00D00DF6"/>
    <w:rsid w:val="00D00E75"/>
    <w:rsid w:val="00D00F79"/>
    <w:rsid w:val="00D00FDC"/>
    <w:rsid w:val="00D01073"/>
    <w:rsid w:val="00D0137D"/>
    <w:rsid w:val="00D01401"/>
    <w:rsid w:val="00D0141D"/>
    <w:rsid w:val="00D0154D"/>
    <w:rsid w:val="00D016EA"/>
    <w:rsid w:val="00D017BE"/>
    <w:rsid w:val="00D0191F"/>
    <w:rsid w:val="00D01920"/>
    <w:rsid w:val="00D0197B"/>
    <w:rsid w:val="00D01AB8"/>
    <w:rsid w:val="00D01C80"/>
    <w:rsid w:val="00D01C87"/>
    <w:rsid w:val="00D01E80"/>
    <w:rsid w:val="00D0203E"/>
    <w:rsid w:val="00D021D3"/>
    <w:rsid w:val="00D024F7"/>
    <w:rsid w:val="00D0259B"/>
    <w:rsid w:val="00D02637"/>
    <w:rsid w:val="00D0265F"/>
    <w:rsid w:val="00D0287A"/>
    <w:rsid w:val="00D02B38"/>
    <w:rsid w:val="00D02D5D"/>
    <w:rsid w:val="00D02DFA"/>
    <w:rsid w:val="00D02E81"/>
    <w:rsid w:val="00D02E8A"/>
    <w:rsid w:val="00D03094"/>
    <w:rsid w:val="00D031B1"/>
    <w:rsid w:val="00D031E2"/>
    <w:rsid w:val="00D03293"/>
    <w:rsid w:val="00D033FD"/>
    <w:rsid w:val="00D0341E"/>
    <w:rsid w:val="00D036CF"/>
    <w:rsid w:val="00D03B96"/>
    <w:rsid w:val="00D03C19"/>
    <w:rsid w:val="00D03E3A"/>
    <w:rsid w:val="00D03EA4"/>
    <w:rsid w:val="00D04232"/>
    <w:rsid w:val="00D042D4"/>
    <w:rsid w:val="00D0441F"/>
    <w:rsid w:val="00D04479"/>
    <w:rsid w:val="00D0452F"/>
    <w:rsid w:val="00D04716"/>
    <w:rsid w:val="00D0479B"/>
    <w:rsid w:val="00D047B8"/>
    <w:rsid w:val="00D0482A"/>
    <w:rsid w:val="00D0492D"/>
    <w:rsid w:val="00D04D2B"/>
    <w:rsid w:val="00D0500B"/>
    <w:rsid w:val="00D050D9"/>
    <w:rsid w:val="00D05300"/>
    <w:rsid w:val="00D05308"/>
    <w:rsid w:val="00D0536A"/>
    <w:rsid w:val="00D05439"/>
    <w:rsid w:val="00D054FA"/>
    <w:rsid w:val="00D05765"/>
    <w:rsid w:val="00D05939"/>
    <w:rsid w:val="00D05B47"/>
    <w:rsid w:val="00D05CA2"/>
    <w:rsid w:val="00D05E6E"/>
    <w:rsid w:val="00D05E98"/>
    <w:rsid w:val="00D0648D"/>
    <w:rsid w:val="00D06564"/>
    <w:rsid w:val="00D067F6"/>
    <w:rsid w:val="00D0692E"/>
    <w:rsid w:val="00D06BE3"/>
    <w:rsid w:val="00D06C1A"/>
    <w:rsid w:val="00D06EF5"/>
    <w:rsid w:val="00D070F0"/>
    <w:rsid w:val="00D0723F"/>
    <w:rsid w:val="00D07783"/>
    <w:rsid w:val="00D0794A"/>
    <w:rsid w:val="00D07DC4"/>
    <w:rsid w:val="00D100B5"/>
    <w:rsid w:val="00D1046C"/>
    <w:rsid w:val="00D1051E"/>
    <w:rsid w:val="00D10580"/>
    <w:rsid w:val="00D10E1F"/>
    <w:rsid w:val="00D10FB0"/>
    <w:rsid w:val="00D10FFD"/>
    <w:rsid w:val="00D1110B"/>
    <w:rsid w:val="00D1118A"/>
    <w:rsid w:val="00D11452"/>
    <w:rsid w:val="00D11859"/>
    <w:rsid w:val="00D11D20"/>
    <w:rsid w:val="00D11D3B"/>
    <w:rsid w:val="00D11DDF"/>
    <w:rsid w:val="00D11E53"/>
    <w:rsid w:val="00D12004"/>
    <w:rsid w:val="00D12327"/>
    <w:rsid w:val="00D12335"/>
    <w:rsid w:val="00D1246D"/>
    <w:rsid w:val="00D127F3"/>
    <w:rsid w:val="00D12948"/>
    <w:rsid w:val="00D12A4F"/>
    <w:rsid w:val="00D12D56"/>
    <w:rsid w:val="00D13249"/>
    <w:rsid w:val="00D135B8"/>
    <w:rsid w:val="00D1363F"/>
    <w:rsid w:val="00D1386F"/>
    <w:rsid w:val="00D138F4"/>
    <w:rsid w:val="00D1394B"/>
    <w:rsid w:val="00D13BCB"/>
    <w:rsid w:val="00D13C0E"/>
    <w:rsid w:val="00D13FBF"/>
    <w:rsid w:val="00D14133"/>
    <w:rsid w:val="00D141FA"/>
    <w:rsid w:val="00D142A5"/>
    <w:rsid w:val="00D142E6"/>
    <w:rsid w:val="00D1444D"/>
    <w:rsid w:val="00D146F0"/>
    <w:rsid w:val="00D147B3"/>
    <w:rsid w:val="00D1495E"/>
    <w:rsid w:val="00D14ACA"/>
    <w:rsid w:val="00D14BD3"/>
    <w:rsid w:val="00D14CC8"/>
    <w:rsid w:val="00D14E82"/>
    <w:rsid w:val="00D14FAE"/>
    <w:rsid w:val="00D14FEE"/>
    <w:rsid w:val="00D15317"/>
    <w:rsid w:val="00D15427"/>
    <w:rsid w:val="00D154B5"/>
    <w:rsid w:val="00D15600"/>
    <w:rsid w:val="00D156D9"/>
    <w:rsid w:val="00D15771"/>
    <w:rsid w:val="00D1579C"/>
    <w:rsid w:val="00D15877"/>
    <w:rsid w:val="00D158B7"/>
    <w:rsid w:val="00D159C3"/>
    <w:rsid w:val="00D15B9D"/>
    <w:rsid w:val="00D15D52"/>
    <w:rsid w:val="00D15E4F"/>
    <w:rsid w:val="00D162FF"/>
    <w:rsid w:val="00D16449"/>
    <w:rsid w:val="00D1649A"/>
    <w:rsid w:val="00D16825"/>
    <w:rsid w:val="00D1686D"/>
    <w:rsid w:val="00D169B1"/>
    <w:rsid w:val="00D169BD"/>
    <w:rsid w:val="00D16B67"/>
    <w:rsid w:val="00D16CB3"/>
    <w:rsid w:val="00D16DC7"/>
    <w:rsid w:val="00D1726B"/>
    <w:rsid w:val="00D17616"/>
    <w:rsid w:val="00D1777C"/>
    <w:rsid w:val="00D1778D"/>
    <w:rsid w:val="00D17C09"/>
    <w:rsid w:val="00D17C20"/>
    <w:rsid w:val="00D17D76"/>
    <w:rsid w:val="00D17E8D"/>
    <w:rsid w:val="00D17E94"/>
    <w:rsid w:val="00D17FA7"/>
    <w:rsid w:val="00D20206"/>
    <w:rsid w:val="00D2024C"/>
    <w:rsid w:val="00D20372"/>
    <w:rsid w:val="00D204BB"/>
    <w:rsid w:val="00D2070E"/>
    <w:rsid w:val="00D2086B"/>
    <w:rsid w:val="00D20E2B"/>
    <w:rsid w:val="00D21196"/>
    <w:rsid w:val="00D211D0"/>
    <w:rsid w:val="00D217E6"/>
    <w:rsid w:val="00D21949"/>
    <w:rsid w:val="00D219EA"/>
    <w:rsid w:val="00D21B09"/>
    <w:rsid w:val="00D21B98"/>
    <w:rsid w:val="00D21E99"/>
    <w:rsid w:val="00D221D0"/>
    <w:rsid w:val="00D221D5"/>
    <w:rsid w:val="00D223DB"/>
    <w:rsid w:val="00D22719"/>
    <w:rsid w:val="00D227D5"/>
    <w:rsid w:val="00D228CA"/>
    <w:rsid w:val="00D22B1E"/>
    <w:rsid w:val="00D22B26"/>
    <w:rsid w:val="00D22D07"/>
    <w:rsid w:val="00D23549"/>
    <w:rsid w:val="00D23595"/>
    <w:rsid w:val="00D23695"/>
    <w:rsid w:val="00D23700"/>
    <w:rsid w:val="00D237C2"/>
    <w:rsid w:val="00D23868"/>
    <w:rsid w:val="00D23EE5"/>
    <w:rsid w:val="00D24222"/>
    <w:rsid w:val="00D242C4"/>
    <w:rsid w:val="00D24506"/>
    <w:rsid w:val="00D24529"/>
    <w:rsid w:val="00D2475A"/>
    <w:rsid w:val="00D247D1"/>
    <w:rsid w:val="00D24822"/>
    <w:rsid w:val="00D24AE1"/>
    <w:rsid w:val="00D24B7B"/>
    <w:rsid w:val="00D24CEE"/>
    <w:rsid w:val="00D24E11"/>
    <w:rsid w:val="00D24F71"/>
    <w:rsid w:val="00D250E4"/>
    <w:rsid w:val="00D253BD"/>
    <w:rsid w:val="00D2543C"/>
    <w:rsid w:val="00D2546A"/>
    <w:rsid w:val="00D25560"/>
    <w:rsid w:val="00D255EC"/>
    <w:rsid w:val="00D25C12"/>
    <w:rsid w:val="00D25D45"/>
    <w:rsid w:val="00D25E08"/>
    <w:rsid w:val="00D25E60"/>
    <w:rsid w:val="00D25E61"/>
    <w:rsid w:val="00D25F00"/>
    <w:rsid w:val="00D25F55"/>
    <w:rsid w:val="00D264D0"/>
    <w:rsid w:val="00D265A2"/>
    <w:rsid w:val="00D26648"/>
    <w:rsid w:val="00D26699"/>
    <w:rsid w:val="00D2695C"/>
    <w:rsid w:val="00D26B40"/>
    <w:rsid w:val="00D26E57"/>
    <w:rsid w:val="00D26E9C"/>
    <w:rsid w:val="00D2700A"/>
    <w:rsid w:val="00D27289"/>
    <w:rsid w:val="00D27353"/>
    <w:rsid w:val="00D273AE"/>
    <w:rsid w:val="00D274C9"/>
    <w:rsid w:val="00D276F1"/>
    <w:rsid w:val="00D277E7"/>
    <w:rsid w:val="00D278CD"/>
    <w:rsid w:val="00D27BB9"/>
    <w:rsid w:val="00D27E00"/>
    <w:rsid w:val="00D27E72"/>
    <w:rsid w:val="00D27F7E"/>
    <w:rsid w:val="00D300C5"/>
    <w:rsid w:val="00D30288"/>
    <w:rsid w:val="00D3059D"/>
    <w:rsid w:val="00D310B5"/>
    <w:rsid w:val="00D310CF"/>
    <w:rsid w:val="00D314D9"/>
    <w:rsid w:val="00D31503"/>
    <w:rsid w:val="00D317B8"/>
    <w:rsid w:val="00D3194C"/>
    <w:rsid w:val="00D319C9"/>
    <w:rsid w:val="00D31CEF"/>
    <w:rsid w:val="00D3200D"/>
    <w:rsid w:val="00D320DE"/>
    <w:rsid w:val="00D321C0"/>
    <w:rsid w:val="00D3227C"/>
    <w:rsid w:val="00D32F36"/>
    <w:rsid w:val="00D3308B"/>
    <w:rsid w:val="00D33188"/>
    <w:rsid w:val="00D332A3"/>
    <w:rsid w:val="00D334C7"/>
    <w:rsid w:val="00D3384E"/>
    <w:rsid w:val="00D33926"/>
    <w:rsid w:val="00D33B49"/>
    <w:rsid w:val="00D33CFF"/>
    <w:rsid w:val="00D341CE"/>
    <w:rsid w:val="00D3424F"/>
    <w:rsid w:val="00D343B8"/>
    <w:rsid w:val="00D34699"/>
    <w:rsid w:val="00D34A72"/>
    <w:rsid w:val="00D34C05"/>
    <w:rsid w:val="00D34C73"/>
    <w:rsid w:val="00D34EFC"/>
    <w:rsid w:val="00D35075"/>
    <w:rsid w:val="00D350CE"/>
    <w:rsid w:val="00D352E8"/>
    <w:rsid w:val="00D35523"/>
    <w:rsid w:val="00D358D3"/>
    <w:rsid w:val="00D3592A"/>
    <w:rsid w:val="00D359D9"/>
    <w:rsid w:val="00D35A78"/>
    <w:rsid w:val="00D35BE7"/>
    <w:rsid w:val="00D35E85"/>
    <w:rsid w:val="00D35ECD"/>
    <w:rsid w:val="00D35F80"/>
    <w:rsid w:val="00D3607F"/>
    <w:rsid w:val="00D362B8"/>
    <w:rsid w:val="00D363A7"/>
    <w:rsid w:val="00D364AD"/>
    <w:rsid w:val="00D36578"/>
    <w:rsid w:val="00D36911"/>
    <w:rsid w:val="00D369EA"/>
    <w:rsid w:val="00D36D2F"/>
    <w:rsid w:val="00D37022"/>
    <w:rsid w:val="00D3762D"/>
    <w:rsid w:val="00D37A95"/>
    <w:rsid w:val="00D37F02"/>
    <w:rsid w:val="00D40103"/>
    <w:rsid w:val="00D402BA"/>
    <w:rsid w:val="00D4032D"/>
    <w:rsid w:val="00D40454"/>
    <w:rsid w:val="00D4047A"/>
    <w:rsid w:val="00D404E8"/>
    <w:rsid w:val="00D40876"/>
    <w:rsid w:val="00D4096E"/>
    <w:rsid w:val="00D40CB4"/>
    <w:rsid w:val="00D40F16"/>
    <w:rsid w:val="00D4101F"/>
    <w:rsid w:val="00D410B9"/>
    <w:rsid w:val="00D41352"/>
    <w:rsid w:val="00D41354"/>
    <w:rsid w:val="00D4147A"/>
    <w:rsid w:val="00D41492"/>
    <w:rsid w:val="00D414BD"/>
    <w:rsid w:val="00D4171B"/>
    <w:rsid w:val="00D417EC"/>
    <w:rsid w:val="00D41A26"/>
    <w:rsid w:val="00D41D9E"/>
    <w:rsid w:val="00D41FE8"/>
    <w:rsid w:val="00D42106"/>
    <w:rsid w:val="00D42213"/>
    <w:rsid w:val="00D4263A"/>
    <w:rsid w:val="00D426B4"/>
    <w:rsid w:val="00D428BE"/>
    <w:rsid w:val="00D42A83"/>
    <w:rsid w:val="00D42CAC"/>
    <w:rsid w:val="00D430AB"/>
    <w:rsid w:val="00D430BB"/>
    <w:rsid w:val="00D43458"/>
    <w:rsid w:val="00D436AF"/>
    <w:rsid w:val="00D43AB4"/>
    <w:rsid w:val="00D43CE7"/>
    <w:rsid w:val="00D43D7F"/>
    <w:rsid w:val="00D43E4D"/>
    <w:rsid w:val="00D43EAD"/>
    <w:rsid w:val="00D44042"/>
    <w:rsid w:val="00D4409B"/>
    <w:rsid w:val="00D442E7"/>
    <w:rsid w:val="00D4459F"/>
    <w:rsid w:val="00D44601"/>
    <w:rsid w:val="00D446C7"/>
    <w:rsid w:val="00D4474D"/>
    <w:rsid w:val="00D44754"/>
    <w:rsid w:val="00D44A6D"/>
    <w:rsid w:val="00D44C6B"/>
    <w:rsid w:val="00D44CA3"/>
    <w:rsid w:val="00D44E45"/>
    <w:rsid w:val="00D44F60"/>
    <w:rsid w:val="00D44FF2"/>
    <w:rsid w:val="00D45006"/>
    <w:rsid w:val="00D4524B"/>
    <w:rsid w:val="00D45736"/>
    <w:rsid w:val="00D4588D"/>
    <w:rsid w:val="00D45897"/>
    <w:rsid w:val="00D45966"/>
    <w:rsid w:val="00D459B2"/>
    <w:rsid w:val="00D45A4A"/>
    <w:rsid w:val="00D46261"/>
    <w:rsid w:val="00D464A4"/>
    <w:rsid w:val="00D465C4"/>
    <w:rsid w:val="00D46684"/>
    <w:rsid w:val="00D467B2"/>
    <w:rsid w:val="00D468E2"/>
    <w:rsid w:val="00D4697B"/>
    <w:rsid w:val="00D469CE"/>
    <w:rsid w:val="00D469F7"/>
    <w:rsid w:val="00D46A29"/>
    <w:rsid w:val="00D46A40"/>
    <w:rsid w:val="00D46A92"/>
    <w:rsid w:val="00D46C78"/>
    <w:rsid w:val="00D46CF9"/>
    <w:rsid w:val="00D46DFE"/>
    <w:rsid w:val="00D46E19"/>
    <w:rsid w:val="00D46E98"/>
    <w:rsid w:val="00D46F1F"/>
    <w:rsid w:val="00D46F2D"/>
    <w:rsid w:val="00D4710C"/>
    <w:rsid w:val="00D47359"/>
    <w:rsid w:val="00D47415"/>
    <w:rsid w:val="00D474DD"/>
    <w:rsid w:val="00D47883"/>
    <w:rsid w:val="00D47D89"/>
    <w:rsid w:val="00D47E57"/>
    <w:rsid w:val="00D47FB3"/>
    <w:rsid w:val="00D47FE4"/>
    <w:rsid w:val="00D47FF6"/>
    <w:rsid w:val="00D50038"/>
    <w:rsid w:val="00D50163"/>
    <w:rsid w:val="00D5059E"/>
    <w:rsid w:val="00D50717"/>
    <w:rsid w:val="00D5076F"/>
    <w:rsid w:val="00D50956"/>
    <w:rsid w:val="00D509F7"/>
    <w:rsid w:val="00D50B22"/>
    <w:rsid w:val="00D50CC0"/>
    <w:rsid w:val="00D50CC9"/>
    <w:rsid w:val="00D50CEF"/>
    <w:rsid w:val="00D50D3C"/>
    <w:rsid w:val="00D50F81"/>
    <w:rsid w:val="00D5110A"/>
    <w:rsid w:val="00D51126"/>
    <w:rsid w:val="00D51286"/>
    <w:rsid w:val="00D51615"/>
    <w:rsid w:val="00D51687"/>
    <w:rsid w:val="00D516D0"/>
    <w:rsid w:val="00D519E4"/>
    <w:rsid w:val="00D51ADA"/>
    <w:rsid w:val="00D51CED"/>
    <w:rsid w:val="00D51FB3"/>
    <w:rsid w:val="00D521A3"/>
    <w:rsid w:val="00D524EF"/>
    <w:rsid w:val="00D5270B"/>
    <w:rsid w:val="00D528EB"/>
    <w:rsid w:val="00D529B5"/>
    <w:rsid w:val="00D52CAE"/>
    <w:rsid w:val="00D52D2A"/>
    <w:rsid w:val="00D52D96"/>
    <w:rsid w:val="00D52F1B"/>
    <w:rsid w:val="00D52FE2"/>
    <w:rsid w:val="00D53185"/>
    <w:rsid w:val="00D534B4"/>
    <w:rsid w:val="00D536B3"/>
    <w:rsid w:val="00D53769"/>
    <w:rsid w:val="00D537FB"/>
    <w:rsid w:val="00D53A14"/>
    <w:rsid w:val="00D54150"/>
    <w:rsid w:val="00D542A5"/>
    <w:rsid w:val="00D54423"/>
    <w:rsid w:val="00D54546"/>
    <w:rsid w:val="00D545A4"/>
    <w:rsid w:val="00D54842"/>
    <w:rsid w:val="00D54959"/>
    <w:rsid w:val="00D54B21"/>
    <w:rsid w:val="00D54C35"/>
    <w:rsid w:val="00D5506B"/>
    <w:rsid w:val="00D55183"/>
    <w:rsid w:val="00D55241"/>
    <w:rsid w:val="00D55409"/>
    <w:rsid w:val="00D55426"/>
    <w:rsid w:val="00D55577"/>
    <w:rsid w:val="00D55743"/>
    <w:rsid w:val="00D5598C"/>
    <w:rsid w:val="00D55B55"/>
    <w:rsid w:val="00D55BE9"/>
    <w:rsid w:val="00D55D6C"/>
    <w:rsid w:val="00D55DFE"/>
    <w:rsid w:val="00D55F53"/>
    <w:rsid w:val="00D5645B"/>
    <w:rsid w:val="00D565FB"/>
    <w:rsid w:val="00D56697"/>
    <w:rsid w:val="00D56B01"/>
    <w:rsid w:val="00D56C0A"/>
    <w:rsid w:val="00D56DD3"/>
    <w:rsid w:val="00D56EAD"/>
    <w:rsid w:val="00D56EB8"/>
    <w:rsid w:val="00D56ED3"/>
    <w:rsid w:val="00D5710F"/>
    <w:rsid w:val="00D57122"/>
    <w:rsid w:val="00D576ED"/>
    <w:rsid w:val="00D577FB"/>
    <w:rsid w:val="00D5788A"/>
    <w:rsid w:val="00D578B8"/>
    <w:rsid w:val="00D57A86"/>
    <w:rsid w:val="00D57B70"/>
    <w:rsid w:val="00D57C63"/>
    <w:rsid w:val="00D57EFB"/>
    <w:rsid w:val="00D57F93"/>
    <w:rsid w:val="00D6009F"/>
    <w:rsid w:val="00D601B6"/>
    <w:rsid w:val="00D603EE"/>
    <w:rsid w:val="00D606B0"/>
    <w:rsid w:val="00D607CD"/>
    <w:rsid w:val="00D60A44"/>
    <w:rsid w:val="00D60AAC"/>
    <w:rsid w:val="00D60BE2"/>
    <w:rsid w:val="00D60C3F"/>
    <w:rsid w:val="00D60E19"/>
    <w:rsid w:val="00D61427"/>
    <w:rsid w:val="00D6170C"/>
    <w:rsid w:val="00D61A57"/>
    <w:rsid w:val="00D61AB5"/>
    <w:rsid w:val="00D61DC0"/>
    <w:rsid w:val="00D61E8A"/>
    <w:rsid w:val="00D61EA5"/>
    <w:rsid w:val="00D622D1"/>
    <w:rsid w:val="00D62391"/>
    <w:rsid w:val="00D623C8"/>
    <w:rsid w:val="00D6240C"/>
    <w:rsid w:val="00D626C4"/>
    <w:rsid w:val="00D62811"/>
    <w:rsid w:val="00D628AF"/>
    <w:rsid w:val="00D629E4"/>
    <w:rsid w:val="00D62A6D"/>
    <w:rsid w:val="00D62AA3"/>
    <w:rsid w:val="00D62D32"/>
    <w:rsid w:val="00D63080"/>
    <w:rsid w:val="00D63365"/>
    <w:rsid w:val="00D63401"/>
    <w:rsid w:val="00D6345E"/>
    <w:rsid w:val="00D63570"/>
    <w:rsid w:val="00D6359C"/>
    <w:rsid w:val="00D63666"/>
    <w:rsid w:val="00D6373D"/>
    <w:rsid w:val="00D637AB"/>
    <w:rsid w:val="00D64050"/>
    <w:rsid w:val="00D640AC"/>
    <w:rsid w:val="00D6417E"/>
    <w:rsid w:val="00D641FA"/>
    <w:rsid w:val="00D643F5"/>
    <w:rsid w:val="00D6456A"/>
    <w:rsid w:val="00D64B35"/>
    <w:rsid w:val="00D64E49"/>
    <w:rsid w:val="00D64F35"/>
    <w:rsid w:val="00D650AD"/>
    <w:rsid w:val="00D65135"/>
    <w:rsid w:val="00D6528D"/>
    <w:rsid w:val="00D65450"/>
    <w:rsid w:val="00D65537"/>
    <w:rsid w:val="00D656ED"/>
    <w:rsid w:val="00D6594C"/>
    <w:rsid w:val="00D65A07"/>
    <w:rsid w:val="00D65B19"/>
    <w:rsid w:val="00D65B78"/>
    <w:rsid w:val="00D65BCD"/>
    <w:rsid w:val="00D65FFA"/>
    <w:rsid w:val="00D6601E"/>
    <w:rsid w:val="00D6625D"/>
    <w:rsid w:val="00D668BF"/>
    <w:rsid w:val="00D66990"/>
    <w:rsid w:val="00D66A18"/>
    <w:rsid w:val="00D66B20"/>
    <w:rsid w:val="00D66E84"/>
    <w:rsid w:val="00D67153"/>
    <w:rsid w:val="00D6728E"/>
    <w:rsid w:val="00D6735C"/>
    <w:rsid w:val="00D6769D"/>
    <w:rsid w:val="00D676EF"/>
    <w:rsid w:val="00D678E2"/>
    <w:rsid w:val="00D679DF"/>
    <w:rsid w:val="00D679F7"/>
    <w:rsid w:val="00D67A2F"/>
    <w:rsid w:val="00D67CDA"/>
    <w:rsid w:val="00D67D34"/>
    <w:rsid w:val="00D67DFB"/>
    <w:rsid w:val="00D67F58"/>
    <w:rsid w:val="00D70063"/>
    <w:rsid w:val="00D701E5"/>
    <w:rsid w:val="00D70832"/>
    <w:rsid w:val="00D708AE"/>
    <w:rsid w:val="00D70AD5"/>
    <w:rsid w:val="00D70B54"/>
    <w:rsid w:val="00D70F58"/>
    <w:rsid w:val="00D714D0"/>
    <w:rsid w:val="00D71574"/>
    <w:rsid w:val="00D71953"/>
    <w:rsid w:val="00D71B3C"/>
    <w:rsid w:val="00D71B4D"/>
    <w:rsid w:val="00D71DE3"/>
    <w:rsid w:val="00D72118"/>
    <w:rsid w:val="00D7232F"/>
    <w:rsid w:val="00D72467"/>
    <w:rsid w:val="00D724CB"/>
    <w:rsid w:val="00D72513"/>
    <w:rsid w:val="00D72B9A"/>
    <w:rsid w:val="00D72F75"/>
    <w:rsid w:val="00D734E8"/>
    <w:rsid w:val="00D73656"/>
    <w:rsid w:val="00D73956"/>
    <w:rsid w:val="00D73A2C"/>
    <w:rsid w:val="00D73A63"/>
    <w:rsid w:val="00D73CB4"/>
    <w:rsid w:val="00D73D95"/>
    <w:rsid w:val="00D73FB0"/>
    <w:rsid w:val="00D742DC"/>
    <w:rsid w:val="00D7441D"/>
    <w:rsid w:val="00D744E4"/>
    <w:rsid w:val="00D74591"/>
    <w:rsid w:val="00D74611"/>
    <w:rsid w:val="00D74732"/>
    <w:rsid w:val="00D74886"/>
    <w:rsid w:val="00D74DD7"/>
    <w:rsid w:val="00D74E5A"/>
    <w:rsid w:val="00D74F0D"/>
    <w:rsid w:val="00D751C7"/>
    <w:rsid w:val="00D75536"/>
    <w:rsid w:val="00D75795"/>
    <w:rsid w:val="00D757DE"/>
    <w:rsid w:val="00D757F6"/>
    <w:rsid w:val="00D759CD"/>
    <w:rsid w:val="00D759DE"/>
    <w:rsid w:val="00D75B00"/>
    <w:rsid w:val="00D75C09"/>
    <w:rsid w:val="00D75D6A"/>
    <w:rsid w:val="00D75F48"/>
    <w:rsid w:val="00D76225"/>
    <w:rsid w:val="00D76271"/>
    <w:rsid w:val="00D76476"/>
    <w:rsid w:val="00D764B7"/>
    <w:rsid w:val="00D7651A"/>
    <w:rsid w:val="00D7686D"/>
    <w:rsid w:val="00D768A8"/>
    <w:rsid w:val="00D7698F"/>
    <w:rsid w:val="00D76CFC"/>
    <w:rsid w:val="00D76DF9"/>
    <w:rsid w:val="00D76FDB"/>
    <w:rsid w:val="00D76FDD"/>
    <w:rsid w:val="00D7738B"/>
    <w:rsid w:val="00D774F3"/>
    <w:rsid w:val="00D777BD"/>
    <w:rsid w:val="00D77820"/>
    <w:rsid w:val="00D77969"/>
    <w:rsid w:val="00D779F1"/>
    <w:rsid w:val="00D80185"/>
    <w:rsid w:val="00D8019C"/>
    <w:rsid w:val="00D80350"/>
    <w:rsid w:val="00D80381"/>
    <w:rsid w:val="00D80737"/>
    <w:rsid w:val="00D80A8E"/>
    <w:rsid w:val="00D80B38"/>
    <w:rsid w:val="00D80C18"/>
    <w:rsid w:val="00D80C43"/>
    <w:rsid w:val="00D80E5A"/>
    <w:rsid w:val="00D80F31"/>
    <w:rsid w:val="00D80F84"/>
    <w:rsid w:val="00D80FDC"/>
    <w:rsid w:val="00D810A4"/>
    <w:rsid w:val="00D81543"/>
    <w:rsid w:val="00D81822"/>
    <w:rsid w:val="00D81A06"/>
    <w:rsid w:val="00D81AB9"/>
    <w:rsid w:val="00D81DBE"/>
    <w:rsid w:val="00D81E0C"/>
    <w:rsid w:val="00D81F40"/>
    <w:rsid w:val="00D81F9E"/>
    <w:rsid w:val="00D82043"/>
    <w:rsid w:val="00D8234E"/>
    <w:rsid w:val="00D82374"/>
    <w:rsid w:val="00D82439"/>
    <w:rsid w:val="00D824C7"/>
    <w:rsid w:val="00D824FD"/>
    <w:rsid w:val="00D829D7"/>
    <w:rsid w:val="00D82C43"/>
    <w:rsid w:val="00D82EA4"/>
    <w:rsid w:val="00D82FC3"/>
    <w:rsid w:val="00D83132"/>
    <w:rsid w:val="00D8338E"/>
    <w:rsid w:val="00D834E6"/>
    <w:rsid w:val="00D83818"/>
    <w:rsid w:val="00D83AD2"/>
    <w:rsid w:val="00D83C3D"/>
    <w:rsid w:val="00D8450E"/>
    <w:rsid w:val="00D8453C"/>
    <w:rsid w:val="00D845D1"/>
    <w:rsid w:val="00D84645"/>
    <w:rsid w:val="00D848A6"/>
    <w:rsid w:val="00D84A2A"/>
    <w:rsid w:val="00D84B4B"/>
    <w:rsid w:val="00D84E74"/>
    <w:rsid w:val="00D8503D"/>
    <w:rsid w:val="00D85181"/>
    <w:rsid w:val="00D85835"/>
    <w:rsid w:val="00D85875"/>
    <w:rsid w:val="00D8597C"/>
    <w:rsid w:val="00D85A2F"/>
    <w:rsid w:val="00D85A8F"/>
    <w:rsid w:val="00D85AE5"/>
    <w:rsid w:val="00D85BEE"/>
    <w:rsid w:val="00D85D72"/>
    <w:rsid w:val="00D85FB8"/>
    <w:rsid w:val="00D85FD7"/>
    <w:rsid w:val="00D860E6"/>
    <w:rsid w:val="00D861D3"/>
    <w:rsid w:val="00D8623D"/>
    <w:rsid w:val="00D866A3"/>
    <w:rsid w:val="00D8696C"/>
    <w:rsid w:val="00D86B25"/>
    <w:rsid w:val="00D86B55"/>
    <w:rsid w:val="00D86E67"/>
    <w:rsid w:val="00D872AC"/>
    <w:rsid w:val="00D87463"/>
    <w:rsid w:val="00D874EE"/>
    <w:rsid w:val="00D8759D"/>
    <w:rsid w:val="00D8781E"/>
    <w:rsid w:val="00D87ACE"/>
    <w:rsid w:val="00D87F31"/>
    <w:rsid w:val="00D87F60"/>
    <w:rsid w:val="00D90105"/>
    <w:rsid w:val="00D901D4"/>
    <w:rsid w:val="00D901E3"/>
    <w:rsid w:val="00D9027C"/>
    <w:rsid w:val="00D902AA"/>
    <w:rsid w:val="00D90359"/>
    <w:rsid w:val="00D9037F"/>
    <w:rsid w:val="00D90605"/>
    <w:rsid w:val="00D906EE"/>
    <w:rsid w:val="00D90AEB"/>
    <w:rsid w:val="00D90BEC"/>
    <w:rsid w:val="00D90E21"/>
    <w:rsid w:val="00D910AC"/>
    <w:rsid w:val="00D911E9"/>
    <w:rsid w:val="00D912E8"/>
    <w:rsid w:val="00D9145B"/>
    <w:rsid w:val="00D917BA"/>
    <w:rsid w:val="00D91B92"/>
    <w:rsid w:val="00D91CF1"/>
    <w:rsid w:val="00D9217C"/>
    <w:rsid w:val="00D92359"/>
    <w:rsid w:val="00D92463"/>
    <w:rsid w:val="00D924BF"/>
    <w:rsid w:val="00D924D5"/>
    <w:rsid w:val="00D92685"/>
    <w:rsid w:val="00D92770"/>
    <w:rsid w:val="00D927DF"/>
    <w:rsid w:val="00D9280D"/>
    <w:rsid w:val="00D9290E"/>
    <w:rsid w:val="00D9296C"/>
    <w:rsid w:val="00D929A6"/>
    <w:rsid w:val="00D93262"/>
    <w:rsid w:val="00D93301"/>
    <w:rsid w:val="00D93315"/>
    <w:rsid w:val="00D93799"/>
    <w:rsid w:val="00D93832"/>
    <w:rsid w:val="00D93C24"/>
    <w:rsid w:val="00D93D04"/>
    <w:rsid w:val="00D93D62"/>
    <w:rsid w:val="00D93DF3"/>
    <w:rsid w:val="00D940CA"/>
    <w:rsid w:val="00D940F7"/>
    <w:rsid w:val="00D94145"/>
    <w:rsid w:val="00D941B8"/>
    <w:rsid w:val="00D9471B"/>
    <w:rsid w:val="00D94AE7"/>
    <w:rsid w:val="00D94C89"/>
    <w:rsid w:val="00D94DF5"/>
    <w:rsid w:val="00D94E2D"/>
    <w:rsid w:val="00D94ED7"/>
    <w:rsid w:val="00D94FF4"/>
    <w:rsid w:val="00D950C0"/>
    <w:rsid w:val="00D950F9"/>
    <w:rsid w:val="00D9538F"/>
    <w:rsid w:val="00D955C3"/>
    <w:rsid w:val="00D957DD"/>
    <w:rsid w:val="00D9594E"/>
    <w:rsid w:val="00D95A84"/>
    <w:rsid w:val="00D95B63"/>
    <w:rsid w:val="00D95D67"/>
    <w:rsid w:val="00D95E16"/>
    <w:rsid w:val="00D960D2"/>
    <w:rsid w:val="00D96181"/>
    <w:rsid w:val="00D96277"/>
    <w:rsid w:val="00D9631A"/>
    <w:rsid w:val="00D96867"/>
    <w:rsid w:val="00D96F7B"/>
    <w:rsid w:val="00D97591"/>
    <w:rsid w:val="00D97798"/>
    <w:rsid w:val="00D97801"/>
    <w:rsid w:val="00D97878"/>
    <w:rsid w:val="00D97AB3"/>
    <w:rsid w:val="00D97EC5"/>
    <w:rsid w:val="00D97F8E"/>
    <w:rsid w:val="00D97FCF"/>
    <w:rsid w:val="00DA00C1"/>
    <w:rsid w:val="00DA01A3"/>
    <w:rsid w:val="00DA07E5"/>
    <w:rsid w:val="00DA0953"/>
    <w:rsid w:val="00DA0D25"/>
    <w:rsid w:val="00DA104F"/>
    <w:rsid w:val="00DA10C2"/>
    <w:rsid w:val="00DA182B"/>
    <w:rsid w:val="00DA1964"/>
    <w:rsid w:val="00DA19D0"/>
    <w:rsid w:val="00DA1B60"/>
    <w:rsid w:val="00DA1C3C"/>
    <w:rsid w:val="00DA1D96"/>
    <w:rsid w:val="00DA1DA3"/>
    <w:rsid w:val="00DA1E49"/>
    <w:rsid w:val="00DA1F42"/>
    <w:rsid w:val="00DA203D"/>
    <w:rsid w:val="00DA211A"/>
    <w:rsid w:val="00DA21BE"/>
    <w:rsid w:val="00DA23CC"/>
    <w:rsid w:val="00DA2424"/>
    <w:rsid w:val="00DA2538"/>
    <w:rsid w:val="00DA268E"/>
    <w:rsid w:val="00DA27BD"/>
    <w:rsid w:val="00DA2AD3"/>
    <w:rsid w:val="00DA2B11"/>
    <w:rsid w:val="00DA2D41"/>
    <w:rsid w:val="00DA2D92"/>
    <w:rsid w:val="00DA2ECE"/>
    <w:rsid w:val="00DA3265"/>
    <w:rsid w:val="00DA3498"/>
    <w:rsid w:val="00DA351C"/>
    <w:rsid w:val="00DA356F"/>
    <w:rsid w:val="00DA3573"/>
    <w:rsid w:val="00DA3605"/>
    <w:rsid w:val="00DA3614"/>
    <w:rsid w:val="00DA36BE"/>
    <w:rsid w:val="00DA3A62"/>
    <w:rsid w:val="00DA3BF9"/>
    <w:rsid w:val="00DA3EC6"/>
    <w:rsid w:val="00DA3F31"/>
    <w:rsid w:val="00DA3FEF"/>
    <w:rsid w:val="00DA403D"/>
    <w:rsid w:val="00DA429D"/>
    <w:rsid w:val="00DA4316"/>
    <w:rsid w:val="00DA44FD"/>
    <w:rsid w:val="00DA4656"/>
    <w:rsid w:val="00DA469F"/>
    <w:rsid w:val="00DA4A50"/>
    <w:rsid w:val="00DA4C1B"/>
    <w:rsid w:val="00DA4F78"/>
    <w:rsid w:val="00DA50D0"/>
    <w:rsid w:val="00DA55AC"/>
    <w:rsid w:val="00DA5821"/>
    <w:rsid w:val="00DA59D7"/>
    <w:rsid w:val="00DA5AB5"/>
    <w:rsid w:val="00DA5DDF"/>
    <w:rsid w:val="00DA5E8C"/>
    <w:rsid w:val="00DA5F88"/>
    <w:rsid w:val="00DA60C3"/>
    <w:rsid w:val="00DA61AB"/>
    <w:rsid w:val="00DA67E9"/>
    <w:rsid w:val="00DA6979"/>
    <w:rsid w:val="00DA6C11"/>
    <w:rsid w:val="00DA6DEF"/>
    <w:rsid w:val="00DA6F6F"/>
    <w:rsid w:val="00DA7102"/>
    <w:rsid w:val="00DA7187"/>
    <w:rsid w:val="00DA7260"/>
    <w:rsid w:val="00DA7446"/>
    <w:rsid w:val="00DA7450"/>
    <w:rsid w:val="00DA758B"/>
    <w:rsid w:val="00DA7B05"/>
    <w:rsid w:val="00DA7C0F"/>
    <w:rsid w:val="00DA7C3C"/>
    <w:rsid w:val="00DA7D49"/>
    <w:rsid w:val="00DB0060"/>
    <w:rsid w:val="00DB00EA"/>
    <w:rsid w:val="00DB01B6"/>
    <w:rsid w:val="00DB0338"/>
    <w:rsid w:val="00DB0664"/>
    <w:rsid w:val="00DB094E"/>
    <w:rsid w:val="00DB09DE"/>
    <w:rsid w:val="00DB09E8"/>
    <w:rsid w:val="00DB0A5B"/>
    <w:rsid w:val="00DB0A84"/>
    <w:rsid w:val="00DB0A9D"/>
    <w:rsid w:val="00DB0B86"/>
    <w:rsid w:val="00DB0C08"/>
    <w:rsid w:val="00DB0F5F"/>
    <w:rsid w:val="00DB1048"/>
    <w:rsid w:val="00DB116C"/>
    <w:rsid w:val="00DB11AE"/>
    <w:rsid w:val="00DB13DA"/>
    <w:rsid w:val="00DB1462"/>
    <w:rsid w:val="00DB1E90"/>
    <w:rsid w:val="00DB2517"/>
    <w:rsid w:val="00DB32A2"/>
    <w:rsid w:val="00DB32F5"/>
    <w:rsid w:val="00DB3344"/>
    <w:rsid w:val="00DB34A7"/>
    <w:rsid w:val="00DB34E9"/>
    <w:rsid w:val="00DB35EB"/>
    <w:rsid w:val="00DB3724"/>
    <w:rsid w:val="00DB393D"/>
    <w:rsid w:val="00DB3A28"/>
    <w:rsid w:val="00DB3B9B"/>
    <w:rsid w:val="00DB4010"/>
    <w:rsid w:val="00DB406F"/>
    <w:rsid w:val="00DB41B8"/>
    <w:rsid w:val="00DB4446"/>
    <w:rsid w:val="00DB44EC"/>
    <w:rsid w:val="00DB4523"/>
    <w:rsid w:val="00DB46B8"/>
    <w:rsid w:val="00DB4827"/>
    <w:rsid w:val="00DB48A1"/>
    <w:rsid w:val="00DB48C5"/>
    <w:rsid w:val="00DB48F9"/>
    <w:rsid w:val="00DB493D"/>
    <w:rsid w:val="00DB4984"/>
    <w:rsid w:val="00DB4A2A"/>
    <w:rsid w:val="00DB4CAA"/>
    <w:rsid w:val="00DB4CB3"/>
    <w:rsid w:val="00DB4D1D"/>
    <w:rsid w:val="00DB4D2B"/>
    <w:rsid w:val="00DB4FE2"/>
    <w:rsid w:val="00DB5048"/>
    <w:rsid w:val="00DB50EE"/>
    <w:rsid w:val="00DB52BF"/>
    <w:rsid w:val="00DB547D"/>
    <w:rsid w:val="00DB598B"/>
    <w:rsid w:val="00DB5A96"/>
    <w:rsid w:val="00DB5A9A"/>
    <w:rsid w:val="00DB5AA6"/>
    <w:rsid w:val="00DB5AFB"/>
    <w:rsid w:val="00DB5BA2"/>
    <w:rsid w:val="00DB6070"/>
    <w:rsid w:val="00DB6096"/>
    <w:rsid w:val="00DB62F9"/>
    <w:rsid w:val="00DB6311"/>
    <w:rsid w:val="00DB63FE"/>
    <w:rsid w:val="00DB6551"/>
    <w:rsid w:val="00DB6868"/>
    <w:rsid w:val="00DB6D91"/>
    <w:rsid w:val="00DB6F4B"/>
    <w:rsid w:val="00DB707B"/>
    <w:rsid w:val="00DB73F8"/>
    <w:rsid w:val="00DB79BE"/>
    <w:rsid w:val="00DB7AA2"/>
    <w:rsid w:val="00DB7B25"/>
    <w:rsid w:val="00DB7CE9"/>
    <w:rsid w:val="00DB7D18"/>
    <w:rsid w:val="00DB7DC3"/>
    <w:rsid w:val="00DB7E7A"/>
    <w:rsid w:val="00DC0266"/>
    <w:rsid w:val="00DC05AA"/>
    <w:rsid w:val="00DC07A1"/>
    <w:rsid w:val="00DC090D"/>
    <w:rsid w:val="00DC09A8"/>
    <w:rsid w:val="00DC0B12"/>
    <w:rsid w:val="00DC0E06"/>
    <w:rsid w:val="00DC0FC9"/>
    <w:rsid w:val="00DC11F1"/>
    <w:rsid w:val="00DC1356"/>
    <w:rsid w:val="00DC13FE"/>
    <w:rsid w:val="00DC141F"/>
    <w:rsid w:val="00DC146E"/>
    <w:rsid w:val="00DC15E4"/>
    <w:rsid w:val="00DC1722"/>
    <w:rsid w:val="00DC193E"/>
    <w:rsid w:val="00DC1CE0"/>
    <w:rsid w:val="00DC2066"/>
    <w:rsid w:val="00DC22F0"/>
    <w:rsid w:val="00DC2BC7"/>
    <w:rsid w:val="00DC2E3E"/>
    <w:rsid w:val="00DC3431"/>
    <w:rsid w:val="00DC3529"/>
    <w:rsid w:val="00DC36EF"/>
    <w:rsid w:val="00DC38B6"/>
    <w:rsid w:val="00DC3B51"/>
    <w:rsid w:val="00DC3C81"/>
    <w:rsid w:val="00DC3D43"/>
    <w:rsid w:val="00DC3D61"/>
    <w:rsid w:val="00DC3E7A"/>
    <w:rsid w:val="00DC3E94"/>
    <w:rsid w:val="00DC4064"/>
    <w:rsid w:val="00DC40C3"/>
    <w:rsid w:val="00DC430D"/>
    <w:rsid w:val="00DC4441"/>
    <w:rsid w:val="00DC474C"/>
    <w:rsid w:val="00DC4879"/>
    <w:rsid w:val="00DC4F0B"/>
    <w:rsid w:val="00DC52D6"/>
    <w:rsid w:val="00DC562D"/>
    <w:rsid w:val="00DC56FB"/>
    <w:rsid w:val="00DC5807"/>
    <w:rsid w:val="00DC5918"/>
    <w:rsid w:val="00DC5AD3"/>
    <w:rsid w:val="00DC5B2C"/>
    <w:rsid w:val="00DC5C24"/>
    <w:rsid w:val="00DC5F19"/>
    <w:rsid w:val="00DC5F8A"/>
    <w:rsid w:val="00DC5FE2"/>
    <w:rsid w:val="00DC61B8"/>
    <w:rsid w:val="00DC6483"/>
    <w:rsid w:val="00DC6650"/>
    <w:rsid w:val="00DC6837"/>
    <w:rsid w:val="00DC6863"/>
    <w:rsid w:val="00DC6FDD"/>
    <w:rsid w:val="00DC76BF"/>
    <w:rsid w:val="00DC7760"/>
    <w:rsid w:val="00DC7867"/>
    <w:rsid w:val="00DC7A9F"/>
    <w:rsid w:val="00DC7D07"/>
    <w:rsid w:val="00DC7ED7"/>
    <w:rsid w:val="00DC7F59"/>
    <w:rsid w:val="00DD04C7"/>
    <w:rsid w:val="00DD062E"/>
    <w:rsid w:val="00DD081A"/>
    <w:rsid w:val="00DD0B93"/>
    <w:rsid w:val="00DD0C5A"/>
    <w:rsid w:val="00DD0D4D"/>
    <w:rsid w:val="00DD0EDD"/>
    <w:rsid w:val="00DD0EE7"/>
    <w:rsid w:val="00DD0FC0"/>
    <w:rsid w:val="00DD0FFB"/>
    <w:rsid w:val="00DD12F3"/>
    <w:rsid w:val="00DD135A"/>
    <w:rsid w:val="00DD1676"/>
    <w:rsid w:val="00DD1711"/>
    <w:rsid w:val="00DD1714"/>
    <w:rsid w:val="00DD1987"/>
    <w:rsid w:val="00DD1B20"/>
    <w:rsid w:val="00DD1BA5"/>
    <w:rsid w:val="00DD1C6A"/>
    <w:rsid w:val="00DD1FAA"/>
    <w:rsid w:val="00DD21AD"/>
    <w:rsid w:val="00DD21BB"/>
    <w:rsid w:val="00DD21E6"/>
    <w:rsid w:val="00DD2639"/>
    <w:rsid w:val="00DD265C"/>
    <w:rsid w:val="00DD26EB"/>
    <w:rsid w:val="00DD2782"/>
    <w:rsid w:val="00DD2814"/>
    <w:rsid w:val="00DD286A"/>
    <w:rsid w:val="00DD28DA"/>
    <w:rsid w:val="00DD28F4"/>
    <w:rsid w:val="00DD2A57"/>
    <w:rsid w:val="00DD2A64"/>
    <w:rsid w:val="00DD2C0E"/>
    <w:rsid w:val="00DD2FC5"/>
    <w:rsid w:val="00DD2FFA"/>
    <w:rsid w:val="00DD3004"/>
    <w:rsid w:val="00DD302B"/>
    <w:rsid w:val="00DD319A"/>
    <w:rsid w:val="00DD3202"/>
    <w:rsid w:val="00DD3408"/>
    <w:rsid w:val="00DD34A1"/>
    <w:rsid w:val="00DD3635"/>
    <w:rsid w:val="00DD3A04"/>
    <w:rsid w:val="00DD3A0E"/>
    <w:rsid w:val="00DD3B96"/>
    <w:rsid w:val="00DD3F0F"/>
    <w:rsid w:val="00DD3FB7"/>
    <w:rsid w:val="00DD3FDA"/>
    <w:rsid w:val="00DD43E9"/>
    <w:rsid w:val="00DD4441"/>
    <w:rsid w:val="00DD4496"/>
    <w:rsid w:val="00DD45D3"/>
    <w:rsid w:val="00DD45EB"/>
    <w:rsid w:val="00DD4687"/>
    <w:rsid w:val="00DD471F"/>
    <w:rsid w:val="00DD477D"/>
    <w:rsid w:val="00DD483B"/>
    <w:rsid w:val="00DD4B11"/>
    <w:rsid w:val="00DD4E70"/>
    <w:rsid w:val="00DD4F0C"/>
    <w:rsid w:val="00DD547C"/>
    <w:rsid w:val="00DD5536"/>
    <w:rsid w:val="00DD554A"/>
    <w:rsid w:val="00DD55E7"/>
    <w:rsid w:val="00DD5BB5"/>
    <w:rsid w:val="00DD5CEF"/>
    <w:rsid w:val="00DD6198"/>
    <w:rsid w:val="00DD62CE"/>
    <w:rsid w:val="00DD6301"/>
    <w:rsid w:val="00DD63A7"/>
    <w:rsid w:val="00DD6403"/>
    <w:rsid w:val="00DD6846"/>
    <w:rsid w:val="00DD68FA"/>
    <w:rsid w:val="00DD6ACC"/>
    <w:rsid w:val="00DD729C"/>
    <w:rsid w:val="00DD72CB"/>
    <w:rsid w:val="00DD72F0"/>
    <w:rsid w:val="00DD7431"/>
    <w:rsid w:val="00DD75CC"/>
    <w:rsid w:val="00DD77E3"/>
    <w:rsid w:val="00DD7A6F"/>
    <w:rsid w:val="00DD7B09"/>
    <w:rsid w:val="00DD7B94"/>
    <w:rsid w:val="00DD7E11"/>
    <w:rsid w:val="00DD7EF6"/>
    <w:rsid w:val="00DE0311"/>
    <w:rsid w:val="00DE03C3"/>
    <w:rsid w:val="00DE0554"/>
    <w:rsid w:val="00DE0672"/>
    <w:rsid w:val="00DE09FD"/>
    <w:rsid w:val="00DE0D07"/>
    <w:rsid w:val="00DE0F0F"/>
    <w:rsid w:val="00DE0F62"/>
    <w:rsid w:val="00DE10D9"/>
    <w:rsid w:val="00DE11C3"/>
    <w:rsid w:val="00DE1255"/>
    <w:rsid w:val="00DE139D"/>
    <w:rsid w:val="00DE1506"/>
    <w:rsid w:val="00DE17E8"/>
    <w:rsid w:val="00DE18D0"/>
    <w:rsid w:val="00DE190E"/>
    <w:rsid w:val="00DE196D"/>
    <w:rsid w:val="00DE1C47"/>
    <w:rsid w:val="00DE1C84"/>
    <w:rsid w:val="00DE1E78"/>
    <w:rsid w:val="00DE1EA6"/>
    <w:rsid w:val="00DE1ED7"/>
    <w:rsid w:val="00DE1F77"/>
    <w:rsid w:val="00DE20F3"/>
    <w:rsid w:val="00DE2178"/>
    <w:rsid w:val="00DE2200"/>
    <w:rsid w:val="00DE23B3"/>
    <w:rsid w:val="00DE24DD"/>
    <w:rsid w:val="00DE2645"/>
    <w:rsid w:val="00DE2791"/>
    <w:rsid w:val="00DE27EA"/>
    <w:rsid w:val="00DE2862"/>
    <w:rsid w:val="00DE297E"/>
    <w:rsid w:val="00DE2B50"/>
    <w:rsid w:val="00DE2B93"/>
    <w:rsid w:val="00DE2D3E"/>
    <w:rsid w:val="00DE301C"/>
    <w:rsid w:val="00DE3197"/>
    <w:rsid w:val="00DE3230"/>
    <w:rsid w:val="00DE32B1"/>
    <w:rsid w:val="00DE32FB"/>
    <w:rsid w:val="00DE390B"/>
    <w:rsid w:val="00DE3958"/>
    <w:rsid w:val="00DE3A13"/>
    <w:rsid w:val="00DE3A7E"/>
    <w:rsid w:val="00DE3D6E"/>
    <w:rsid w:val="00DE3FDD"/>
    <w:rsid w:val="00DE40C1"/>
    <w:rsid w:val="00DE497B"/>
    <w:rsid w:val="00DE4C74"/>
    <w:rsid w:val="00DE4EE7"/>
    <w:rsid w:val="00DE52FF"/>
    <w:rsid w:val="00DE53B2"/>
    <w:rsid w:val="00DE5516"/>
    <w:rsid w:val="00DE5523"/>
    <w:rsid w:val="00DE5608"/>
    <w:rsid w:val="00DE57D8"/>
    <w:rsid w:val="00DE588B"/>
    <w:rsid w:val="00DE5B64"/>
    <w:rsid w:val="00DE5B6C"/>
    <w:rsid w:val="00DE5C17"/>
    <w:rsid w:val="00DE5E66"/>
    <w:rsid w:val="00DE5EBE"/>
    <w:rsid w:val="00DE612F"/>
    <w:rsid w:val="00DE619A"/>
    <w:rsid w:val="00DE625D"/>
    <w:rsid w:val="00DE6878"/>
    <w:rsid w:val="00DE6937"/>
    <w:rsid w:val="00DE6A4C"/>
    <w:rsid w:val="00DE6CC6"/>
    <w:rsid w:val="00DE6F73"/>
    <w:rsid w:val="00DE708D"/>
    <w:rsid w:val="00DE7096"/>
    <w:rsid w:val="00DE7154"/>
    <w:rsid w:val="00DE724E"/>
    <w:rsid w:val="00DE7325"/>
    <w:rsid w:val="00DE7371"/>
    <w:rsid w:val="00DE747A"/>
    <w:rsid w:val="00DE7700"/>
    <w:rsid w:val="00DE782A"/>
    <w:rsid w:val="00DE7975"/>
    <w:rsid w:val="00DE7BDE"/>
    <w:rsid w:val="00DE7DD8"/>
    <w:rsid w:val="00DE7FFB"/>
    <w:rsid w:val="00DF00D9"/>
    <w:rsid w:val="00DF02C7"/>
    <w:rsid w:val="00DF06C1"/>
    <w:rsid w:val="00DF090D"/>
    <w:rsid w:val="00DF095D"/>
    <w:rsid w:val="00DF0FB2"/>
    <w:rsid w:val="00DF1069"/>
    <w:rsid w:val="00DF10A1"/>
    <w:rsid w:val="00DF10BD"/>
    <w:rsid w:val="00DF12FE"/>
    <w:rsid w:val="00DF1384"/>
    <w:rsid w:val="00DF1643"/>
    <w:rsid w:val="00DF1A1E"/>
    <w:rsid w:val="00DF1E69"/>
    <w:rsid w:val="00DF1FF3"/>
    <w:rsid w:val="00DF21FA"/>
    <w:rsid w:val="00DF259B"/>
    <w:rsid w:val="00DF29A3"/>
    <w:rsid w:val="00DF2B0A"/>
    <w:rsid w:val="00DF2DA3"/>
    <w:rsid w:val="00DF30A7"/>
    <w:rsid w:val="00DF310B"/>
    <w:rsid w:val="00DF31B8"/>
    <w:rsid w:val="00DF31C9"/>
    <w:rsid w:val="00DF325F"/>
    <w:rsid w:val="00DF335A"/>
    <w:rsid w:val="00DF3367"/>
    <w:rsid w:val="00DF336C"/>
    <w:rsid w:val="00DF33DC"/>
    <w:rsid w:val="00DF35C7"/>
    <w:rsid w:val="00DF3600"/>
    <w:rsid w:val="00DF3821"/>
    <w:rsid w:val="00DF397A"/>
    <w:rsid w:val="00DF39A7"/>
    <w:rsid w:val="00DF3A8E"/>
    <w:rsid w:val="00DF3E4D"/>
    <w:rsid w:val="00DF3FB7"/>
    <w:rsid w:val="00DF4087"/>
    <w:rsid w:val="00DF4174"/>
    <w:rsid w:val="00DF41C4"/>
    <w:rsid w:val="00DF4375"/>
    <w:rsid w:val="00DF46B8"/>
    <w:rsid w:val="00DF48A8"/>
    <w:rsid w:val="00DF4C9B"/>
    <w:rsid w:val="00DF5293"/>
    <w:rsid w:val="00DF551B"/>
    <w:rsid w:val="00DF56B5"/>
    <w:rsid w:val="00DF5700"/>
    <w:rsid w:val="00DF5AFF"/>
    <w:rsid w:val="00DF5C45"/>
    <w:rsid w:val="00DF5C55"/>
    <w:rsid w:val="00DF5D53"/>
    <w:rsid w:val="00DF604A"/>
    <w:rsid w:val="00DF623A"/>
    <w:rsid w:val="00DF62E4"/>
    <w:rsid w:val="00DF63EC"/>
    <w:rsid w:val="00DF684F"/>
    <w:rsid w:val="00DF68F6"/>
    <w:rsid w:val="00DF68FC"/>
    <w:rsid w:val="00DF69BC"/>
    <w:rsid w:val="00DF6A2E"/>
    <w:rsid w:val="00DF6A89"/>
    <w:rsid w:val="00DF6B9B"/>
    <w:rsid w:val="00DF6C56"/>
    <w:rsid w:val="00DF6F67"/>
    <w:rsid w:val="00DF7363"/>
    <w:rsid w:val="00DF7404"/>
    <w:rsid w:val="00DF742B"/>
    <w:rsid w:val="00DF7486"/>
    <w:rsid w:val="00DF7596"/>
    <w:rsid w:val="00DF75D3"/>
    <w:rsid w:val="00DF7767"/>
    <w:rsid w:val="00DF7A66"/>
    <w:rsid w:val="00DF7C01"/>
    <w:rsid w:val="00DF7E94"/>
    <w:rsid w:val="00E00068"/>
    <w:rsid w:val="00E00080"/>
    <w:rsid w:val="00E00081"/>
    <w:rsid w:val="00E001D3"/>
    <w:rsid w:val="00E00389"/>
    <w:rsid w:val="00E004BC"/>
    <w:rsid w:val="00E00746"/>
    <w:rsid w:val="00E00973"/>
    <w:rsid w:val="00E00BDE"/>
    <w:rsid w:val="00E00CB8"/>
    <w:rsid w:val="00E00D9D"/>
    <w:rsid w:val="00E01182"/>
    <w:rsid w:val="00E011FF"/>
    <w:rsid w:val="00E01216"/>
    <w:rsid w:val="00E0142C"/>
    <w:rsid w:val="00E015F7"/>
    <w:rsid w:val="00E016ED"/>
    <w:rsid w:val="00E0170D"/>
    <w:rsid w:val="00E01893"/>
    <w:rsid w:val="00E01A0E"/>
    <w:rsid w:val="00E01CA3"/>
    <w:rsid w:val="00E01F53"/>
    <w:rsid w:val="00E0216C"/>
    <w:rsid w:val="00E024C3"/>
    <w:rsid w:val="00E024CE"/>
    <w:rsid w:val="00E026DC"/>
    <w:rsid w:val="00E0280B"/>
    <w:rsid w:val="00E02847"/>
    <w:rsid w:val="00E028D4"/>
    <w:rsid w:val="00E029B1"/>
    <w:rsid w:val="00E029F5"/>
    <w:rsid w:val="00E02CED"/>
    <w:rsid w:val="00E02E71"/>
    <w:rsid w:val="00E03020"/>
    <w:rsid w:val="00E03032"/>
    <w:rsid w:val="00E031D3"/>
    <w:rsid w:val="00E039FD"/>
    <w:rsid w:val="00E03A61"/>
    <w:rsid w:val="00E03B64"/>
    <w:rsid w:val="00E03D17"/>
    <w:rsid w:val="00E03EA6"/>
    <w:rsid w:val="00E0423B"/>
    <w:rsid w:val="00E042D9"/>
    <w:rsid w:val="00E044F1"/>
    <w:rsid w:val="00E04AEA"/>
    <w:rsid w:val="00E04BFB"/>
    <w:rsid w:val="00E04ECE"/>
    <w:rsid w:val="00E05118"/>
    <w:rsid w:val="00E05212"/>
    <w:rsid w:val="00E052E8"/>
    <w:rsid w:val="00E053B9"/>
    <w:rsid w:val="00E055FC"/>
    <w:rsid w:val="00E05E70"/>
    <w:rsid w:val="00E062D1"/>
    <w:rsid w:val="00E062E6"/>
    <w:rsid w:val="00E064D6"/>
    <w:rsid w:val="00E0655E"/>
    <w:rsid w:val="00E06606"/>
    <w:rsid w:val="00E06684"/>
    <w:rsid w:val="00E0671F"/>
    <w:rsid w:val="00E06B10"/>
    <w:rsid w:val="00E06CAF"/>
    <w:rsid w:val="00E06E11"/>
    <w:rsid w:val="00E06ED3"/>
    <w:rsid w:val="00E06F4F"/>
    <w:rsid w:val="00E070CB"/>
    <w:rsid w:val="00E075C9"/>
    <w:rsid w:val="00E07651"/>
    <w:rsid w:val="00E07955"/>
    <w:rsid w:val="00E07A67"/>
    <w:rsid w:val="00E07C2B"/>
    <w:rsid w:val="00E07CEB"/>
    <w:rsid w:val="00E07D19"/>
    <w:rsid w:val="00E07D65"/>
    <w:rsid w:val="00E07DF1"/>
    <w:rsid w:val="00E07E38"/>
    <w:rsid w:val="00E07F24"/>
    <w:rsid w:val="00E07FD8"/>
    <w:rsid w:val="00E100AB"/>
    <w:rsid w:val="00E1056B"/>
    <w:rsid w:val="00E106FB"/>
    <w:rsid w:val="00E107B5"/>
    <w:rsid w:val="00E10852"/>
    <w:rsid w:val="00E10CC1"/>
    <w:rsid w:val="00E10E88"/>
    <w:rsid w:val="00E10EB8"/>
    <w:rsid w:val="00E10F6A"/>
    <w:rsid w:val="00E11084"/>
    <w:rsid w:val="00E11217"/>
    <w:rsid w:val="00E1164E"/>
    <w:rsid w:val="00E118F4"/>
    <w:rsid w:val="00E11A6E"/>
    <w:rsid w:val="00E11AC0"/>
    <w:rsid w:val="00E11CD5"/>
    <w:rsid w:val="00E11D46"/>
    <w:rsid w:val="00E11D68"/>
    <w:rsid w:val="00E122AC"/>
    <w:rsid w:val="00E125CC"/>
    <w:rsid w:val="00E1281B"/>
    <w:rsid w:val="00E12BA9"/>
    <w:rsid w:val="00E12E4A"/>
    <w:rsid w:val="00E12EBF"/>
    <w:rsid w:val="00E132B2"/>
    <w:rsid w:val="00E135D7"/>
    <w:rsid w:val="00E13678"/>
    <w:rsid w:val="00E13814"/>
    <w:rsid w:val="00E13C7D"/>
    <w:rsid w:val="00E13E94"/>
    <w:rsid w:val="00E13F8F"/>
    <w:rsid w:val="00E13FC1"/>
    <w:rsid w:val="00E14131"/>
    <w:rsid w:val="00E141E7"/>
    <w:rsid w:val="00E14317"/>
    <w:rsid w:val="00E1461B"/>
    <w:rsid w:val="00E14B8B"/>
    <w:rsid w:val="00E14BC0"/>
    <w:rsid w:val="00E14BD1"/>
    <w:rsid w:val="00E14EAE"/>
    <w:rsid w:val="00E14F55"/>
    <w:rsid w:val="00E14F61"/>
    <w:rsid w:val="00E150D1"/>
    <w:rsid w:val="00E151D6"/>
    <w:rsid w:val="00E154B8"/>
    <w:rsid w:val="00E15648"/>
    <w:rsid w:val="00E157B6"/>
    <w:rsid w:val="00E1585C"/>
    <w:rsid w:val="00E15899"/>
    <w:rsid w:val="00E15B71"/>
    <w:rsid w:val="00E15E7A"/>
    <w:rsid w:val="00E15EDD"/>
    <w:rsid w:val="00E1609D"/>
    <w:rsid w:val="00E161AF"/>
    <w:rsid w:val="00E163A0"/>
    <w:rsid w:val="00E163AB"/>
    <w:rsid w:val="00E16406"/>
    <w:rsid w:val="00E1660C"/>
    <w:rsid w:val="00E1683E"/>
    <w:rsid w:val="00E1686A"/>
    <w:rsid w:val="00E16B11"/>
    <w:rsid w:val="00E16BC8"/>
    <w:rsid w:val="00E17012"/>
    <w:rsid w:val="00E17378"/>
    <w:rsid w:val="00E176AB"/>
    <w:rsid w:val="00E1775A"/>
    <w:rsid w:val="00E17919"/>
    <w:rsid w:val="00E17ABE"/>
    <w:rsid w:val="00E17B33"/>
    <w:rsid w:val="00E17BA9"/>
    <w:rsid w:val="00E17C07"/>
    <w:rsid w:val="00E17CD8"/>
    <w:rsid w:val="00E17D84"/>
    <w:rsid w:val="00E17E7E"/>
    <w:rsid w:val="00E20084"/>
    <w:rsid w:val="00E2036D"/>
    <w:rsid w:val="00E2038C"/>
    <w:rsid w:val="00E20568"/>
    <w:rsid w:val="00E2083F"/>
    <w:rsid w:val="00E20B9F"/>
    <w:rsid w:val="00E20ED8"/>
    <w:rsid w:val="00E21170"/>
    <w:rsid w:val="00E211A1"/>
    <w:rsid w:val="00E211D4"/>
    <w:rsid w:val="00E211FA"/>
    <w:rsid w:val="00E212EF"/>
    <w:rsid w:val="00E213AD"/>
    <w:rsid w:val="00E21407"/>
    <w:rsid w:val="00E2158B"/>
    <w:rsid w:val="00E2161E"/>
    <w:rsid w:val="00E21CFB"/>
    <w:rsid w:val="00E21D06"/>
    <w:rsid w:val="00E2211B"/>
    <w:rsid w:val="00E2213D"/>
    <w:rsid w:val="00E2215B"/>
    <w:rsid w:val="00E22211"/>
    <w:rsid w:val="00E222D3"/>
    <w:rsid w:val="00E2232F"/>
    <w:rsid w:val="00E2255D"/>
    <w:rsid w:val="00E226C6"/>
    <w:rsid w:val="00E229E7"/>
    <w:rsid w:val="00E22C3B"/>
    <w:rsid w:val="00E22E17"/>
    <w:rsid w:val="00E22E5B"/>
    <w:rsid w:val="00E22FFF"/>
    <w:rsid w:val="00E23103"/>
    <w:rsid w:val="00E231BC"/>
    <w:rsid w:val="00E233D1"/>
    <w:rsid w:val="00E23767"/>
    <w:rsid w:val="00E238D6"/>
    <w:rsid w:val="00E239EF"/>
    <w:rsid w:val="00E23AC1"/>
    <w:rsid w:val="00E23EAB"/>
    <w:rsid w:val="00E23F08"/>
    <w:rsid w:val="00E24141"/>
    <w:rsid w:val="00E24597"/>
    <w:rsid w:val="00E24773"/>
    <w:rsid w:val="00E2494E"/>
    <w:rsid w:val="00E24C63"/>
    <w:rsid w:val="00E25148"/>
    <w:rsid w:val="00E252A9"/>
    <w:rsid w:val="00E25422"/>
    <w:rsid w:val="00E2558F"/>
    <w:rsid w:val="00E25A5E"/>
    <w:rsid w:val="00E25EAC"/>
    <w:rsid w:val="00E25FC3"/>
    <w:rsid w:val="00E26032"/>
    <w:rsid w:val="00E260D9"/>
    <w:rsid w:val="00E2624B"/>
    <w:rsid w:val="00E2633F"/>
    <w:rsid w:val="00E26413"/>
    <w:rsid w:val="00E265F9"/>
    <w:rsid w:val="00E2669E"/>
    <w:rsid w:val="00E2670F"/>
    <w:rsid w:val="00E26B32"/>
    <w:rsid w:val="00E26B70"/>
    <w:rsid w:val="00E26C77"/>
    <w:rsid w:val="00E26DB2"/>
    <w:rsid w:val="00E26F2F"/>
    <w:rsid w:val="00E27120"/>
    <w:rsid w:val="00E2718C"/>
    <w:rsid w:val="00E273F7"/>
    <w:rsid w:val="00E2744F"/>
    <w:rsid w:val="00E274AA"/>
    <w:rsid w:val="00E27619"/>
    <w:rsid w:val="00E27AAE"/>
    <w:rsid w:val="00E27BA7"/>
    <w:rsid w:val="00E3007C"/>
    <w:rsid w:val="00E300ED"/>
    <w:rsid w:val="00E3029D"/>
    <w:rsid w:val="00E30A0C"/>
    <w:rsid w:val="00E30CDC"/>
    <w:rsid w:val="00E30D40"/>
    <w:rsid w:val="00E30EF9"/>
    <w:rsid w:val="00E310B4"/>
    <w:rsid w:val="00E3130F"/>
    <w:rsid w:val="00E313D7"/>
    <w:rsid w:val="00E314FC"/>
    <w:rsid w:val="00E315BB"/>
    <w:rsid w:val="00E315F3"/>
    <w:rsid w:val="00E3162C"/>
    <w:rsid w:val="00E3162F"/>
    <w:rsid w:val="00E3167D"/>
    <w:rsid w:val="00E31A28"/>
    <w:rsid w:val="00E31D07"/>
    <w:rsid w:val="00E31DF2"/>
    <w:rsid w:val="00E31F31"/>
    <w:rsid w:val="00E321B7"/>
    <w:rsid w:val="00E3231B"/>
    <w:rsid w:val="00E32D88"/>
    <w:rsid w:val="00E32DB1"/>
    <w:rsid w:val="00E33555"/>
    <w:rsid w:val="00E3360D"/>
    <w:rsid w:val="00E3383C"/>
    <w:rsid w:val="00E33A12"/>
    <w:rsid w:val="00E33B0D"/>
    <w:rsid w:val="00E33BFE"/>
    <w:rsid w:val="00E33C87"/>
    <w:rsid w:val="00E33DC3"/>
    <w:rsid w:val="00E33F08"/>
    <w:rsid w:val="00E34072"/>
    <w:rsid w:val="00E34306"/>
    <w:rsid w:val="00E34368"/>
    <w:rsid w:val="00E34537"/>
    <w:rsid w:val="00E345F6"/>
    <w:rsid w:val="00E34619"/>
    <w:rsid w:val="00E34AE7"/>
    <w:rsid w:val="00E34B75"/>
    <w:rsid w:val="00E34C7F"/>
    <w:rsid w:val="00E34D13"/>
    <w:rsid w:val="00E34D70"/>
    <w:rsid w:val="00E34E98"/>
    <w:rsid w:val="00E35052"/>
    <w:rsid w:val="00E35158"/>
    <w:rsid w:val="00E35250"/>
    <w:rsid w:val="00E353DA"/>
    <w:rsid w:val="00E3554C"/>
    <w:rsid w:val="00E357B5"/>
    <w:rsid w:val="00E358AC"/>
    <w:rsid w:val="00E35A83"/>
    <w:rsid w:val="00E35BB8"/>
    <w:rsid w:val="00E35BFD"/>
    <w:rsid w:val="00E35C73"/>
    <w:rsid w:val="00E35D14"/>
    <w:rsid w:val="00E35F1A"/>
    <w:rsid w:val="00E35FAE"/>
    <w:rsid w:val="00E36099"/>
    <w:rsid w:val="00E36121"/>
    <w:rsid w:val="00E363D2"/>
    <w:rsid w:val="00E36930"/>
    <w:rsid w:val="00E36C37"/>
    <w:rsid w:val="00E36CCF"/>
    <w:rsid w:val="00E36D71"/>
    <w:rsid w:val="00E36F62"/>
    <w:rsid w:val="00E37188"/>
    <w:rsid w:val="00E372D5"/>
    <w:rsid w:val="00E3766B"/>
    <w:rsid w:val="00E37866"/>
    <w:rsid w:val="00E37948"/>
    <w:rsid w:val="00E37A47"/>
    <w:rsid w:val="00E37B6A"/>
    <w:rsid w:val="00E37BC4"/>
    <w:rsid w:val="00E37C8E"/>
    <w:rsid w:val="00E37D25"/>
    <w:rsid w:val="00E402C5"/>
    <w:rsid w:val="00E40309"/>
    <w:rsid w:val="00E40489"/>
    <w:rsid w:val="00E4053E"/>
    <w:rsid w:val="00E406A5"/>
    <w:rsid w:val="00E40820"/>
    <w:rsid w:val="00E40AF1"/>
    <w:rsid w:val="00E40D1F"/>
    <w:rsid w:val="00E40D96"/>
    <w:rsid w:val="00E40F6C"/>
    <w:rsid w:val="00E41049"/>
    <w:rsid w:val="00E41084"/>
    <w:rsid w:val="00E410C0"/>
    <w:rsid w:val="00E41202"/>
    <w:rsid w:val="00E4166F"/>
    <w:rsid w:val="00E419F3"/>
    <w:rsid w:val="00E41A93"/>
    <w:rsid w:val="00E41B6C"/>
    <w:rsid w:val="00E41B89"/>
    <w:rsid w:val="00E41CAB"/>
    <w:rsid w:val="00E41DF3"/>
    <w:rsid w:val="00E41E7F"/>
    <w:rsid w:val="00E41EB8"/>
    <w:rsid w:val="00E42004"/>
    <w:rsid w:val="00E42160"/>
    <w:rsid w:val="00E4219F"/>
    <w:rsid w:val="00E42291"/>
    <w:rsid w:val="00E423A9"/>
    <w:rsid w:val="00E42515"/>
    <w:rsid w:val="00E4252E"/>
    <w:rsid w:val="00E42530"/>
    <w:rsid w:val="00E426B0"/>
    <w:rsid w:val="00E426E3"/>
    <w:rsid w:val="00E42755"/>
    <w:rsid w:val="00E428A1"/>
    <w:rsid w:val="00E42CF4"/>
    <w:rsid w:val="00E43185"/>
    <w:rsid w:val="00E433E9"/>
    <w:rsid w:val="00E43525"/>
    <w:rsid w:val="00E43597"/>
    <w:rsid w:val="00E436AC"/>
    <w:rsid w:val="00E43765"/>
    <w:rsid w:val="00E4391B"/>
    <w:rsid w:val="00E43AB3"/>
    <w:rsid w:val="00E43C6A"/>
    <w:rsid w:val="00E43DC7"/>
    <w:rsid w:val="00E43E32"/>
    <w:rsid w:val="00E43E59"/>
    <w:rsid w:val="00E44068"/>
    <w:rsid w:val="00E44070"/>
    <w:rsid w:val="00E442B4"/>
    <w:rsid w:val="00E4448B"/>
    <w:rsid w:val="00E44491"/>
    <w:rsid w:val="00E445AB"/>
    <w:rsid w:val="00E4468C"/>
    <w:rsid w:val="00E446ED"/>
    <w:rsid w:val="00E44809"/>
    <w:rsid w:val="00E44A53"/>
    <w:rsid w:val="00E44BB1"/>
    <w:rsid w:val="00E44BD2"/>
    <w:rsid w:val="00E44E7A"/>
    <w:rsid w:val="00E45157"/>
    <w:rsid w:val="00E45207"/>
    <w:rsid w:val="00E454A1"/>
    <w:rsid w:val="00E454F5"/>
    <w:rsid w:val="00E45509"/>
    <w:rsid w:val="00E45554"/>
    <w:rsid w:val="00E457BC"/>
    <w:rsid w:val="00E4608B"/>
    <w:rsid w:val="00E46211"/>
    <w:rsid w:val="00E46311"/>
    <w:rsid w:val="00E463A9"/>
    <w:rsid w:val="00E4651C"/>
    <w:rsid w:val="00E469D0"/>
    <w:rsid w:val="00E46A5A"/>
    <w:rsid w:val="00E46F64"/>
    <w:rsid w:val="00E4702B"/>
    <w:rsid w:val="00E47C05"/>
    <w:rsid w:val="00E47E39"/>
    <w:rsid w:val="00E47F48"/>
    <w:rsid w:val="00E50071"/>
    <w:rsid w:val="00E50121"/>
    <w:rsid w:val="00E5019F"/>
    <w:rsid w:val="00E501D8"/>
    <w:rsid w:val="00E504E5"/>
    <w:rsid w:val="00E5080D"/>
    <w:rsid w:val="00E50871"/>
    <w:rsid w:val="00E50B84"/>
    <w:rsid w:val="00E50CCA"/>
    <w:rsid w:val="00E50DF8"/>
    <w:rsid w:val="00E510F9"/>
    <w:rsid w:val="00E511DA"/>
    <w:rsid w:val="00E51406"/>
    <w:rsid w:val="00E514D3"/>
    <w:rsid w:val="00E51570"/>
    <w:rsid w:val="00E515E7"/>
    <w:rsid w:val="00E516D1"/>
    <w:rsid w:val="00E5179A"/>
    <w:rsid w:val="00E517DD"/>
    <w:rsid w:val="00E51817"/>
    <w:rsid w:val="00E51B59"/>
    <w:rsid w:val="00E51BED"/>
    <w:rsid w:val="00E51CBC"/>
    <w:rsid w:val="00E51EB5"/>
    <w:rsid w:val="00E525C7"/>
    <w:rsid w:val="00E527DE"/>
    <w:rsid w:val="00E52923"/>
    <w:rsid w:val="00E52B84"/>
    <w:rsid w:val="00E52C44"/>
    <w:rsid w:val="00E52E45"/>
    <w:rsid w:val="00E52F58"/>
    <w:rsid w:val="00E52F8F"/>
    <w:rsid w:val="00E531EE"/>
    <w:rsid w:val="00E532C0"/>
    <w:rsid w:val="00E5387E"/>
    <w:rsid w:val="00E539FB"/>
    <w:rsid w:val="00E53A24"/>
    <w:rsid w:val="00E53AE0"/>
    <w:rsid w:val="00E53B49"/>
    <w:rsid w:val="00E53BF2"/>
    <w:rsid w:val="00E53C86"/>
    <w:rsid w:val="00E53F75"/>
    <w:rsid w:val="00E540D4"/>
    <w:rsid w:val="00E54178"/>
    <w:rsid w:val="00E541C1"/>
    <w:rsid w:val="00E5439C"/>
    <w:rsid w:val="00E543E9"/>
    <w:rsid w:val="00E54B02"/>
    <w:rsid w:val="00E54D58"/>
    <w:rsid w:val="00E552A7"/>
    <w:rsid w:val="00E553BC"/>
    <w:rsid w:val="00E553C9"/>
    <w:rsid w:val="00E55654"/>
    <w:rsid w:val="00E556A3"/>
    <w:rsid w:val="00E55756"/>
    <w:rsid w:val="00E55AD4"/>
    <w:rsid w:val="00E55ADC"/>
    <w:rsid w:val="00E55C11"/>
    <w:rsid w:val="00E55FD8"/>
    <w:rsid w:val="00E5624C"/>
    <w:rsid w:val="00E56311"/>
    <w:rsid w:val="00E56418"/>
    <w:rsid w:val="00E56454"/>
    <w:rsid w:val="00E56678"/>
    <w:rsid w:val="00E56682"/>
    <w:rsid w:val="00E568AE"/>
    <w:rsid w:val="00E56A17"/>
    <w:rsid w:val="00E56C68"/>
    <w:rsid w:val="00E56DF6"/>
    <w:rsid w:val="00E56E31"/>
    <w:rsid w:val="00E56E9F"/>
    <w:rsid w:val="00E57098"/>
    <w:rsid w:val="00E570F1"/>
    <w:rsid w:val="00E57290"/>
    <w:rsid w:val="00E5741B"/>
    <w:rsid w:val="00E574AD"/>
    <w:rsid w:val="00E5761E"/>
    <w:rsid w:val="00E57BB5"/>
    <w:rsid w:val="00E57EB2"/>
    <w:rsid w:val="00E60146"/>
    <w:rsid w:val="00E60470"/>
    <w:rsid w:val="00E60644"/>
    <w:rsid w:val="00E606B1"/>
    <w:rsid w:val="00E6078B"/>
    <w:rsid w:val="00E608B2"/>
    <w:rsid w:val="00E60D44"/>
    <w:rsid w:val="00E60FA8"/>
    <w:rsid w:val="00E6100A"/>
    <w:rsid w:val="00E614EE"/>
    <w:rsid w:val="00E61686"/>
    <w:rsid w:val="00E61A52"/>
    <w:rsid w:val="00E61BD9"/>
    <w:rsid w:val="00E61C38"/>
    <w:rsid w:val="00E61D19"/>
    <w:rsid w:val="00E61F92"/>
    <w:rsid w:val="00E62344"/>
    <w:rsid w:val="00E62523"/>
    <w:rsid w:val="00E628B2"/>
    <w:rsid w:val="00E62B83"/>
    <w:rsid w:val="00E62C88"/>
    <w:rsid w:val="00E62DDF"/>
    <w:rsid w:val="00E62EBE"/>
    <w:rsid w:val="00E62F13"/>
    <w:rsid w:val="00E62F3D"/>
    <w:rsid w:val="00E63649"/>
    <w:rsid w:val="00E63698"/>
    <w:rsid w:val="00E639AC"/>
    <w:rsid w:val="00E639D8"/>
    <w:rsid w:val="00E63BB9"/>
    <w:rsid w:val="00E6403D"/>
    <w:rsid w:val="00E64464"/>
    <w:rsid w:val="00E64529"/>
    <w:rsid w:val="00E645AF"/>
    <w:rsid w:val="00E64851"/>
    <w:rsid w:val="00E64DC9"/>
    <w:rsid w:val="00E6524A"/>
    <w:rsid w:val="00E65558"/>
    <w:rsid w:val="00E655DD"/>
    <w:rsid w:val="00E65812"/>
    <w:rsid w:val="00E65AD8"/>
    <w:rsid w:val="00E65F14"/>
    <w:rsid w:val="00E65F1A"/>
    <w:rsid w:val="00E65F1E"/>
    <w:rsid w:val="00E65F2D"/>
    <w:rsid w:val="00E6619F"/>
    <w:rsid w:val="00E66264"/>
    <w:rsid w:val="00E66291"/>
    <w:rsid w:val="00E66334"/>
    <w:rsid w:val="00E66517"/>
    <w:rsid w:val="00E6659B"/>
    <w:rsid w:val="00E665D7"/>
    <w:rsid w:val="00E66626"/>
    <w:rsid w:val="00E6683C"/>
    <w:rsid w:val="00E66894"/>
    <w:rsid w:val="00E66A34"/>
    <w:rsid w:val="00E66CE4"/>
    <w:rsid w:val="00E66D42"/>
    <w:rsid w:val="00E66E82"/>
    <w:rsid w:val="00E66F17"/>
    <w:rsid w:val="00E6718B"/>
    <w:rsid w:val="00E6720A"/>
    <w:rsid w:val="00E675DB"/>
    <w:rsid w:val="00E676FD"/>
    <w:rsid w:val="00E678FF"/>
    <w:rsid w:val="00E67959"/>
    <w:rsid w:val="00E67A29"/>
    <w:rsid w:val="00E67B44"/>
    <w:rsid w:val="00E67BFC"/>
    <w:rsid w:val="00E67EC8"/>
    <w:rsid w:val="00E67EE2"/>
    <w:rsid w:val="00E67FF8"/>
    <w:rsid w:val="00E701F1"/>
    <w:rsid w:val="00E70327"/>
    <w:rsid w:val="00E7040E"/>
    <w:rsid w:val="00E7049D"/>
    <w:rsid w:val="00E704D4"/>
    <w:rsid w:val="00E706A1"/>
    <w:rsid w:val="00E70902"/>
    <w:rsid w:val="00E70958"/>
    <w:rsid w:val="00E70983"/>
    <w:rsid w:val="00E709B0"/>
    <w:rsid w:val="00E709FC"/>
    <w:rsid w:val="00E70C27"/>
    <w:rsid w:val="00E70D2E"/>
    <w:rsid w:val="00E70E5A"/>
    <w:rsid w:val="00E70F06"/>
    <w:rsid w:val="00E71064"/>
    <w:rsid w:val="00E7128F"/>
    <w:rsid w:val="00E713EB"/>
    <w:rsid w:val="00E715A7"/>
    <w:rsid w:val="00E716CE"/>
    <w:rsid w:val="00E71728"/>
    <w:rsid w:val="00E71930"/>
    <w:rsid w:val="00E71A6E"/>
    <w:rsid w:val="00E71C73"/>
    <w:rsid w:val="00E71EF4"/>
    <w:rsid w:val="00E7222F"/>
    <w:rsid w:val="00E722BE"/>
    <w:rsid w:val="00E72371"/>
    <w:rsid w:val="00E72644"/>
    <w:rsid w:val="00E72877"/>
    <w:rsid w:val="00E72B58"/>
    <w:rsid w:val="00E72C13"/>
    <w:rsid w:val="00E72C34"/>
    <w:rsid w:val="00E72FDA"/>
    <w:rsid w:val="00E730BB"/>
    <w:rsid w:val="00E7310D"/>
    <w:rsid w:val="00E7320F"/>
    <w:rsid w:val="00E7346A"/>
    <w:rsid w:val="00E7377D"/>
    <w:rsid w:val="00E73A29"/>
    <w:rsid w:val="00E73A4A"/>
    <w:rsid w:val="00E73A9C"/>
    <w:rsid w:val="00E73BA5"/>
    <w:rsid w:val="00E73C14"/>
    <w:rsid w:val="00E73F18"/>
    <w:rsid w:val="00E73F3B"/>
    <w:rsid w:val="00E7402D"/>
    <w:rsid w:val="00E741A1"/>
    <w:rsid w:val="00E741A8"/>
    <w:rsid w:val="00E741C6"/>
    <w:rsid w:val="00E743CB"/>
    <w:rsid w:val="00E745C6"/>
    <w:rsid w:val="00E749A6"/>
    <w:rsid w:val="00E74BC8"/>
    <w:rsid w:val="00E74BEC"/>
    <w:rsid w:val="00E74D23"/>
    <w:rsid w:val="00E74FC0"/>
    <w:rsid w:val="00E751C3"/>
    <w:rsid w:val="00E7559C"/>
    <w:rsid w:val="00E75602"/>
    <w:rsid w:val="00E75A2D"/>
    <w:rsid w:val="00E75A5C"/>
    <w:rsid w:val="00E75B9F"/>
    <w:rsid w:val="00E75C4E"/>
    <w:rsid w:val="00E75FB6"/>
    <w:rsid w:val="00E762FC"/>
    <w:rsid w:val="00E76300"/>
    <w:rsid w:val="00E764EB"/>
    <w:rsid w:val="00E7666A"/>
    <w:rsid w:val="00E76C3D"/>
    <w:rsid w:val="00E76C72"/>
    <w:rsid w:val="00E76FAA"/>
    <w:rsid w:val="00E772D3"/>
    <w:rsid w:val="00E77337"/>
    <w:rsid w:val="00E7752B"/>
    <w:rsid w:val="00E77584"/>
    <w:rsid w:val="00E7761B"/>
    <w:rsid w:val="00E776ED"/>
    <w:rsid w:val="00E77711"/>
    <w:rsid w:val="00E77975"/>
    <w:rsid w:val="00E77BCB"/>
    <w:rsid w:val="00E77BE8"/>
    <w:rsid w:val="00E77C5A"/>
    <w:rsid w:val="00E77D3D"/>
    <w:rsid w:val="00E77E0E"/>
    <w:rsid w:val="00E77F78"/>
    <w:rsid w:val="00E80025"/>
    <w:rsid w:val="00E80076"/>
    <w:rsid w:val="00E804B6"/>
    <w:rsid w:val="00E805DF"/>
    <w:rsid w:val="00E80627"/>
    <w:rsid w:val="00E80792"/>
    <w:rsid w:val="00E807C1"/>
    <w:rsid w:val="00E80846"/>
    <w:rsid w:val="00E80968"/>
    <w:rsid w:val="00E809CB"/>
    <w:rsid w:val="00E809F2"/>
    <w:rsid w:val="00E80ACF"/>
    <w:rsid w:val="00E80AEA"/>
    <w:rsid w:val="00E80B10"/>
    <w:rsid w:val="00E80E45"/>
    <w:rsid w:val="00E80EB1"/>
    <w:rsid w:val="00E80F1F"/>
    <w:rsid w:val="00E81045"/>
    <w:rsid w:val="00E8107A"/>
    <w:rsid w:val="00E81380"/>
    <w:rsid w:val="00E81997"/>
    <w:rsid w:val="00E819EA"/>
    <w:rsid w:val="00E81A10"/>
    <w:rsid w:val="00E81AA5"/>
    <w:rsid w:val="00E820FA"/>
    <w:rsid w:val="00E82277"/>
    <w:rsid w:val="00E824A1"/>
    <w:rsid w:val="00E824E1"/>
    <w:rsid w:val="00E82542"/>
    <w:rsid w:val="00E827B1"/>
    <w:rsid w:val="00E82B8A"/>
    <w:rsid w:val="00E82C09"/>
    <w:rsid w:val="00E82D8B"/>
    <w:rsid w:val="00E82DCC"/>
    <w:rsid w:val="00E82DD3"/>
    <w:rsid w:val="00E82F09"/>
    <w:rsid w:val="00E830B1"/>
    <w:rsid w:val="00E83178"/>
    <w:rsid w:val="00E832D9"/>
    <w:rsid w:val="00E8370F"/>
    <w:rsid w:val="00E83715"/>
    <w:rsid w:val="00E83A60"/>
    <w:rsid w:val="00E83A6B"/>
    <w:rsid w:val="00E83A78"/>
    <w:rsid w:val="00E83D96"/>
    <w:rsid w:val="00E84572"/>
    <w:rsid w:val="00E84761"/>
    <w:rsid w:val="00E848A5"/>
    <w:rsid w:val="00E84AB4"/>
    <w:rsid w:val="00E84BB4"/>
    <w:rsid w:val="00E84D90"/>
    <w:rsid w:val="00E85193"/>
    <w:rsid w:val="00E85330"/>
    <w:rsid w:val="00E853B8"/>
    <w:rsid w:val="00E853ED"/>
    <w:rsid w:val="00E85432"/>
    <w:rsid w:val="00E85447"/>
    <w:rsid w:val="00E85589"/>
    <w:rsid w:val="00E85749"/>
    <w:rsid w:val="00E8576B"/>
    <w:rsid w:val="00E8580B"/>
    <w:rsid w:val="00E8585C"/>
    <w:rsid w:val="00E858A8"/>
    <w:rsid w:val="00E85B84"/>
    <w:rsid w:val="00E85CFA"/>
    <w:rsid w:val="00E85D23"/>
    <w:rsid w:val="00E85D9D"/>
    <w:rsid w:val="00E85F1F"/>
    <w:rsid w:val="00E85FCF"/>
    <w:rsid w:val="00E85FDF"/>
    <w:rsid w:val="00E86138"/>
    <w:rsid w:val="00E8621C"/>
    <w:rsid w:val="00E8639F"/>
    <w:rsid w:val="00E8648A"/>
    <w:rsid w:val="00E86611"/>
    <w:rsid w:val="00E8663C"/>
    <w:rsid w:val="00E866A0"/>
    <w:rsid w:val="00E866C2"/>
    <w:rsid w:val="00E86A2D"/>
    <w:rsid w:val="00E86B14"/>
    <w:rsid w:val="00E86EBD"/>
    <w:rsid w:val="00E86F18"/>
    <w:rsid w:val="00E86FF4"/>
    <w:rsid w:val="00E87211"/>
    <w:rsid w:val="00E87380"/>
    <w:rsid w:val="00E874CC"/>
    <w:rsid w:val="00E8792C"/>
    <w:rsid w:val="00E879A9"/>
    <w:rsid w:val="00E87AB3"/>
    <w:rsid w:val="00E87C23"/>
    <w:rsid w:val="00E87C45"/>
    <w:rsid w:val="00E87F68"/>
    <w:rsid w:val="00E90293"/>
    <w:rsid w:val="00E90439"/>
    <w:rsid w:val="00E905B2"/>
    <w:rsid w:val="00E90652"/>
    <w:rsid w:val="00E9073C"/>
    <w:rsid w:val="00E907B4"/>
    <w:rsid w:val="00E9084F"/>
    <w:rsid w:val="00E90D89"/>
    <w:rsid w:val="00E90F6A"/>
    <w:rsid w:val="00E9111A"/>
    <w:rsid w:val="00E9116F"/>
    <w:rsid w:val="00E912E3"/>
    <w:rsid w:val="00E91451"/>
    <w:rsid w:val="00E91471"/>
    <w:rsid w:val="00E91926"/>
    <w:rsid w:val="00E91A9F"/>
    <w:rsid w:val="00E91AE8"/>
    <w:rsid w:val="00E91B2B"/>
    <w:rsid w:val="00E91C9D"/>
    <w:rsid w:val="00E91DC8"/>
    <w:rsid w:val="00E91E38"/>
    <w:rsid w:val="00E91F30"/>
    <w:rsid w:val="00E91FEE"/>
    <w:rsid w:val="00E92164"/>
    <w:rsid w:val="00E92205"/>
    <w:rsid w:val="00E9237A"/>
    <w:rsid w:val="00E9246C"/>
    <w:rsid w:val="00E9260C"/>
    <w:rsid w:val="00E92C6F"/>
    <w:rsid w:val="00E92D37"/>
    <w:rsid w:val="00E92DD5"/>
    <w:rsid w:val="00E92EA5"/>
    <w:rsid w:val="00E92F49"/>
    <w:rsid w:val="00E92FD2"/>
    <w:rsid w:val="00E93047"/>
    <w:rsid w:val="00E93490"/>
    <w:rsid w:val="00E9375A"/>
    <w:rsid w:val="00E9378D"/>
    <w:rsid w:val="00E93A6A"/>
    <w:rsid w:val="00E93AE2"/>
    <w:rsid w:val="00E941B1"/>
    <w:rsid w:val="00E94404"/>
    <w:rsid w:val="00E944A8"/>
    <w:rsid w:val="00E944E7"/>
    <w:rsid w:val="00E9457B"/>
    <w:rsid w:val="00E9461E"/>
    <w:rsid w:val="00E948A8"/>
    <w:rsid w:val="00E948CC"/>
    <w:rsid w:val="00E94C8E"/>
    <w:rsid w:val="00E94CE2"/>
    <w:rsid w:val="00E94CEB"/>
    <w:rsid w:val="00E94EE6"/>
    <w:rsid w:val="00E95009"/>
    <w:rsid w:val="00E952AC"/>
    <w:rsid w:val="00E954C1"/>
    <w:rsid w:val="00E957B0"/>
    <w:rsid w:val="00E958BB"/>
    <w:rsid w:val="00E95CE6"/>
    <w:rsid w:val="00E96240"/>
    <w:rsid w:val="00E96579"/>
    <w:rsid w:val="00E966B3"/>
    <w:rsid w:val="00E9680D"/>
    <w:rsid w:val="00E9685B"/>
    <w:rsid w:val="00E96B2D"/>
    <w:rsid w:val="00E96C75"/>
    <w:rsid w:val="00E96E5D"/>
    <w:rsid w:val="00E96FAF"/>
    <w:rsid w:val="00E9713E"/>
    <w:rsid w:val="00E97266"/>
    <w:rsid w:val="00E97732"/>
    <w:rsid w:val="00E9774E"/>
    <w:rsid w:val="00E9781D"/>
    <w:rsid w:val="00E979A5"/>
    <w:rsid w:val="00E97F49"/>
    <w:rsid w:val="00EA005F"/>
    <w:rsid w:val="00EA070E"/>
    <w:rsid w:val="00EA08CE"/>
    <w:rsid w:val="00EA094D"/>
    <w:rsid w:val="00EA0C12"/>
    <w:rsid w:val="00EA0CAD"/>
    <w:rsid w:val="00EA0CE3"/>
    <w:rsid w:val="00EA12CA"/>
    <w:rsid w:val="00EA145D"/>
    <w:rsid w:val="00EA15C7"/>
    <w:rsid w:val="00EA15EB"/>
    <w:rsid w:val="00EA161F"/>
    <w:rsid w:val="00EA1638"/>
    <w:rsid w:val="00EA19EE"/>
    <w:rsid w:val="00EA19F8"/>
    <w:rsid w:val="00EA1B79"/>
    <w:rsid w:val="00EA1BE7"/>
    <w:rsid w:val="00EA20EA"/>
    <w:rsid w:val="00EA213B"/>
    <w:rsid w:val="00EA215F"/>
    <w:rsid w:val="00EA25FF"/>
    <w:rsid w:val="00EA28FB"/>
    <w:rsid w:val="00EA2B68"/>
    <w:rsid w:val="00EA2E4B"/>
    <w:rsid w:val="00EA32C9"/>
    <w:rsid w:val="00EA32D8"/>
    <w:rsid w:val="00EA33D2"/>
    <w:rsid w:val="00EA356C"/>
    <w:rsid w:val="00EA3789"/>
    <w:rsid w:val="00EA3D41"/>
    <w:rsid w:val="00EA3FF1"/>
    <w:rsid w:val="00EA4140"/>
    <w:rsid w:val="00EA41B0"/>
    <w:rsid w:val="00EA4711"/>
    <w:rsid w:val="00EA4842"/>
    <w:rsid w:val="00EA4C57"/>
    <w:rsid w:val="00EA4E59"/>
    <w:rsid w:val="00EA4FD5"/>
    <w:rsid w:val="00EA5331"/>
    <w:rsid w:val="00EA54FC"/>
    <w:rsid w:val="00EA550E"/>
    <w:rsid w:val="00EA566E"/>
    <w:rsid w:val="00EA59F3"/>
    <w:rsid w:val="00EA5CEB"/>
    <w:rsid w:val="00EA5ED2"/>
    <w:rsid w:val="00EA6392"/>
    <w:rsid w:val="00EA699A"/>
    <w:rsid w:val="00EA69F1"/>
    <w:rsid w:val="00EA6A6A"/>
    <w:rsid w:val="00EA6AA0"/>
    <w:rsid w:val="00EA6ABC"/>
    <w:rsid w:val="00EA6DCF"/>
    <w:rsid w:val="00EA707F"/>
    <w:rsid w:val="00EA70D0"/>
    <w:rsid w:val="00EA7136"/>
    <w:rsid w:val="00EA7244"/>
    <w:rsid w:val="00EA72D4"/>
    <w:rsid w:val="00EA73CA"/>
    <w:rsid w:val="00EA79D5"/>
    <w:rsid w:val="00EA7FB1"/>
    <w:rsid w:val="00EA7FF8"/>
    <w:rsid w:val="00EB0157"/>
    <w:rsid w:val="00EB03CA"/>
    <w:rsid w:val="00EB05F4"/>
    <w:rsid w:val="00EB07F4"/>
    <w:rsid w:val="00EB07F9"/>
    <w:rsid w:val="00EB08D2"/>
    <w:rsid w:val="00EB0980"/>
    <w:rsid w:val="00EB0AA1"/>
    <w:rsid w:val="00EB0B12"/>
    <w:rsid w:val="00EB0E15"/>
    <w:rsid w:val="00EB10B1"/>
    <w:rsid w:val="00EB133C"/>
    <w:rsid w:val="00EB16FB"/>
    <w:rsid w:val="00EB17B3"/>
    <w:rsid w:val="00EB1AD0"/>
    <w:rsid w:val="00EB1E06"/>
    <w:rsid w:val="00EB1F69"/>
    <w:rsid w:val="00EB207F"/>
    <w:rsid w:val="00EB2341"/>
    <w:rsid w:val="00EB25D1"/>
    <w:rsid w:val="00EB27A6"/>
    <w:rsid w:val="00EB289A"/>
    <w:rsid w:val="00EB28EA"/>
    <w:rsid w:val="00EB2A7A"/>
    <w:rsid w:val="00EB2C0A"/>
    <w:rsid w:val="00EB30AC"/>
    <w:rsid w:val="00EB316C"/>
    <w:rsid w:val="00EB3221"/>
    <w:rsid w:val="00EB3267"/>
    <w:rsid w:val="00EB3378"/>
    <w:rsid w:val="00EB34E6"/>
    <w:rsid w:val="00EB3607"/>
    <w:rsid w:val="00EB3A34"/>
    <w:rsid w:val="00EB3BA1"/>
    <w:rsid w:val="00EB3D91"/>
    <w:rsid w:val="00EB4034"/>
    <w:rsid w:val="00EB4241"/>
    <w:rsid w:val="00EB43FC"/>
    <w:rsid w:val="00EB4819"/>
    <w:rsid w:val="00EB490D"/>
    <w:rsid w:val="00EB49F1"/>
    <w:rsid w:val="00EB4FD1"/>
    <w:rsid w:val="00EB50A2"/>
    <w:rsid w:val="00EB5171"/>
    <w:rsid w:val="00EB5320"/>
    <w:rsid w:val="00EB552C"/>
    <w:rsid w:val="00EB5556"/>
    <w:rsid w:val="00EB56EA"/>
    <w:rsid w:val="00EB58B8"/>
    <w:rsid w:val="00EB5B22"/>
    <w:rsid w:val="00EB5BA0"/>
    <w:rsid w:val="00EB5D2E"/>
    <w:rsid w:val="00EB5D65"/>
    <w:rsid w:val="00EB5F56"/>
    <w:rsid w:val="00EB679E"/>
    <w:rsid w:val="00EB6903"/>
    <w:rsid w:val="00EB6A22"/>
    <w:rsid w:val="00EB6B20"/>
    <w:rsid w:val="00EB6B83"/>
    <w:rsid w:val="00EB6C02"/>
    <w:rsid w:val="00EB6CF2"/>
    <w:rsid w:val="00EB6D41"/>
    <w:rsid w:val="00EB6E13"/>
    <w:rsid w:val="00EB6E1D"/>
    <w:rsid w:val="00EB6E95"/>
    <w:rsid w:val="00EB6EC4"/>
    <w:rsid w:val="00EB72AB"/>
    <w:rsid w:val="00EB72ED"/>
    <w:rsid w:val="00EB7326"/>
    <w:rsid w:val="00EB7834"/>
    <w:rsid w:val="00EB79F4"/>
    <w:rsid w:val="00EB7A5A"/>
    <w:rsid w:val="00EB7D54"/>
    <w:rsid w:val="00EC00D4"/>
    <w:rsid w:val="00EC014E"/>
    <w:rsid w:val="00EC0517"/>
    <w:rsid w:val="00EC05CC"/>
    <w:rsid w:val="00EC05FB"/>
    <w:rsid w:val="00EC0749"/>
    <w:rsid w:val="00EC096D"/>
    <w:rsid w:val="00EC0991"/>
    <w:rsid w:val="00EC0AEA"/>
    <w:rsid w:val="00EC0B38"/>
    <w:rsid w:val="00EC0C95"/>
    <w:rsid w:val="00EC0CF8"/>
    <w:rsid w:val="00EC0D40"/>
    <w:rsid w:val="00EC0FBF"/>
    <w:rsid w:val="00EC137B"/>
    <w:rsid w:val="00EC13C3"/>
    <w:rsid w:val="00EC1624"/>
    <w:rsid w:val="00EC16BD"/>
    <w:rsid w:val="00EC1E3B"/>
    <w:rsid w:val="00EC203E"/>
    <w:rsid w:val="00EC23D3"/>
    <w:rsid w:val="00EC2415"/>
    <w:rsid w:val="00EC27FA"/>
    <w:rsid w:val="00EC2965"/>
    <w:rsid w:val="00EC2C25"/>
    <w:rsid w:val="00EC2D75"/>
    <w:rsid w:val="00EC2EBE"/>
    <w:rsid w:val="00EC33FF"/>
    <w:rsid w:val="00EC343C"/>
    <w:rsid w:val="00EC3548"/>
    <w:rsid w:val="00EC36E6"/>
    <w:rsid w:val="00EC3882"/>
    <w:rsid w:val="00EC38A1"/>
    <w:rsid w:val="00EC3AA3"/>
    <w:rsid w:val="00EC3C3F"/>
    <w:rsid w:val="00EC3C75"/>
    <w:rsid w:val="00EC3CDB"/>
    <w:rsid w:val="00EC3CF0"/>
    <w:rsid w:val="00EC4307"/>
    <w:rsid w:val="00EC4625"/>
    <w:rsid w:val="00EC46D3"/>
    <w:rsid w:val="00EC4C6B"/>
    <w:rsid w:val="00EC4D2B"/>
    <w:rsid w:val="00EC51F0"/>
    <w:rsid w:val="00EC54F3"/>
    <w:rsid w:val="00EC57B6"/>
    <w:rsid w:val="00EC59D8"/>
    <w:rsid w:val="00EC59F3"/>
    <w:rsid w:val="00EC5A9C"/>
    <w:rsid w:val="00EC5DDC"/>
    <w:rsid w:val="00EC5F07"/>
    <w:rsid w:val="00EC5FBE"/>
    <w:rsid w:val="00EC608B"/>
    <w:rsid w:val="00EC6340"/>
    <w:rsid w:val="00EC664E"/>
    <w:rsid w:val="00EC66D5"/>
    <w:rsid w:val="00EC6785"/>
    <w:rsid w:val="00EC6AD5"/>
    <w:rsid w:val="00EC6CCB"/>
    <w:rsid w:val="00EC70F6"/>
    <w:rsid w:val="00EC7127"/>
    <w:rsid w:val="00EC7159"/>
    <w:rsid w:val="00EC74B0"/>
    <w:rsid w:val="00EC76DE"/>
    <w:rsid w:val="00EC7956"/>
    <w:rsid w:val="00EC7FBD"/>
    <w:rsid w:val="00ED0100"/>
    <w:rsid w:val="00ED02FF"/>
    <w:rsid w:val="00ED03A9"/>
    <w:rsid w:val="00ED041C"/>
    <w:rsid w:val="00ED04E0"/>
    <w:rsid w:val="00ED05CB"/>
    <w:rsid w:val="00ED0753"/>
    <w:rsid w:val="00ED095D"/>
    <w:rsid w:val="00ED095E"/>
    <w:rsid w:val="00ED0A32"/>
    <w:rsid w:val="00ED0A80"/>
    <w:rsid w:val="00ED0C89"/>
    <w:rsid w:val="00ED0E16"/>
    <w:rsid w:val="00ED0FAB"/>
    <w:rsid w:val="00ED12B0"/>
    <w:rsid w:val="00ED15F5"/>
    <w:rsid w:val="00ED16BC"/>
    <w:rsid w:val="00ED1773"/>
    <w:rsid w:val="00ED1A65"/>
    <w:rsid w:val="00ED1A90"/>
    <w:rsid w:val="00ED1BBF"/>
    <w:rsid w:val="00ED1C47"/>
    <w:rsid w:val="00ED1C79"/>
    <w:rsid w:val="00ED1CE8"/>
    <w:rsid w:val="00ED1E6A"/>
    <w:rsid w:val="00ED2135"/>
    <w:rsid w:val="00ED21BA"/>
    <w:rsid w:val="00ED2308"/>
    <w:rsid w:val="00ED2474"/>
    <w:rsid w:val="00ED25C0"/>
    <w:rsid w:val="00ED2A29"/>
    <w:rsid w:val="00ED2B3F"/>
    <w:rsid w:val="00ED2F26"/>
    <w:rsid w:val="00ED30F7"/>
    <w:rsid w:val="00ED310C"/>
    <w:rsid w:val="00ED31FF"/>
    <w:rsid w:val="00ED36F7"/>
    <w:rsid w:val="00ED38D7"/>
    <w:rsid w:val="00ED3B01"/>
    <w:rsid w:val="00ED3C40"/>
    <w:rsid w:val="00ED3E5B"/>
    <w:rsid w:val="00ED3F45"/>
    <w:rsid w:val="00ED3F59"/>
    <w:rsid w:val="00ED3FAF"/>
    <w:rsid w:val="00ED446E"/>
    <w:rsid w:val="00ED4A85"/>
    <w:rsid w:val="00ED4C9F"/>
    <w:rsid w:val="00ED502E"/>
    <w:rsid w:val="00ED508C"/>
    <w:rsid w:val="00ED541B"/>
    <w:rsid w:val="00ED5684"/>
    <w:rsid w:val="00ED579F"/>
    <w:rsid w:val="00ED57F1"/>
    <w:rsid w:val="00ED5B1A"/>
    <w:rsid w:val="00ED5D9A"/>
    <w:rsid w:val="00ED5DE9"/>
    <w:rsid w:val="00ED5E1A"/>
    <w:rsid w:val="00ED5F9F"/>
    <w:rsid w:val="00ED6040"/>
    <w:rsid w:val="00ED6051"/>
    <w:rsid w:val="00ED629F"/>
    <w:rsid w:val="00ED640A"/>
    <w:rsid w:val="00ED6469"/>
    <w:rsid w:val="00ED65DD"/>
    <w:rsid w:val="00ED6694"/>
    <w:rsid w:val="00ED6699"/>
    <w:rsid w:val="00ED6783"/>
    <w:rsid w:val="00ED6A13"/>
    <w:rsid w:val="00ED6BC4"/>
    <w:rsid w:val="00ED6CDD"/>
    <w:rsid w:val="00ED7047"/>
    <w:rsid w:val="00ED7371"/>
    <w:rsid w:val="00ED77A1"/>
    <w:rsid w:val="00ED79A7"/>
    <w:rsid w:val="00ED7AC0"/>
    <w:rsid w:val="00ED7B5D"/>
    <w:rsid w:val="00ED7C32"/>
    <w:rsid w:val="00ED7D25"/>
    <w:rsid w:val="00ED7D46"/>
    <w:rsid w:val="00EE0039"/>
    <w:rsid w:val="00EE018D"/>
    <w:rsid w:val="00EE0411"/>
    <w:rsid w:val="00EE0453"/>
    <w:rsid w:val="00EE05E9"/>
    <w:rsid w:val="00EE0668"/>
    <w:rsid w:val="00EE06DE"/>
    <w:rsid w:val="00EE06FA"/>
    <w:rsid w:val="00EE08CA"/>
    <w:rsid w:val="00EE0935"/>
    <w:rsid w:val="00EE0AF4"/>
    <w:rsid w:val="00EE0E59"/>
    <w:rsid w:val="00EE0EB1"/>
    <w:rsid w:val="00EE0FBE"/>
    <w:rsid w:val="00EE1085"/>
    <w:rsid w:val="00EE1230"/>
    <w:rsid w:val="00EE1342"/>
    <w:rsid w:val="00EE1600"/>
    <w:rsid w:val="00EE163F"/>
    <w:rsid w:val="00EE1739"/>
    <w:rsid w:val="00EE1828"/>
    <w:rsid w:val="00EE194B"/>
    <w:rsid w:val="00EE1A7F"/>
    <w:rsid w:val="00EE1FA3"/>
    <w:rsid w:val="00EE20AA"/>
    <w:rsid w:val="00EE2486"/>
    <w:rsid w:val="00EE2684"/>
    <w:rsid w:val="00EE26EC"/>
    <w:rsid w:val="00EE274E"/>
    <w:rsid w:val="00EE27A4"/>
    <w:rsid w:val="00EE28D5"/>
    <w:rsid w:val="00EE2B77"/>
    <w:rsid w:val="00EE2B97"/>
    <w:rsid w:val="00EE2BB0"/>
    <w:rsid w:val="00EE2D41"/>
    <w:rsid w:val="00EE2E5C"/>
    <w:rsid w:val="00EE2FD4"/>
    <w:rsid w:val="00EE304A"/>
    <w:rsid w:val="00EE3063"/>
    <w:rsid w:val="00EE318E"/>
    <w:rsid w:val="00EE3617"/>
    <w:rsid w:val="00EE37FA"/>
    <w:rsid w:val="00EE38A1"/>
    <w:rsid w:val="00EE38D2"/>
    <w:rsid w:val="00EE390A"/>
    <w:rsid w:val="00EE3DC9"/>
    <w:rsid w:val="00EE3FD1"/>
    <w:rsid w:val="00EE40FB"/>
    <w:rsid w:val="00EE431A"/>
    <w:rsid w:val="00EE4422"/>
    <w:rsid w:val="00EE4495"/>
    <w:rsid w:val="00EE48EF"/>
    <w:rsid w:val="00EE49C5"/>
    <w:rsid w:val="00EE4AE4"/>
    <w:rsid w:val="00EE4C78"/>
    <w:rsid w:val="00EE4CE2"/>
    <w:rsid w:val="00EE50DD"/>
    <w:rsid w:val="00EE5318"/>
    <w:rsid w:val="00EE54E5"/>
    <w:rsid w:val="00EE567D"/>
    <w:rsid w:val="00EE56E1"/>
    <w:rsid w:val="00EE57EC"/>
    <w:rsid w:val="00EE5803"/>
    <w:rsid w:val="00EE5BB2"/>
    <w:rsid w:val="00EE5CF7"/>
    <w:rsid w:val="00EE5FF8"/>
    <w:rsid w:val="00EE6038"/>
    <w:rsid w:val="00EE6111"/>
    <w:rsid w:val="00EE61BB"/>
    <w:rsid w:val="00EE6305"/>
    <w:rsid w:val="00EE6517"/>
    <w:rsid w:val="00EE65F1"/>
    <w:rsid w:val="00EE69D4"/>
    <w:rsid w:val="00EE6B5A"/>
    <w:rsid w:val="00EE6BB6"/>
    <w:rsid w:val="00EE6BE1"/>
    <w:rsid w:val="00EE6C4B"/>
    <w:rsid w:val="00EE6C7A"/>
    <w:rsid w:val="00EE715A"/>
    <w:rsid w:val="00EE727D"/>
    <w:rsid w:val="00EE72D5"/>
    <w:rsid w:val="00EE76A7"/>
    <w:rsid w:val="00EE77C9"/>
    <w:rsid w:val="00EE793E"/>
    <w:rsid w:val="00EE7AAC"/>
    <w:rsid w:val="00EE7C15"/>
    <w:rsid w:val="00EE7E4F"/>
    <w:rsid w:val="00EE7F57"/>
    <w:rsid w:val="00EF05F6"/>
    <w:rsid w:val="00EF0924"/>
    <w:rsid w:val="00EF0A85"/>
    <w:rsid w:val="00EF0ACF"/>
    <w:rsid w:val="00EF0C05"/>
    <w:rsid w:val="00EF0F9F"/>
    <w:rsid w:val="00EF1076"/>
    <w:rsid w:val="00EF1249"/>
    <w:rsid w:val="00EF134F"/>
    <w:rsid w:val="00EF14AD"/>
    <w:rsid w:val="00EF162E"/>
    <w:rsid w:val="00EF16A6"/>
    <w:rsid w:val="00EF1B8A"/>
    <w:rsid w:val="00EF1DAB"/>
    <w:rsid w:val="00EF1EEC"/>
    <w:rsid w:val="00EF1FD1"/>
    <w:rsid w:val="00EF2030"/>
    <w:rsid w:val="00EF28AF"/>
    <w:rsid w:val="00EF2904"/>
    <w:rsid w:val="00EF2AE0"/>
    <w:rsid w:val="00EF2CF5"/>
    <w:rsid w:val="00EF2EAB"/>
    <w:rsid w:val="00EF3003"/>
    <w:rsid w:val="00EF3095"/>
    <w:rsid w:val="00EF3099"/>
    <w:rsid w:val="00EF30DB"/>
    <w:rsid w:val="00EF315F"/>
    <w:rsid w:val="00EF32F0"/>
    <w:rsid w:val="00EF342C"/>
    <w:rsid w:val="00EF3495"/>
    <w:rsid w:val="00EF34DA"/>
    <w:rsid w:val="00EF3650"/>
    <w:rsid w:val="00EF384D"/>
    <w:rsid w:val="00EF3866"/>
    <w:rsid w:val="00EF3B88"/>
    <w:rsid w:val="00EF3BBF"/>
    <w:rsid w:val="00EF3BE0"/>
    <w:rsid w:val="00EF3FB0"/>
    <w:rsid w:val="00EF40F9"/>
    <w:rsid w:val="00EF45E0"/>
    <w:rsid w:val="00EF4688"/>
    <w:rsid w:val="00EF481C"/>
    <w:rsid w:val="00EF4B86"/>
    <w:rsid w:val="00EF4FA9"/>
    <w:rsid w:val="00EF561B"/>
    <w:rsid w:val="00EF57E1"/>
    <w:rsid w:val="00EF5914"/>
    <w:rsid w:val="00EF5A46"/>
    <w:rsid w:val="00EF5B59"/>
    <w:rsid w:val="00EF5D5D"/>
    <w:rsid w:val="00EF5D8B"/>
    <w:rsid w:val="00EF5DBE"/>
    <w:rsid w:val="00EF5DC6"/>
    <w:rsid w:val="00EF5DE1"/>
    <w:rsid w:val="00EF5EAF"/>
    <w:rsid w:val="00EF61C9"/>
    <w:rsid w:val="00EF623E"/>
    <w:rsid w:val="00EF62F6"/>
    <w:rsid w:val="00EF642D"/>
    <w:rsid w:val="00EF663A"/>
    <w:rsid w:val="00EF66DA"/>
    <w:rsid w:val="00EF69F9"/>
    <w:rsid w:val="00EF6C56"/>
    <w:rsid w:val="00EF6E7D"/>
    <w:rsid w:val="00EF6F03"/>
    <w:rsid w:val="00EF6FDB"/>
    <w:rsid w:val="00EF7170"/>
    <w:rsid w:val="00EF7192"/>
    <w:rsid w:val="00EF725E"/>
    <w:rsid w:val="00EF7295"/>
    <w:rsid w:val="00EF756B"/>
    <w:rsid w:val="00EF75B4"/>
    <w:rsid w:val="00EF77AA"/>
    <w:rsid w:val="00EF77DF"/>
    <w:rsid w:val="00EF795A"/>
    <w:rsid w:val="00EF7995"/>
    <w:rsid w:val="00EF7B9B"/>
    <w:rsid w:val="00EF7BB1"/>
    <w:rsid w:val="00EF7BCB"/>
    <w:rsid w:val="00EF7C63"/>
    <w:rsid w:val="00F00175"/>
    <w:rsid w:val="00F002BA"/>
    <w:rsid w:val="00F003B7"/>
    <w:rsid w:val="00F005FF"/>
    <w:rsid w:val="00F0089C"/>
    <w:rsid w:val="00F008B6"/>
    <w:rsid w:val="00F00999"/>
    <w:rsid w:val="00F00A37"/>
    <w:rsid w:val="00F00DFA"/>
    <w:rsid w:val="00F01048"/>
    <w:rsid w:val="00F0110F"/>
    <w:rsid w:val="00F01111"/>
    <w:rsid w:val="00F01219"/>
    <w:rsid w:val="00F0125C"/>
    <w:rsid w:val="00F0157E"/>
    <w:rsid w:val="00F01B8D"/>
    <w:rsid w:val="00F01DFF"/>
    <w:rsid w:val="00F01E16"/>
    <w:rsid w:val="00F0202E"/>
    <w:rsid w:val="00F020E6"/>
    <w:rsid w:val="00F02215"/>
    <w:rsid w:val="00F022E5"/>
    <w:rsid w:val="00F0234D"/>
    <w:rsid w:val="00F0258C"/>
    <w:rsid w:val="00F02708"/>
    <w:rsid w:val="00F030CB"/>
    <w:rsid w:val="00F03287"/>
    <w:rsid w:val="00F034CF"/>
    <w:rsid w:val="00F03502"/>
    <w:rsid w:val="00F036CD"/>
    <w:rsid w:val="00F039C2"/>
    <w:rsid w:val="00F03D8B"/>
    <w:rsid w:val="00F03F1A"/>
    <w:rsid w:val="00F03FE8"/>
    <w:rsid w:val="00F0431E"/>
    <w:rsid w:val="00F04331"/>
    <w:rsid w:val="00F04488"/>
    <w:rsid w:val="00F048EE"/>
    <w:rsid w:val="00F0495E"/>
    <w:rsid w:val="00F04A8D"/>
    <w:rsid w:val="00F04C42"/>
    <w:rsid w:val="00F04C4B"/>
    <w:rsid w:val="00F04D68"/>
    <w:rsid w:val="00F04D6C"/>
    <w:rsid w:val="00F04DCA"/>
    <w:rsid w:val="00F04DDA"/>
    <w:rsid w:val="00F04E6A"/>
    <w:rsid w:val="00F05064"/>
    <w:rsid w:val="00F0512B"/>
    <w:rsid w:val="00F0524F"/>
    <w:rsid w:val="00F05586"/>
    <w:rsid w:val="00F05F5F"/>
    <w:rsid w:val="00F05F63"/>
    <w:rsid w:val="00F06083"/>
    <w:rsid w:val="00F060E6"/>
    <w:rsid w:val="00F061B2"/>
    <w:rsid w:val="00F06658"/>
    <w:rsid w:val="00F0695C"/>
    <w:rsid w:val="00F069E9"/>
    <w:rsid w:val="00F06C45"/>
    <w:rsid w:val="00F06DD7"/>
    <w:rsid w:val="00F06E05"/>
    <w:rsid w:val="00F06E71"/>
    <w:rsid w:val="00F06F9D"/>
    <w:rsid w:val="00F06FFE"/>
    <w:rsid w:val="00F070B1"/>
    <w:rsid w:val="00F07171"/>
    <w:rsid w:val="00F07543"/>
    <w:rsid w:val="00F075F2"/>
    <w:rsid w:val="00F075FD"/>
    <w:rsid w:val="00F0760C"/>
    <w:rsid w:val="00F0761D"/>
    <w:rsid w:val="00F076C4"/>
    <w:rsid w:val="00F07735"/>
    <w:rsid w:val="00F07758"/>
    <w:rsid w:val="00F0798E"/>
    <w:rsid w:val="00F10008"/>
    <w:rsid w:val="00F100E5"/>
    <w:rsid w:val="00F10221"/>
    <w:rsid w:val="00F10301"/>
    <w:rsid w:val="00F1035F"/>
    <w:rsid w:val="00F104C2"/>
    <w:rsid w:val="00F1054B"/>
    <w:rsid w:val="00F108D0"/>
    <w:rsid w:val="00F10901"/>
    <w:rsid w:val="00F10964"/>
    <w:rsid w:val="00F10A0C"/>
    <w:rsid w:val="00F10A58"/>
    <w:rsid w:val="00F10CD8"/>
    <w:rsid w:val="00F111E4"/>
    <w:rsid w:val="00F11296"/>
    <w:rsid w:val="00F112D3"/>
    <w:rsid w:val="00F112DB"/>
    <w:rsid w:val="00F11370"/>
    <w:rsid w:val="00F118AA"/>
    <w:rsid w:val="00F11A2E"/>
    <w:rsid w:val="00F11A97"/>
    <w:rsid w:val="00F11AC7"/>
    <w:rsid w:val="00F11D3A"/>
    <w:rsid w:val="00F12207"/>
    <w:rsid w:val="00F1258F"/>
    <w:rsid w:val="00F127B8"/>
    <w:rsid w:val="00F12E6F"/>
    <w:rsid w:val="00F13204"/>
    <w:rsid w:val="00F13292"/>
    <w:rsid w:val="00F139F4"/>
    <w:rsid w:val="00F13A53"/>
    <w:rsid w:val="00F13B04"/>
    <w:rsid w:val="00F13B71"/>
    <w:rsid w:val="00F13B73"/>
    <w:rsid w:val="00F13F29"/>
    <w:rsid w:val="00F14304"/>
    <w:rsid w:val="00F1448E"/>
    <w:rsid w:val="00F145F3"/>
    <w:rsid w:val="00F146F6"/>
    <w:rsid w:val="00F14770"/>
    <w:rsid w:val="00F14B4B"/>
    <w:rsid w:val="00F14C91"/>
    <w:rsid w:val="00F14CE4"/>
    <w:rsid w:val="00F14D6C"/>
    <w:rsid w:val="00F14F7C"/>
    <w:rsid w:val="00F152B2"/>
    <w:rsid w:val="00F155B4"/>
    <w:rsid w:val="00F155CC"/>
    <w:rsid w:val="00F155ED"/>
    <w:rsid w:val="00F15654"/>
    <w:rsid w:val="00F156F9"/>
    <w:rsid w:val="00F15834"/>
    <w:rsid w:val="00F15CDF"/>
    <w:rsid w:val="00F15DD5"/>
    <w:rsid w:val="00F16243"/>
    <w:rsid w:val="00F1690D"/>
    <w:rsid w:val="00F1696A"/>
    <w:rsid w:val="00F16A15"/>
    <w:rsid w:val="00F16ABD"/>
    <w:rsid w:val="00F16BD6"/>
    <w:rsid w:val="00F16DE4"/>
    <w:rsid w:val="00F17176"/>
    <w:rsid w:val="00F17323"/>
    <w:rsid w:val="00F1745D"/>
    <w:rsid w:val="00F17629"/>
    <w:rsid w:val="00F1789F"/>
    <w:rsid w:val="00F17AB6"/>
    <w:rsid w:val="00F17B8F"/>
    <w:rsid w:val="00F17D45"/>
    <w:rsid w:val="00F17E86"/>
    <w:rsid w:val="00F17FF5"/>
    <w:rsid w:val="00F20005"/>
    <w:rsid w:val="00F200FB"/>
    <w:rsid w:val="00F201AD"/>
    <w:rsid w:val="00F20494"/>
    <w:rsid w:val="00F20498"/>
    <w:rsid w:val="00F2052C"/>
    <w:rsid w:val="00F20688"/>
    <w:rsid w:val="00F20881"/>
    <w:rsid w:val="00F208FD"/>
    <w:rsid w:val="00F2096B"/>
    <w:rsid w:val="00F20CCB"/>
    <w:rsid w:val="00F20CD3"/>
    <w:rsid w:val="00F2106A"/>
    <w:rsid w:val="00F21178"/>
    <w:rsid w:val="00F21277"/>
    <w:rsid w:val="00F212FC"/>
    <w:rsid w:val="00F21458"/>
    <w:rsid w:val="00F217DE"/>
    <w:rsid w:val="00F218DD"/>
    <w:rsid w:val="00F21968"/>
    <w:rsid w:val="00F219D7"/>
    <w:rsid w:val="00F21C19"/>
    <w:rsid w:val="00F21E3A"/>
    <w:rsid w:val="00F222E1"/>
    <w:rsid w:val="00F223A2"/>
    <w:rsid w:val="00F223CB"/>
    <w:rsid w:val="00F224EC"/>
    <w:rsid w:val="00F224FE"/>
    <w:rsid w:val="00F225DB"/>
    <w:rsid w:val="00F22605"/>
    <w:rsid w:val="00F227F8"/>
    <w:rsid w:val="00F22989"/>
    <w:rsid w:val="00F22E1F"/>
    <w:rsid w:val="00F22EE2"/>
    <w:rsid w:val="00F2307A"/>
    <w:rsid w:val="00F231CB"/>
    <w:rsid w:val="00F235F1"/>
    <w:rsid w:val="00F23701"/>
    <w:rsid w:val="00F238E1"/>
    <w:rsid w:val="00F239E2"/>
    <w:rsid w:val="00F23A42"/>
    <w:rsid w:val="00F23DCD"/>
    <w:rsid w:val="00F23DF2"/>
    <w:rsid w:val="00F23F26"/>
    <w:rsid w:val="00F242BA"/>
    <w:rsid w:val="00F24376"/>
    <w:rsid w:val="00F243A5"/>
    <w:rsid w:val="00F2445A"/>
    <w:rsid w:val="00F24715"/>
    <w:rsid w:val="00F2495F"/>
    <w:rsid w:val="00F24B8E"/>
    <w:rsid w:val="00F24DBA"/>
    <w:rsid w:val="00F24F76"/>
    <w:rsid w:val="00F2528D"/>
    <w:rsid w:val="00F2549A"/>
    <w:rsid w:val="00F2567F"/>
    <w:rsid w:val="00F25696"/>
    <w:rsid w:val="00F2594B"/>
    <w:rsid w:val="00F25CF8"/>
    <w:rsid w:val="00F25DCB"/>
    <w:rsid w:val="00F2617B"/>
    <w:rsid w:val="00F261F6"/>
    <w:rsid w:val="00F262FC"/>
    <w:rsid w:val="00F26415"/>
    <w:rsid w:val="00F264C0"/>
    <w:rsid w:val="00F269CB"/>
    <w:rsid w:val="00F26A2B"/>
    <w:rsid w:val="00F26B3C"/>
    <w:rsid w:val="00F26CE9"/>
    <w:rsid w:val="00F26DBE"/>
    <w:rsid w:val="00F26F7B"/>
    <w:rsid w:val="00F271ED"/>
    <w:rsid w:val="00F272DC"/>
    <w:rsid w:val="00F27944"/>
    <w:rsid w:val="00F27B10"/>
    <w:rsid w:val="00F27B8D"/>
    <w:rsid w:val="00F27C67"/>
    <w:rsid w:val="00F27D2D"/>
    <w:rsid w:val="00F300E2"/>
    <w:rsid w:val="00F307A5"/>
    <w:rsid w:val="00F307C0"/>
    <w:rsid w:val="00F30AD5"/>
    <w:rsid w:val="00F30E5C"/>
    <w:rsid w:val="00F3105A"/>
    <w:rsid w:val="00F313D2"/>
    <w:rsid w:val="00F3142A"/>
    <w:rsid w:val="00F31478"/>
    <w:rsid w:val="00F315EC"/>
    <w:rsid w:val="00F31670"/>
    <w:rsid w:val="00F31DA2"/>
    <w:rsid w:val="00F31DBB"/>
    <w:rsid w:val="00F31DE4"/>
    <w:rsid w:val="00F31FCD"/>
    <w:rsid w:val="00F3226A"/>
    <w:rsid w:val="00F32497"/>
    <w:rsid w:val="00F32807"/>
    <w:rsid w:val="00F3288B"/>
    <w:rsid w:val="00F329A1"/>
    <w:rsid w:val="00F32A44"/>
    <w:rsid w:val="00F32AEA"/>
    <w:rsid w:val="00F32C4A"/>
    <w:rsid w:val="00F32E1A"/>
    <w:rsid w:val="00F32E53"/>
    <w:rsid w:val="00F33094"/>
    <w:rsid w:val="00F33224"/>
    <w:rsid w:val="00F33411"/>
    <w:rsid w:val="00F33472"/>
    <w:rsid w:val="00F334BA"/>
    <w:rsid w:val="00F334E3"/>
    <w:rsid w:val="00F3370C"/>
    <w:rsid w:val="00F33727"/>
    <w:rsid w:val="00F3385A"/>
    <w:rsid w:val="00F33F0F"/>
    <w:rsid w:val="00F340C1"/>
    <w:rsid w:val="00F34603"/>
    <w:rsid w:val="00F34710"/>
    <w:rsid w:val="00F34A66"/>
    <w:rsid w:val="00F34AB2"/>
    <w:rsid w:val="00F34B45"/>
    <w:rsid w:val="00F34EC7"/>
    <w:rsid w:val="00F34F0E"/>
    <w:rsid w:val="00F35163"/>
    <w:rsid w:val="00F35552"/>
    <w:rsid w:val="00F3580D"/>
    <w:rsid w:val="00F358E1"/>
    <w:rsid w:val="00F35907"/>
    <w:rsid w:val="00F359C5"/>
    <w:rsid w:val="00F35A02"/>
    <w:rsid w:val="00F35A5B"/>
    <w:rsid w:val="00F35EC2"/>
    <w:rsid w:val="00F35FE4"/>
    <w:rsid w:val="00F36002"/>
    <w:rsid w:val="00F361CB"/>
    <w:rsid w:val="00F3656B"/>
    <w:rsid w:val="00F365CD"/>
    <w:rsid w:val="00F36674"/>
    <w:rsid w:val="00F36729"/>
    <w:rsid w:val="00F36758"/>
    <w:rsid w:val="00F367C7"/>
    <w:rsid w:val="00F36932"/>
    <w:rsid w:val="00F369DC"/>
    <w:rsid w:val="00F369EA"/>
    <w:rsid w:val="00F369F9"/>
    <w:rsid w:val="00F37115"/>
    <w:rsid w:val="00F3718E"/>
    <w:rsid w:val="00F37359"/>
    <w:rsid w:val="00F3750C"/>
    <w:rsid w:val="00F37631"/>
    <w:rsid w:val="00F37649"/>
    <w:rsid w:val="00F376B8"/>
    <w:rsid w:val="00F37843"/>
    <w:rsid w:val="00F37866"/>
    <w:rsid w:val="00F378B3"/>
    <w:rsid w:val="00F378F6"/>
    <w:rsid w:val="00F37CBE"/>
    <w:rsid w:val="00F37EEC"/>
    <w:rsid w:val="00F37F1A"/>
    <w:rsid w:val="00F37F84"/>
    <w:rsid w:val="00F400EC"/>
    <w:rsid w:val="00F401A9"/>
    <w:rsid w:val="00F40296"/>
    <w:rsid w:val="00F40D2B"/>
    <w:rsid w:val="00F40D5B"/>
    <w:rsid w:val="00F40E2E"/>
    <w:rsid w:val="00F4102A"/>
    <w:rsid w:val="00F41126"/>
    <w:rsid w:val="00F411A5"/>
    <w:rsid w:val="00F415F5"/>
    <w:rsid w:val="00F41782"/>
    <w:rsid w:val="00F419D5"/>
    <w:rsid w:val="00F41E04"/>
    <w:rsid w:val="00F42001"/>
    <w:rsid w:val="00F423DD"/>
    <w:rsid w:val="00F42676"/>
    <w:rsid w:val="00F42680"/>
    <w:rsid w:val="00F426FC"/>
    <w:rsid w:val="00F42AEF"/>
    <w:rsid w:val="00F42B16"/>
    <w:rsid w:val="00F42D64"/>
    <w:rsid w:val="00F42DC4"/>
    <w:rsid w:val="00F42DDC"/>
    <w:rsid w:val="00F42FB0"/>
    <w:rsid w:val="00F42FF7"/>
    <w:rsid w:val="00F4335A"/>
    <w:rsid w:val="00F43B08"/>
    <w:rsid w:val="00F43C0B"/>
    <w:rsid w:val="00F43E02"/>
    <w:rsid w:val="00F43E32"/>
    <w:rsid w:val="00F44175"/>
    <w:rsid w:val="00F44350"/>
    <w:rsid w:val="00F44502"/>
    <w:rsid w:val="00F449A5"/>
    <w:rsid w:val="00F44A0C"/>
    <w:rsid w:val="00F44C0B"/>
    <w:rsid w:val="00F44EC4"/>
    <w:rsid w:val="00F45014"/>
    <w:rsid w:val="00F451DE"/>
    <w:rsid w:val="00F451FA"/>
    <w:rsid w:val="00F4527A"/>
    <w:rsid w:val="00F45371"/>
    <w:rsid w:val="00F4547D"/>
    <w:rsid w:val="00F457CF"/>
    <w:rsid w:val="00F45A3C"/>
    <w:rsid w:val="00F45D9F"/>
    <w:rsid w:val="00F45F87"/>
    <w:rsid w:val="00F46031"/>
    <w:rsid w:val="00F4613C"/>
    <w:rsid w:val="00F4630A"/>
    <w:rsid w:val="00F46412"/>
    <w:rsid w:val="00F4682D"/>
    <w:rsid w:val="00F46831"/>
    <w:rsid w:val="00F46931"/>
    <w:rsid w:val="00F4699B"/>
    <w:rsid w:val="00F469C4"/>
    <w:rsid w:val="00F469F4"/>
    <w:rsid w:val="00F46A7B"/>
    <w:rsid w:val="00F46C42"/>
    <w:rsid w:val="00F46C4F"/>
    <w:rsid w:val="00F46CE3"/>
    <w:rsid w:val="00F46D50"/>
    <w:rsid w:val="00F46D5E"/>
    <w:rsid w:val="00F46D9B"/>
    <w:rsid w:val="00F46FCA"/>
    <w:rsid w:val="00F4701D"/>
    <w:rsid w:val="00F4715D"/>
    <w:rsid w:val="00F473CB"/>
    <w:rsid w:val="00F474AA"/>
    <w:rsid w:val="00F47A02"/>
    <w:rsid w:val="00F47BC0"/>
    <w:rsid w:val="00F47EA1"/>
    <w:rsid w:val="00F47EAA"/>
    <w:rsid w:val="00F47EEF"/>
    <w:rsid w:val="00F47F19"/>
    <w:rsid w:val="00F47FC1"/>
    <w:rsid w:val="00F50137"/>
    <w:rsid w:val="00F50285"/>
    <w:rsid w:val="00F503AF"/>
    <w:rsid w:val="00F503B0"/>
    <w:rsid w:val="00F503B4"/>
    <w:rsid w:val="00F50621"/>
    <w:rsid w:val="00F5063E"/>
    <w:rsid w:val="00F506BC"/>
    <w:rsid w:val="00F509E2"/>
    <w:rsid w:val="00F50A15"/>
    <w:rsid w:val="00F50CDB"/>
    <w:rsid w:val="00F50D7A"/>
    <w:rsid w:val="00F50F65"/>
    <w:rsid w:val="00F50FF7"/>
    <w:rsid w:val="00F5111A"/>
    <w:rsid w:val="00F511C1"/>
    <w:rsid w:val="00F51662"/>
    <w:rsid w:val="00F516EA"/>
    <w:rsid w:val="00F518EC"/>
    <w:rsid w:val="00F51952"/>
    <w:rsid w:val="00F51993"/>
    <w:rsid w:val="00F51DCF"/>
    <w:rsid w:val="00F5200E"/>
    <w:rsid w:val="00F5221D"/>
    <w:rsid w:val="00F52341"/>
    <w:rsid w:val="00F523B4"/>
    <w:rsid w:val="00F52451"/>
    <w:rsid w:val="00F52495"/>
    <w:rsid w:val="00F524E3"/>
    <w:rsid w:val="00F52514"/>
    <w:rsid w:val="00F5280F"/>
    <w:rsid w:val="00F529DC"/>
    <w:rsid w:val="00F52A18"/>
    <w:rsid w:val="00F52B95"/>
    <w:rsid w:val="00F52C92"/>
    <w:rsid w:val="00F52F02"/>
    <w:rsid w:val="00F53605"/>
    <w:rsid w:val="00F5362A"/>
    <w:rsid w:val="00F5373C"/>
    <w:rsid w:val="00F537DF"/>
    <w:rsid w:val="00F53B44"/>
    <w:rsid w:val="00F53E4E"/>
    <w:rsid w:val="00F54022"/>
    <w:rsid w:val="00F54077"/>
    <w:rsid w:val="00F540B3"/>
    <w:rsid w:val="00F5494E"/>
    <w:rsid w:val="00F549D7"/>
    <w:rsid w:val="00F54C3F"/>
    <w:rsid w:val="00F54D78"/>
    <w:rsid w:val="00F54F55"/>
    <w:rsid w:val="00F54F7E"/>
    <w:rsid w:val="00F54F91"/>
    <w:rsid w:val="00F550CF"/>
    <w:rsid w:val="00F5520C"/>
    <w:rsid w:val="00F55381"/>
    <w:rsid w:val="00F553EC"/>
    <w:rsid w:val="00F55553"/>
    <w:rsid w:val="00F555D8"/>
    <w:rsid w:val="00F556A0"/>
    <w:rsid w:val="00F55C36"/>
    <w:rsid w:val="00F55D29"/>
    <w:rsid w:val="00F55D4C"/>
    <w:rsid w:val="00F55DE4"/>
    <w:rsid w:val="00F55E75"/>
    <w:rsid w:val="00F56199"/>
    <w:rsid w:val="00F56304"/>
    <w:rsid w:val="00F563DD"/>
    <w:rsid w:val="00F56732"/>
    <w:rsid w:val="00F569A4"/>
    <w:rsid w:val="00F569C7"/>
    <w:rsid w:val="00F56A5C"/>
    <w:rsid w:val="00F56C4C"/>
    <w:rsid w:val="00F56CED"/>
    <w:rsid w:val="00F56D64"/>
    <w:rsid w:val="00F57245"/>
    <w:rsid w:val="00F57446"/>
    <w:rsid w:val="00F57521"/>
    <w:rsid w:val="00F57F89"/>
    <w:rsid w:val="00F6015C"/>
    <w:rsid w:val="00F604A7"/>
    <w:rsid w:val="00F607BD"/>
    <w:rsid w:val="00F607D8"/>
    <w:rsid w:val="00F6096D"/>
    <w:rsid w:val="00F60A1A"/>
    <w:rsid w:val="00F60B2F"/>
    <w:rsid w:val="00F60C08"/>
    <w:rsid w:val="00F60EFB"/>
    <w:rsid w:val="00F6104F"/>
    <w:rsid w:val="00F6107E"/>
    <w:rsid w:val="00F61125"/>
    <w:rsid w:val="00F61159"/>
    <w:rsid w:val="00F61381"/>
    <w:rsid w:val="00F61402"/>
    <w:rsid w:val="00F61487"/>
    <w:rsid w:val="00F6156E"/>
    <w:rsid w:val="00F616EA"/>
    <w:rsid w:val="00F6171A"/>
    <w:rsid w:val="00F618CA"/>
    <w:rsid w:val="00F61998"/>
    <w:rsid w:val="00F61B47"/>
    <w:rsid w:val="00F61D80"/>
    <w:rsid w:val="00F61EA2"/>
    <w:rsid w:val="00F62028"/>
    <w:rsid w:val="00F620B6"/>
    <w:rsid w:val="00F620D6"/>
    <w:rsid w:val="00F62389"/>
    <w:rsid w:val="00F626B6"/>
    <w:rsid w:val="00F6279E"/>
    <w:rsid w:val="00F62888"/>
    <w:rsid w:val="00F628E8"/>
    <w:rsid w:val="00F62AC3"/>
    <w:rsid w:val="00F62B61"/>
    <w:rsid w:val="00F62FC0"/>
    <w:rsid w:val="00F63337"/>
    <w:rsid w:val="00F6339C"/>
    <w:rsid w:val="00F63410"/>
    <w:rsid w:val="00F634DD"/>
    <w:rsid w:val="00F638D4"/>
    <w:rsid w:val="00F63984"/>
    <w:rsid w:val="00F63C3B"/>
    <w:rsid w:val="00F63C4F"/>
    <w:rsid w:val="00F63D52"/>
    <w:rsid w:val="00F63DCB"/>
    <w:rsid w:val="00F63FCC"/>
    <w:rsid w:val="00F64069"/>
    <w:rsid w:val="00F642F4"/>
    <w:rsid w:val="00F64391"/>
    <w:rsid w:val="00F64706"/>
    <w:rsid w:val="00F64868"/>
    <w:rsid w:val="00F64C13"/>
    <w:rsid w:val="00F64C84"/>
    <w:rsid w:val="00F64E6D"/>
    <w:rsid w:val="00F64EEA"/>
    <w:rsid w:val="00F64F92"/>
    <w:rsid w:val="00F65050"/>
    <w:rsid w:val="00F652FA"/>
    <w:rsid w:val="00F65452"/>
    <w:rsid w:val="00F65480"/>
    <w:rsid w:val="00F659D0"/>
    <w:rsid w:val="00F65B05"/>
    <w:rsid w:val="00F65BA0"/>
    <w:rsid w:val="00F65BA4"/>
    <w:rsid w:val="00F65BE9"/>
    <w:rsid w:val="00F65EBE"/>
    <w:rsid w:val="00F66167"/>
    <w:rsid w:val="00F6616B"/>
    <w:rsid w:val="00F661DB"/>
    <w:rsid w:val="00F665B3"/>
    <w:rsid w:val="00F66742"/>
    <w:rsid w:val="00F668BA"/>
    <w:rsid w:val="00F669F1"/>
    <w:rsid w:val="00F66B64"/>
    <w:rsid w:val="00F673ED"/>
    <w:rsid w:val="00F675F4"/>
    <w:rsid w:val="00F6771E"/>
    <w:rsid w:val="00F678E0"/>
    <w:rsid w:val="00F67B0B"/>
    <w:rsid w:val="00F67EF3"/>
    <w:rsid w:val="00F70121"/>
    <w:rsid w:val="00F701F8"/>
    <w:rsid w:val="00F7048B"/>
    <w:rsid w:val="00F7066C"/>
    <w:rsid w:val="00F70C54"/>
    <w:rsid w:val="00F70CDA"/>
    <w:rsid w:val="00F70DA6"/>
    <w:rsid w:val="00F7136C"/>
    <w:rsid w:val="00F7162A"/>
    <w:rsid w:val="00F716FB"/>
    <w:rsid w:val="00F717C3"/>
    <w:rsid w:val="00F71816"/>
    <w:rsid w:val="00F71902"/>
    <w:rsid w:val="00F71E76"/>
    <w:rsid w:val="00F71F94"/>
    <w:rsid w:val="00F72251"/>
    <w:rsid w:val="00F722A9"/>
    <w:rsid w:val="00F72424"/>
    <w:rsid w:val="00F72474"/>
    <w:rsid w:val="00F72540"/>
    <w:rsid w:val="00F72610"/>
    <w:rsid w:val="00F72767"/>
    <w:rsid w:val="00F728BB"/>
    <w:rsid w:val="00F729B2"/>
    <w:rsid w:val="00F729E1"/>
    <w:rsid w:val="00F729F8"/>
    <w:rsid w:val="00F72A7A"/>
    <w:rsid w:val="00F72A96"/>
    <w:rsid w:val="00F72B72"/>
    <w:rsid w:val="00F731D9"/>
    <w:rsid w:val="00F73571"/>
    <w:rsid w:val="00F736D8"/>
    <w:rsid w:val="00F73882"/>
    <w:rsid w:val="00F738A3"/>
    <w:rsid w:val="00F73C7D"/>
    <w:rsid w:val="00F73D54"/>
    <w:rsid w:val="00F73EB4"/>
    <w:rsid w:val="00F74062"/>
    <w:rsid w:val="00F74665"/>
    <w:rsid w:val="00F74A81"/>
    <w:rsid w:val="00F74C9C"/>
    <w:rsid w:val="00F74DAA"/>
    <w:rsid w:val="00F74E9F"/>
    <w:rsid w:val="00F74F9D"/>
    <w:rsid w:val="00F750C5"/>
    <w:rsid w:val="00F7519A"/>
    <w:rsid w:val="00F7535E"/>
    <w:rsid w:val="00F753B3"/>
    <w:rsid w:val="00F75542"/>
    <w:rsid w:val="00F75572"/>
    <w:rsid w:val="00F75809"/>
    <w:rsid w:val="00F75A79"/>
    <w:rsid w:val="00F75C37"/>
    <w:rsid w:val="00F75D00"/>
    <w:rsid w:val="00F760CB"/>
    <w:rsid w:val="00F760F7"/>
    <w:rsid w:val="00F762C1"/>
    <w:rsid w:val="00F76F27"/>
    <w:rsid w:val="00F76F2F"/>
    <w:rsid w:val="00F76FC4"/>
    <w:rsid w:val="00F771D5"/>
    <w:rsid w:val="00F7753F"/>
    <w:rsid w:val="00F77596"/>
    <w:rsid w:val="00F779B6"/>
    <w:rsid w:val="00F77A93"/>
    <w:rsid w:val="00F800EC"/>
    <w:rsid w:val="00F8011C"/>
    <w:rsid w:val="00F8016E"/>
    <w:rsid w:val="00F80215"/>
    <w:rsid w:val="00F80224"/>
    <w:rsid w:val="00F80241"/>
    <w:rsid w:val="00F8030B"/>
    <w:rsid w:val="00F8070D"/>
    <w:rsid w:val="00F809CC"/>
    <w:rsid w:val="00F80A73"/>
    <w:rsid w:val="00F81034"/>
    <w:rsid w:val="00F810A9"/>
    <w:rsid w:val="00F813F8"/>
    <w:rsid w:val="00F814DE"/>
    <w:rsid w:val="00F816C8"/>
    <w:rsid w:val="00F81730"/>
    <w:rsid w:val="00F81843"/>
    <w:rsid w:val="00F81CBD"/>
    <w:rsid w:val="00F81EAE"/>
    <w:rsid w:val="00F820E6"/>
    <w:rsid w:val="00F82DE1"/>
    <w:rsid w:val="00F8304E"/>
    <w:rsid w:val="00F83146"/>
    <w:rsid w:val="00F833AF"/>
    <w:rsid w:val="00F83512"/>
    <w:rsid w:val="00F8367E"/>
    <w:rsid w:val="00F83940"/>
    <w:rsid w:val="00F839F7"/>
    <w:rsid w:val="00F83AC7"/>
    <w:rsid w:val="00F83BBB"/>
    <w:rsid w:val="00F83DA0"/>
    <w:rsid w:val="00F83F21"/>
    <w:rsid w:val="00F83FAE"/>
    <w:rsid w:val="00F841A2"/>
    <w:rsid w:val="00F8420A"/>
    <w:rsid w:val="00F8442E"/>
    <w:rsid w:val="00F84451"/>
    <w:rsid w:val="00F84477"/>
    <w:rsid w:val="00F845A6"/>
    <w:rsid w:val="00F846C3"/>
    <w:rsid w:val="00F847EF"/>
    <w:rsid w:val="00F84A20"/>
    <w:rsid w:val="00F84A26"/>
    <w:rsid w:val="00F84A76"/>
    <w:rsid w:val="00F84B2F"/>
    <w:rsid w:val="00F84CEF"/>
    <w:rsid w:val="00F84E30"/>
    <w:rsid w:val="00F84FB1"/>
    <w:rsid w:val="00F852C1"/>
    <w:rsid w:val="00F852D6"/>
    <w:rsid w:val="00F85528"/>
    <w:rsid w:val="00F858A4"/>
    <w:rsid w:val="00F85D1A"/>
    <w:rsid w:val="00F85ECD"/>
    <w:rsid w:val="00F862EC"/>
    <w:rsid w:val="00F864A8"/>
    <w:rsid w:val="00F86506"/>
    <w:rsid w:val="00F865BE"/>
    <w:rsid w:val="00F86679"/>
    <w:rsid w:val="00F867EA"/>
    <w:rsid w:val="00F86DE3"/>
    <w:rsid w:val="00F86FFF"/>
    <w:rsid w:val="00F87582"/>
    <w:rsid w:val="00F87826"/>
    <w:rsid w:val="00F87859"/>
    <w:rsid w:val="00F87A2F"/>
    <w:rsid w:val="00F87A72"/>
    <w:rsid w:val="00F87FDE"/>
    <w:rsid w:val="00F9001A"/>
    <w:rsid w:val="00F90024"/>
    <w:rsid w:val="00F900A8"/>
    <w:rsid w:val="00F902CF"/>
    <w:rsid w:val="00F903B2"/>
    <w:rsid w:val="00F903D8"/>
    <w:rsid w:val="00F904EF"/>
    <w:rsid w:val="00F90911"/>
    <w:rsid w:val="00F909DD"/>
    <w:rsid w:val="00F90BF6"/>
    <w:rsid w:val="00F910D7"/>
    <w:rsid w:val="00F913A3"/>
    <w:rsid w:val="00F9159B"/>
    <w:rsid w:val="00F919B0"/>
    <w:rsid w:val="00F91B25"/>
    <w:rsid w:val="00F91DB0"/>
    <w:rsid w:val="00F92028"/>
    <w:rsid w:val="00F923DF"/>
    <w:rsid w:val="00F92725"/>
    <w:rsid w:val="00F92749"/>
    <w:rsid w:val="00F9290D"/>
    <w:rsid w:val="00F929B7"/>
    <w:rsid w:val="00F92A4C"/>
    <w:rsid w:val="00F92B33"/>
    <w:rsid w:val="00F92C7A"/>
    <w:rsid w:val="00F92D08"/>
    <w:rsid w:val="00F92E5E"/>
    <w:rsid w:val="00F92F43"/>
    <w:rsid w:val="00F92F8D"/>
    <w:rsid w:val="00F9308C"/>
    <w:rsid w:val="00F9331E"/>
    <w:rsid w:val="00F93480"/>
    <w:rsid w:val="00F93870"/>
    <w:rsid w:val="00F938FE"/>
    <w:rsid w:val="00F93956"/>
    <w:rsid w:val="00F93A23"/>
    <w:rsid w:val="00F93BBD"/>
    <w:rsid w:val="00F93D80"/>
    <w:rsid w:val="00F942FE"/>
    <w:rsid w:val="00F94312"/>
    <w:rsid w:val="00F94C10"/>
    <w:rsid w:val="00F94C8E"/>
    <w:rsid w:val="00F94DA2"/>
    <w:rsid w:val="00F9501B"/>
    <w:rsid w:val="00F95186"/>
    <w:rsid w:val="00F95320"/>
    <w:rsid w:val="00F9594A"/>
    <w:rsid w:val="00F95A06"/>
    <w:rsid w:val="00F95F3F"/>
    <w:rsid w:val="00F961C2"/>
    <w:rsid w:val="00F961EA"/>
    <w:rsid w:val="00F96237"/>
    <w:rsid w:val="00F962C2"/>
    <w:rsid w:val="00F96343"/>
    <w:rsid w:val="00F9634A"/>
    <w:rsid w:val="00F96423"/>
    <w:rsid w:val="00F9650F"/>
    <w:rsid w:val="00F968F8"/>
    <w:rsid w:val="00F96B61"/>
    <w:rsid w:val="00F96B82"/>
    <w:rsid w:val="00F96BE6"/>
    <w:rsid w:val="00F971F5"/>
    <w:rsid w:val="00F975D6"/>
    <w:rsid w:val="00F9778A"/>
    <w:rsid w:val="00F97807"/>
    <w:rsid w:val="00F979B3"/>
    <w:rsid w:val="00F979EB"/>
    <w:rsid w:val="00F97BF8"/>
    <w:rsid w:val="00FA0267"/>
    <w:rsid w:val="00FA0275"/>
    <w:rsid w:val="00FA046B"/>
    <w:rsid w:val="00FA04A8"/>
    <w:rsid w:val="00FA0763"/>
    <w:rsid w:val="00FA0B4E"/>
    <w:rsid w:val="00FA0C03"/>
    <w:rsid w:val="00FA10AC"/>
    <w:rsid w:val="00FA1178"/>
    <w:rsid w:val="00FA158E"/>
    <w:rsid w:val="00FA16E4"/>
    <w:rsid w:val="00FA1817"/>
    <w:rsid w:val="00FA18E5"/>
    <w:rsid w:val="00FA1AD4"/>
    <w:rsid w:val="00FA1B11"/>
    <w:rsid w:val="00FA1BA9"/>
    <w:rsid w:val="00FA1D29"/>
    <w:rsid w:val="00FA1F38"/>
    <w:rsid w:val="00FA204F"/>
    <w:rsid w:val="00FA2269"/>
    <w:rsid w:val="00FA2546"/>
    <w:rsid w:val="00FA260E"/>
    <w:rsid w:val="00FA26C2"/>
    <w:rsid w:val="00FA273C"/>
    <w:rsid w:val="00FA2875"/>
    <w:rsid w:val="00FA2BAB"/>
    <w:rsid w:val="00FA2C03"/>
    <w:rsid w:val="00FA2DC8"/>
    <w:rsid w:val="00FA2F47"/>
    <w:rsid w:val="00FA2FE0"/>
    <w:rsid w:val="00FA338C"/>
    <w:rsid w:val="00FA3913"/>
    <w:rsid w:val="00FA39B0"/>
    <w:rsid w:val="00FA3A3F"/>
    <w:rsid w:val="00FA3BAA"/>
    <w:rsid w:val="00FA3BD3"/>
    <w:rsid w:val="00FA3CA7"/>
    <w:rsid w:val="00FA3D88"/>
    <w:rsid w:val="00FA3FB9"/>
    <w:rsid w:val="00FA4153"/>
    <w:rsid w:val="00FA417D"/>
    <w:rsid w:val="00FA43FA"/>
    <w:rsid w:val="00FA44B3"/>
    <w:rsid w:val="00FA4707"/>
    <w:rsid w:val="00FA4A0A"/>
    <w:rsid w:val="00FA4A9A"/>
    <w:rsid w:val="00FA4B5F"/>
    <w:rsid w:val="00FA4DC4"/>
    <w:rsid w:val="00FA4E57"/>
    <w:rsid w:val="00FA513B"/>
    <w:rsid w:val="00FA528A"/>
    <w:rsid w:val="00FA56EF"/>
    <w:rsid w:val="00FA5753"/>
    <w:rsid w:val="00FA57A4"/>
    <w:rsid w:val="00FA584A"/>
    <w:rsid w:val="00FA59E9"/>
    <w:rsid w:val="00FA5B1B"/>
    <w:rsid w:val="00FA5C1F"/>
    <w:rsid w:val="00FA5F68"/>
    <w:rsid w:val="00FA613B"/>
    <w:rsid w:val="00FA6244"/>
    <w:rsid w:val="00FA6270"/>
    <w:rsid w:val="00FA6512"/>
    <w:rsid w:val="00FA6A76"/>
    <w:rsid w:val="00FA6AEE"/>
    <w:rsid w:val="00FA6D78"/>
    <w:rsid w:val="00FA7069"/>
    <w:rsid w:val="00FA71A3"/>
    <w:rsid w:val="00FA72C6"/>
    <w:rsid w:val="00FA762B"/>
    <w:rsid w:val="00FA76FB"/>
    <w:rsid w:val="00FA77BB"/>
    <w:rsid w:val="00FA7878"/>
    <w:rsid w:val="00FA795A"/>
    <w:rsid w:val="00FA7BE2"/>
    <w:rsid w:val="00FB01A2"/>
    <w:rsid w:val="00FB057E"/>
    <w:rsid w:val="00FB072C"/>
    <w:rsid w:val="00FB0D09"/>
    <w:rsid w:val="00FB0E0E"/>
    <w:rsid w:val="00FB0F1B"/>
    <w:rsid w:val="00FB10F6"/>
    <w:rsid w:val="00FB1422"/>
    <w:rsid w:val="00FB1803"/>
    <w:rsid w:val="00FB1812"/>
    <w:rsid w:val="00FB1B31"/>
    <w:rsid w:val="00FB1B8F"/>
    <w:rsid w:val="00FB1F37"/>
    <w:rsid w:val="00FB2006"/>
    <w:rsid w:val="00FB21F9"/>
    <w:rsid w:val="00FB21FA"/>
    <w:rsid w:val="00FB22A1"/>
    <w:rsid w:val="00FB2315"/>
    <w:rsid w:val="00FB2364"/>
    <w:rsid w:val="00FB23F1"/>
    <w:rsid w:val="00FB24E7"/>
    <w:rsid w:val="00FB256F"/>
    <w:rsid w:val="00FB2640"/>
    <w:rsid w:val="00FB286D"/>
    <w:rsid w:val="00FB289E"/>
    <w:rsid w:val="00FB296B"/>
    <w:rsid w:val="00FB2A68"/>
    <w:rsid w:val="00FB2CB5"/>
    <w:rsid w:val="00FB2DF2"/>
    <w:rsid w:val="00FB2FE1"/>
    <w:rsid w:val="00FB31A7"/>
    <w:rsid w:val="00FB3500"/>
    <w:rsid w:val="00FB362F"/>
    <w:rsid w:val="00FB3B3D"/>
    <w:rsid w:val="00FB3F34"/>
    <w:rsid w:val="00FB439C"/>
    <w:rsid w:val="00FB44FF"/>
    <w:rsid w:val="00FB4586"/>
    <w:rsid w:val="00FB461F"/>
    <w:rsid w:val="00FB4976"/>
    <w:rsid w:val="00FB4B0E"/>
    <w:rsid w:val="00FB4BE1"/>
    <w:rsid w:val="00FB512C"/>
    <w:rsid w:val="00FB5246"/>
    <w:rsid w:val="00FB52C9"/>
    <w:rsid w:val="00FB544F"/>
    <w:rsid w:val="00FB57D4"/>
    <w:rsid w:val="00FB5A0C"/>
    <w:rsid w:val="00FB5E86"/>
    <w:rsid w:val="00FB5F0E"/>
    <w:rsid w:val="00FB61FB"/>
    <w:rsid w:val="00FB61FD"/>
    <w:rsid w:val="00FB6285"/>
    <w:rsid w:val="00FB6394"/>
    <w:rsid w:val="00FB641F"/>
    <w:rsid w:val="00FB65FC"/>
    <w:rsid w:val="00FB66BE"/>
    <w:rsid w:val="00FB6707"/>
    <w:rsid w:val="00FB67F2"/>
    <w:rsid w:val="00FB682B"/>
    <w:rsid w:val="00FB6870"/>
    <w:rsid w:val="00FB6B36"/>
    <w:rsid w:val="00FB7484"/>
    <w:rsid w:val="00FB7570"/>
    <w:rsid w:val="00FB75F1"/>
    <w:rsid w:val="00FB75F2"/>
    <w:rsid w:val="00FB791D"/>
    <w:rsid w:val="00FB7B70"/>
    <w:rsid w:val="00FB7CD0"/>
    <w:rsid w:val="00FC00C4"/>
    <w:rsid w:val="00FC00DD"/>
    <w:rsid w:val="00FC010F"/>
    <w:rsid w:val="00FC0253"/>
    <w:rsid w:val="00FC0404"/>
    <w:rsid w:val="00FC045C"/>
    <w:rsid w:val="00FC0514"/>
    <w:rsid w:val="00FC051D"/>
    <w:rsid w:val="00FC0661"/>
    <w:rsid w:val="00FC07D2"/>
    <w:rsid w:val="00FC0BF2"/>
    <w:rsid w:val="00FC0BF3"/>
    <w:rsid w:val="00FC0E87"/>
    <w:rsid w:val="00FC0F8D"/>
    <w:rsid w:val="00FC1062"/>
    <w:rsid w:val="00FC118E"/>
    <w:rsid w:val="00FC1265"/>
    <w:rsid w:val="00FC12EB"/>
    <w:rsid w:val="00FC1410"/>
    <w:rsid w:val="00FC14DA"/>
    <w:rsid w:val="00FC1618"/>
    <w:rsid w:val="00FC1619"/>
    <w:rsid w:val="00FC1700"/>
    <w:rsid w:val="00FC17C9"/>
    <w:rsid w:val="00FC185F"/>
    <w:rsid w:val="00FC1B0B"/>
    <w:rsid w:val="00FC1C92"/>
    <w:rsid w:val="00FC1EC0"/>
    <w:rsid w:val="00FC1F5E"/>
    <w:rsid w:val="00FC1F8E"/>
    <w:rsid w:val="00FC2070"/>
    <w:rsid w:val="00FC20E7"/>
    <w:rsid w:val="00FC2106"/>
    <w:rsid w:val="00FC238F"/>
    <w:rsid w:val="00FC2445"/>
    <w:rsid w:val="00FC25DB"/>
    <w:rsid w:val="00FC286B"/>
    <w:rsid w:val="00FC2E0D"/>
    <w:rsid w:val="00FC3106"/>
    <w:rsid w:val="00FC31D6"/>
    <w:rsid w:val="00FC3298"/>
    <w:rsid w:val="00FC3366"/>
    <w:rsid w:val="00FC33FA"/>
    <w:rsid w:val="00FC363E"/>
    <w:rsid w:val="00FC3B07"/>
    <w:rsid w:val="00FC3B26"/>
    <w:rsid w:val="00FC3B73"/>
    <w:rsid w:val="00FC3FAB"/>
    <w:rsid w:val="00FC41E7"/>
    <w:rsid w:val="00FC4233"/>
    <w:rsid w:val="00FC4331"/>
    <w:rsid w:val="00FC4402"/>
    <w:rsid w:val="00FC449C"/>
    <w:rsid w:val="00FC4597"/>
    <w:rsid w:val="00FC45A1"/>
    <w:rsid w:val="00FC45E9"/>
    <w:rsid w:val="00FC46F8"/>
    <w:rsid w:val="00FC4794"/>
    <w:rsid w:val="00FC49A1"/>
    <w:rsid w:val="00FC49AF"/>
    <w:rsid w:val="00FC4DB1"/>
    <w:rsid w:val="00FC4E2E"/>
    <w:rsid w:val="00FC4E98"/>
    <w:rsid w:val="00FC5055"/>
    <w:rsid w:val="00FC51BC"/>
    <w:rsid w:val="00FC5274"/>
    <w:rsid w:val="00FC527E"/>
    <w:rsid w:val="00FC567E"/>
    <w:rsid w:val="00FC5840"/>
    <w:rsid w:val="00FC59C6"/>
    <w:rsid w:val="00FC5F3F"/>
    <w:rsid w:val="00FC5FF6"/>
    <w:rsid w:val="00FC601C"/>
    <w:rsid w:val="00FC6071"/>
    <w:rsid w:val="00FC60E5"/>
    <w:rsid w:val="00FC62EE"/>
    <w:rsid w:val="00FC66E4"/>
    <w:rsid w:val="00FC6AF5"/>
    <w:rsid w:val="00FC6D2A"/>
    <w:rsid w:val="00FC6DBB"/>
    <w:rsid w:val="00FC6EEE"/>
    <w:rsid w:val="00FC7090"/>
    <w:rsid w:val="00FC70DB"/>
    <w:rsid w:val="00FC72CD"/>
    <w:rsid w:val="00FC7349"/>
    <w:rsid w:val="00FC7720"/>
    <w:rsid w:val="00FC77AD"/>
    <w:rsid w:val="00FC78DB"/>
    <w:rsid w:val="00FC7978"/>
    <w:rsid w:val="00FC7B77"/>
    <w:rsid w:val="00FC7CD5"/>
    <w:rsid w:val="00FC7DB1"/>
    <w:rsid w:val="00FC7E93"/>
    <w:rsid w:val="00FC7FF1"/>
    <w:rsid w:val="00FD0128"/>
    <w:rsid w:val="00FD015E"/>
    <w:rsid w:val="00FD02F4"/>
    <w:rsid w:val="00FD03FB"/>
    <w:rsid w:val="00FD050C"/>
    <w:rsid w:val="00FD0571"/>
    <w:rsid w:val="00FD06A4"/>
    <w:rsid w:val="00FD07F4"/>
    <w:rsid w:val="00FD09A7"/>
    <w:rsid w:val="00FD0A2F"/>
    <w:rsid w:val="00FD0AE5"/>
    <w:rsid w:val="00FD0EDA"/>
    <w:rsid w:val="00FD0F29"/>
    <w:rsid w:val="00FD1201"/>
    <w:rsid w:val="00FD1342"/>
    <w:rsid w:val="00FD13F6"/>
    <w:rsid w:val="00FD16B0"/>
    <w:rsid w:val="00FD18D5"/>
    <w:rsid w:val="00FD1AB8"/>
    <w:rsid w:val="00FD1AF2"/>
    <w:rsid w:val="00FD1C88"/>
    <w:rsid w:val="00FD1D82"/>
    <w:rsid w:val="00FD1E45"/>
    <w:rsid w:val="00FD1FB1"/>
    <w:rsid w:val="00FD20BB"/>
    <w:rsid w:val="00FD2197"/>
    <w:rsid w:val="00FD22EA"/>
    <w:rsid w:val="00FD23F6"/>
    <w:rsid w:val="00FD2499"/>
    <w:rsid w:val="00FD2535"/>
    <w:rsid w:val="00FD28FB"/>
    <w:rsid w:val="00FD2979"/>
    <w:rsid w:val="00FD29B8"/>
    <w:rsid w:val="00FD2A1C"/>
    <w:rsid w:val="00FD2B77"/>
    <w:rsid w:val="00FD2BC3"/>
    <w:rsid w:val="00FD2E8D"/>
    <w:rsid w:val="00FD2FE9"/>
    <w:rsid w:val="00FD3300"/>
    <w:rsid w:val="00FD333A"/>
    <w:rsid w:val="00FD3483"/>
    <w:rsid w:val="00FD35A7"/>
    <w:rsid w:val="00FD3669"/>
    <w:rsid w:val="00FD36CD"/>
    <w:rsid w:val="00FD37EC"/>
    <w:rsid w:val="00FD3B42"/>
    <w:rsid w:val="00FD3F78"/>
    <w:rsid w:val="00FD4136"/>
    <w:rsid w:val="00FD41B1"/>
    <w:rsid w:val="00FD41CE"/>
    <w:rsid w:val="00FD4241"/>
    <w:rsid w:val="00FD4523"/>
    <w:rsid w:val="00FD4601"/>
    <w:rsid w:val="00FD4725"/>
    <w:rsid w:val="00FD4828"/>
    <w:rsid w:val="00FD4F88"/>
    <w:rsid w:val="00FD505E"/>
    <w:rsid w:val="00FD52D9"/>
    <w:rsid w:val="00FD53E3"/>
    <w:rsid w:val="00FD5481"/>
    <w:rsid w:val="00FD5510"/>
    <w:rsid w:val="00FD58CD"/>
    <w:rsid w:val="00FD598A"/>
    <w:rsid w:val="00FD5D84"/>
    <w:rsid w:val="00FD5E88"/>
    <w:rsid w:val="00FD5FE7"/>
    <w:rsid w:val="00FD6315"/>
    <w:rsid w:val="00FD679F"/>
    <w:rsid w:val="00FD688D"/>
    <w:rsid w:val="00FD68E1"/>
    <w:rsid w:val="00FD6A2E"/>
    <w:rsid w:val="00FD6B51"/>
    <w:rsid w:val="00FD6CE0"/>
    <w:rsid w:val="00FD6D94"/>
    <w:rsid w:val="00FD6DCD"/>
    <w:rsid w:val="00FD6EF7"/>
    <w:rsid w:val="00FD70F1"/>
    <w:rsid w:val="00FD7139"/>
    <w:rsid w:val="00FD730E"/>
    <w:rsid w:val="00FD7363"/>
    <w:rsid w:val="00FD73EF"/>
    <w:rsid w:val="00FD759F"/>
    <w:rsid w:val="00FD75D3"/>
    <w:rsid w:val="00FD7770"/>
    <w:rsid w:val="00FD792C"/>
    <w:rsid w:val="00FD7AD1"/>
    <w:rsid w:val="00FD7FF9"/>
    <w:rsid w:val="00FE00B5"/>
    <w:rsid w:val="00FE0145"/>
    <w:rsid w:val="00FE0149"/>
    <w:rsid w:val="00FE0386"/>
    <w:rsid w:val="00FE0398"/>
    <w:rsid w:val="00FE04EF"/>
    <w:rsid w:val="00FE04F0"/>
    <w:rsid w:val="00FE084E"/>
    <w:rsid w:val="00FE0A50"/>
    <w:rsid w:val="00FE0AC9"/>
    <w:rsid w:val="00FE0D33"/>
    <w:rsid w:val="00FE0D77"/>
    <w:rsid w:val="00FE0E44"/>
    <w:rsid w:val="00FE123C"/>
    <w:rsid w:val="00FE124E"/>
    <w:rsid w:val="00FE12EA"/>
    <w:rsid w:val="00FE1371"/>
    <w:rsid w:val="00FE13D2"/>
    <w:rsid w:val="00FE1744"/>
    <w:rsid w:val="00FE194A"/>
    <w:rsid w:val="00FE1C25"/>
    <w:rsid w:val="00FE1C9B"/>
    <w:rsid w:val="00FE1CB6"/>
    <w:rsid w:val="00FE1CE4"/>
    <w:rsid w:val="00FE1D15"/>
    <w:rsid w:val="00FE1DF0"/>
    <w:rsid w:val="00FE1F35"/>
    <w:rsid w:val="00FE22A5"/>
    <w:rsid w:val="00FE2333"/>
    <w:rsid w:val="00FE24C9"/>
    <w:rsid w:val="00FE25FD"/>
    <w:rsid w:val="00FE263C"/>
    <w:rsid w:val="00FE2691"/>
    <w:rsid w:val="00FE298A"/>
    <w:rsid w:val="00FE2A76"/>
    <w:rsid w:val="00FE2BAC"/>
    <w:rsid w:val="00FE2D30"/>
    <w:rsid w:val="00FE2DA8"/>
    <w:rsid w:val="00FE3066"/>
    <w:rsid w:val="00FE3175"/>
    <w:rsid w:val="00FE323B"/>
    <w:rsid w:val="00FE33E3"/>
    <w:rsid w:val="00FE3643"/>
    <w:rsid w:val="00FE3805"/>
    <w:rsid w:val="00FE383E"/>
    <w:rsid w:val="00FE38F4"/>
    <w:rsid w:val="00FE3C54"/>
    <w:rsid w:val="00FE3C64"/>
    <w:rsid w:val="00FE41B1"/>
    <w:rsid w:val="00FE41EF"/>
    <w:rsid w:val="00FE4505"/>
    <w:rsid w:val="00FE454F"/>
    <w:rsid w:val="00FE48A9"/>
    <w:rsid w:val="00FE48E1"/>
    <w:rsid w:val="00FE49B5"/>
    <w:rsid w:val="00FE4C33"/>
    <w:rsid w:val="00FE4D2A"/>
    <w:rsid w:val="00FE4D99"/>
    <w:rsid w:val="00FE4E19"/>
    <w:rsid w:val="00FE4FEB"/>
    <w:rsid w:val="00FE512A"/>
    <w:rsid w:val="00FE5221"/>
    <w:rsid w:val="00FE555C"/>
    <w:rsid w:val="00FE5629"/>
    <w:rsid w:val="00FE59CA"/>
    <w:rsid w:val="00FE59F3"/>
    <w:rsid w:val="00FE5BD5"/>
    <w:rsid w:val="00FE5C04"/>
    <w:rsid w:val="00FE5E67"/>
    <w:rsid w:val="00FE5F75"/>
    <w:rsid w:val="00FE6499"/>
    <w:rsid w:val="00FE673C"/>
    <w:rsid w:val="00FE6821"/>
    <w:rsid w:val="00FE6916"/>
    <w:rsid w:val="00FE6BEA"/>
    <w:rsid w:val="00FE6C79"/>
    <w:rsid w:val="00FE6CB0"/>
    <w:rsid w:val="00FE6F14"/>
    <w:rsid w:val="00FE7219"/>
    <w:rsid w:val="00FE7381"/>
    <w:rsid w:val="00FE76CA"/>
    <w:rsid w:val="00FE790E"/>
    <w:rsid w:val="00FF0179"/>
    <w:rsid w:val="00FF0238"/>
    <w:rsid w:val="00FF079F"/>
    <w:rsid w:val="00FF085E"/>
    <w:rsid w:val="00FF0A8A"/>
    <w:rsid w:val="00FF0C6C"/>
    <w:rsid w:val="00FF0CB7"/>
    <w:rsid w:val="00FF0CD0"/>
    <w:rsid w:val="00FF0D99"/>
    <w:rsid w:val="00FF0E25"/>
    <w:rsid w:val="00FF10E3"/>
    <w:rsid w:val="00FF115A"/>
    <w:rsid w:val="00FF132C"/>
    <w:rsid w:val="00FF191B"/>
    <w:rsid w:val="00FF1B36"/>
    <w:rsid w:val="00FF1B9F"/>
    <w:rsid w:val="00FF1DF4"/>
    <w:rsid w:val="00FF1E7F"/>
    <w:rsid w:val="00FF1F4F"/>
    <w:rsid w:val="00FF2036"/>
    <w:rsid w:val="00FF23F0"/>
    <w:rsid w:val="00FF27DF"/>
    <w:rsid w:val="00FF29A5"/>
    <w:rsid w:val="00FF29AB"/>
    <w:rsid w:val="00FF2A8A"/>
    <w:rsid w:val="00FF2FD0"/>
    <w:rsid w:val="00FF3304"/>
    <w:rsid w:val="00FF336A"/>
    <w:rsid w:val="00FF3764"/>
    <w:rsid w:val="00FF39BE"/>
    <w:rsid w:val="00FF3C5A"/>
    <w:rsid w:val="00FF3DBC"/>
    <w:rsid w:val="00FF3DFD"/>
    <w:rsid w:val="00FF4175"/>
    <w:rsid w:val="00FF419C"/>
    <w:rsid w:val="00FF42B9"/>
    <w:rsid w:val="00FF4605"/>
    <w:rsid w:val="00FF4648"/>
    <w:rsid w:val="00FF466A"/>
    <w:rsid w:val="00FF4994"/>
    <w:rsid w:val="00FF4DBF"/>
    <w:rsid w:val="00FF4E21"/>
    <w:rsid w:val="00FF500D"/>
    <w:rsid w:val="00FF5307"/>
    <w:rsid w:val="00FF57D0"/>
    <w:rsid w:val="00FF5806"/>
    <w:rsid w:val="00FF5812"/>
    <w:rsid w:val="00FF5818"/>
    <w:rsid w:val="00FF58CC"/>
    <w:rsid w:val="00FF595C"/>
    <w:rsid w:val="00FF5CAF"/>
    <w:rsid w:val="00FF605E"/>
    <w:rsid w:val="00FF62A7"/>
    <w:rsid w:val="00FF62C1"/>
    <w:rsid w:val="00FF6594"/>
    <w:rsid w:val="00FF65F2"/>
    <w:rsid w:val="00FF68AD"/>
    <w:rsid w:val="00FF6B18"/>
    <w:rsid w:val="00FF6BD8"/>
    <w:rsid w:val="00FF6C45"/>
    <w:rsid w:val="00FF6CF8"/>
    <w:rsid w:val="00FF6D4A"/>
    <w:rsid w:val="00FF6E8B"/>
    <w:rsid w:val="00FF70E6"/>
    <w:rsid w:val="00FF71C2"/>
    <w:rsid w:val="00FF7218"/>
    <w:rsid w:val="00FF739D"/>
    <w:rsid w:val="00FF7437"/>
    <w:rsid w:val="00FF754C"/>
    <w:rsid w:val="00FF75F7"/>
    <w:rsid w:val="00FF7701"/>
    <w:rsid w:val="00FF78F6"/>
    <w:rsid w:val="00FF7998"/>
    <w:rsid w:val="00FF7C25"/>
    <w:rsid w:val="00FF7CC6"/>
    <w:rsid w:val="00FF7D1C"/>
    <w:rsid w:val="00FF7E6B"/>
    <w:rsid w:val="00FF7EEE"/>
    <w:rsid w:val="00FF7FAE"/>
    <w:rsid w:val="00FF7FF2"/>
    <w:rsid w:val="00FF7FFB"/>
    <w:rsid w:val="078767B6"/>
    <w:rsid w:val="15778CCB"/>
    <w:rsid w:val="173C569E"/>
    <w:rsid w:val="1BA84215"/>
    <w:rsid w:val="25590B64"/>
    <w:rsid w:val="285BB587"/>
    <w:rsid w:val="29145A8C"/>
    <w:rsid w:val="319A7F77"/>
    <w:rsid w:val="40D18EFB"/>
    <w:rsid w:val="430ADB83"/>
    <w:rsid w:val="5151E850"/>
    <w:rsid w:val="63A14561"/>
    <w:rsid w:val="7AFFD19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36A3314"/>
  <w15:chartTrackingRefBased/>
  <w15:docId w15:val="{8EFD8597-1312-4070-9CB7-8199B5D0CD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SimSun"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0"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409D3"/>
    <w:pPr>
      <w:spacing w:after="180" w:line="240" w:lineRule="auto"/>
      <w:jc w:val="both"/>
    </w:pPr>
    <w:rPr>
      <w:rFonts w:ascii="Times New Roman" w:eastAsia="Malgun Gothic" w:hAnsi="Times New Roman" w:cs="Times New Roman"/>
      <w:lang w:val="en-GB"/>
    </w:rPr>
  </w:style>
  <w:style w:type="paragraph" w:styleId="Heading1">
    <w:name w:val="heading 1"/>
    <w:next w:val="Normal"/>
    <w:link w:val="Heading1Char"/>
    <w:qFormat/>
    <w:rsid w:val="00BC24FC"/>
    <w:pPr>
      <w:keepNext/>
      <w:keepLines/>
      <w:numPr>
        <w:numId w:val="1"/>
      </w:numPr>
      <w:pBdr>
        <w:top w:val="single" w:sz="12" w:space="3" w:color="auto"/>
      </w:pBdr>
      <w:overflowPunct w:val="0"/>
      <w:autoSpaceDE w:val="0"/>
      <w:autoSpaceDN w:val="0"/>
      <w:adjustRightInd w:val="0"/>
      <w:spacing w:before="240" w:after="120" w:line="240" w:lineRule="auto"/>
      <w:jc w:val="both"/>
      <w:textAlignment w:val="baseline"/>
      <w:outlineLvl w:val="0"/>
    </w:pPr>
    <w:rPr>
      <w:rFonts w:ascii="Times New Roman" w:eastAsia="Malgun Gothic" w:hAnsi="Times New Roman" w:cs="Times New Roman"/>
      <w:sz w:val="32"/>
      <w:szCs w:val="20"/>
      <w:lang w:val="en-GB"/>
    </w:rPr>
  </w:style>
  <w:style w:type="paragraph" w:styleId="Heading2">
    <w:name w:val="heading 2"/>
    <w:basedOn w:val="Heading1"/>
    <w:next w:val="Normal"/>
    <w:link w:val="Heading2Char"/>
    <w:qFormat/>
    <w:rsid w:val="00BC24FC"/>
    <w:pPr>
      <w:numPr>
        <w:ilvl w:val="1"/>
      </w:numPr>
      <w:pBdr>
        <w:top w:val="none" w:sz="0" w:space="0" w:color="auto"/>
      </w:pBdr>
      <w:spacing w:before="180"/>
      <w:outlineLvl w:val="1"/>
    </w:pPr>
    <w:rPr>
      <w:sz w:val="28"/>
    </w:rPr>
  </w:style>
  <w:style w:type="paragraph" w:styleId="Heading3">
    <w:name w:val="heading 3"/>
    <w:basedOn w:val="Heading2"/>
    <w:next w:val="Normal"/>
    <w:link w:val="Heading3Char"/>
    <w:qFormat/>
    <w:rsid w:val="00BC24FC"/>
    <w:pPr>
      <w:numPr>
        <w:ilvl w:val="2"/>
      </w:numPr>
      <w:spacing w:before="120"/>
      <w:outlineLvl w:val="2"/>
    </w:pPr>
    <w:rPr>
      <w:sz w:val="26"/>
      <w:szCs w:val="26"/>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BC24FC"/>
    <w:pPr>
      <w:numPr>
        <w:ilvl w:val="3"/>
      </w:numPr>
      <w:outlineLvl w:val="3"/>
    </w:pPr>
  </w:style>
  <w:style w:type="paragraph" w:styleId="Heading5">
    <w:name w:val="heading 5"/>
    <w:basedOn w:val="Heading4"/>
    <w:next w:val="Normal"/>
    <w:link w:val="Heading5Char"/>
    <w:qFormat/>
    <w:rsid w:val="00BC24FC"/>
    <w:pPr>
      <w:numPr>
        <w:ilvl w:val="4"/>
      </w:numPr>
      <w:tabs>
        <w:tab w:val="clear" w:pos="0"/>
      </w:tabs>
      <w:ind w:left="3600" w:hanging="360"/>
      <w:outlineLvl w:val="4"/>
    </w:pPr>
  </w:style>
  <w:style w:type="paragraph" w:styleId="Heading6">
    <w:name w:val="heading 6"/>
    <w:basedOn w:val="Normal"/>
    <w:next w:val="Normal"/>
    <w:link w:val="Heading6Char"/>
    <w:qFormat/>
    <w:rsid w:val="00BC24FC"/>
    <w:pPr>
      <w:keepNext/>
      <w:keepLines/>
      <w:numPr>
        <w:ilvl w:val="5"/>
        <w:numId w:val="1"/>
      </w:numPr>
      <w:tabs>
        <w:tab w:val="clear" w:pos="1152"/>
      </w:tabs>
      <w:overflowPunct w:val="0"/>
      <w:autoSpaceDE w:val="0"/>
      <w:autoSpaceDN w:val="0"/>
      <w:adjustRightInd w:val="0"/>
      <w:spacing w:before="120" w:after="120"/>
      <w:ind w:left="4320" w:hanging="360"/>
      <w:textAlignment w:val="baseline"/>
      <w:outlineLvl w:val="5"/>
    </w:pPr>
    <w:rPr>
      <w:sz w:val="20"/>
      <w:szCs w:val="26"/>
    </w:rPr>
  </w:style>
  <w:style w:type="paragraph" w:styleId="Heading7">
    <w:name w:val="heading 7"/>
    <w:basedOn w:val="Normal"/>
    <w:next w:val="Normal"/>
    <w:link w:val="Heading7Char"/>
    <w:qFormat/>
    <w:rsid w:val="00BC24FC"/>
    <w:pPr>
      <w:keepNext/>
      <w:keepLines/>
      <w:numPr>
        <w:ilvl w:val="6"/>
        <w:numId w:val="1"/>
      </w:numPr>
      <w:tabs>
        <w:tab w:val="clear" w:pos="1296"/>
      </w:tabs>
      <w:overflowPunct w:val="0"/>
      <w:autoSpaceDE w:val="0"/>
      <w:autoSpaceDN w:val="0"/>
      <w:adjustRightInd w:val="0"/>
      <w:spacing w:before="120" w:after="120"/>
      <w:ind w:left="5040" w:hanging="360"/>
      <w:textAlignment w:val="baseline"/>
      <w:outlineLvl w:val="6"/>
    </w:pPr>
    <w:rPr>
      <w:sz w:val="20"/>
      <w:szCs w:val="26"/>
    </w:rPr>
  </w:style>
  <w:style w:type="paragraph" w:styleId="Heading8">
    <w:name w:val="heading 8"/>
    <w:basedOn w:val="Heading1"/>
    <w:next w:val="Normal"/>
    <w:link w:val="Heading8Char"/>
    <w:qFormat/>
    <w:rsid w:val="00BC24FC"/>
    <w:pPr>
      <w:numPr>
        <w:ilvl w:val="7"/>
      </w:numPr>
      <w:tabs>
        <w:tab w:val="clear" w:pos="1440"/>
      </w:tabs>
      <w:ind w:left="5760" w:hanging="360"/>
      <w:outlineLvl w:val="7"/>
    </w:pPr>
  </w:style>
  <w:style w:type="paragraph" w:styleId="Heading9">
    <w:name w:val="heading 9"/>
    <w:basedOn w:val="Heading8"/>
    <w:next w:val="Normal"/>
    <w:link w:val="Heading9Char"/>
    <w:qFormat/>
    <w:rsid w:val="00BC24FC"/>
    <w:pPr>
      <w:numPr>
        <w:ilvl w:val="8"/>
      </w:numPr>
      <w:tabs>
        <w:tab w:val="clear" w:pos="1584"/>
      </w:tabs>
      <w:ind w:left="6480" w:hanging="3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C24FC"/>
    <w:rPr>
      <w:rFonts w:ascii="Times New Roman" w:eastAsia="Malgun Gothic" w:hAnsi="Times New Roman" w:cs="Times New Roman"/>
      <w:sz w:val="32"/>
      <w:szCs w:val="20"/>
      <w:lang w:val="en-GB"/>
    </w:rPr>
  </w:style>
  <w:style w:type="character" w:customStyle="1" w:styleId="Heading2Char">
    <w:name w:val="Heading 2 Char"/>
    <w:basedOn w:val="DefaultParagraphFont"/>
    <w:link w:val="Heading2"/>
    <w:rsid w:val="00BC24FC"/>
    <w:rPr>
      <w:rFonts w:ascii="Times New Roman" w:eastAsia="Malgun Gothic" w:hAnsi="Times New Roman" w:cs="Times New Roman"/>
      <w:sz w:val="28"/>
      <w:szCs w:val="20"/>
      <w:lang w:val="en-GB"/>
    </w:rPr>
  </w:style>
  <w:style w:type="character" w:customStyle="1" w:styleId="Heading3Char">
    <w:name w:val="Heading 3 Char"/>
    <w:basedOn w:val="DefaultParagraphFont"/>
    <w:link w:val="Heading3"/>
    <w:rsid w:val="00BC24FC"/>
    <w:rPr>
      <w:rFonts w:ascii="Times New Roman" w:eastAsia="Malgun Gothic" w:hAnsi="Times New Roman" w:cs="Times New Roman"/>
      <w:sz w:val="26"/>
      <w:szCs w:val="26"/>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BC24FC"/>
    <w:rPr>
      <w:rFonts w:ascii="Times New Roman" w:eastAsia="Malgun Gothic" w:hAnsi="Times New Roman" w:cs="Times New Roman"/>
      <w:sz w:val="26"/>
      <w:szCs w:val="26"/>
      <w:lang w:val="en-GB"/>
    </w:rPr>
  </w:style>
  <w:style w:type="character" w:customStyle="1" w:styleId="Heading5Char">
    <w:name w:val="Heading 5 Char"/>
    <w:basedOn w:val="DefaultParagraphFont"/>
    <w:link w:val="Heading5"/>
    <w:rsid w:val="00BC24FC"/>
    <w:rPr>
      <w:rFonts w:ascii="Times New Roman" w:eastAsia="Malgun Gothic" w:hAnsi="Times New Roman" w:cs="Times New Roman"/>
      <w:sz w:val="26"/>
      <w:szCs w:val="26"/>
      <w:lang w:val="en-GB"/>
    </w:rPr>
  </w:style>
  <w:style w:type="character" w:customStyle="1" w:styleId="Heading6Char">
    <w:name w:val="Heading 6 Char"/>
    <w:basedOn w:val="DefaultParagraphFont"/>
    <w:link w:val="Heading6"/>
    <w:rsid w:val="00BC24FC"/>
    <w:rPr>
      <w:rFonts w:ascii="Times New Roman" w:eastAsia="Malgun Gothic" w:hAnsi="Times New Roman" w:cs="Times New Roman"/>
      <w:sz w:val="20"/>
      <w:szCs w:val="26"/>
      <w:lang w:val="en-GB"/>
    </w:rPr>
  </w:style>
  <w:style w:type="character" w:customStyle="1" w:styleId="Heading7Char">
    <w:name w:val="Heading 7 Char"/>
    <w:basedOn w:val="DefaultParagraphFont"/>
    <w:link w:val="Heading7"/>
    <w:rsid w:val="00BC24FC"/>
    <w:rPr>
      <w:rFonts w:ascii="Times New Roman" w:eastAsia="Malgun Gothic" w:hAnsi="Times New Roman" w:cs="Times New Roman"/>
      <w:sz w:val="20"/>
      <w:szCs w:val="26"/>
      <w:lang w:val="en-GB"/>
    </w:rPr>
  </w:style>
  <w:style w:type="character" w:customStyle="1" w:styleId="Heading8Char">
    <w:name w:val="Heading 8 Char"/>
    <w:basedOn w:val="DefaultParagraphFont"/>
    <w:link w:val="Heading8"/>
    <w:rsid w:val="00BC24FC"/>
    <w:rPr>
      <w:rFonts w:ascii="Times New Roman" w:eastAsia="Malgun Gothic" w:hAnsi="Times New Roman" w:cs="Times New Roman"/>
      <w:sz w:val="32"/>
      <w:szCs w:val="20"/>
      <w:lang w:val="en-GB"/>
    </w:rPr>
  </w:style>
  <w:style w:type="character" w:customStyle="1" w:styleId="Heading9Char">
    <w:name w:val="Heading 9 Char"/>
    <w:basedOn w:val="DefaultParagraphFont"/>
    <w:link w:val="Heading9"/>
    <w:rsid w:val="00BC24FC"/>
    <w:rPr>
      <w:rFonts w:ascii="Times New Roman" w:eastAsia="Malgun Gothic" w:hAnsi="Times New Roman" w:cs="Times New Roman"/>
      <w:sz w:val="32"/>
      <w:szCs w:val="20"/>
      <w:lang w:val="en-GB"/>
    </w:rPr>
  </w:style>
  <w:style w:type="paragraph" w:customStyle="1" w:styleId="3GPPText">
    <w:name w:val="3GPP Text"/>
    <w:basedOn w:val="Normal"/>
    <w:link w:val="3GPPTextChar"/>
    <w:qFormat/>
    <w:rsid w:val="00BC24FC"/>
  </w:style>
  <w:style w:type="character" w:customStyle="1" w:styleId="3GPPTextChar">
    <w:name w:val="3GPP Text Char"/>
    <w:link w:val="3GPPText"/>
    <w:qFormat/>
    <w:rsid w:val="00BC24FC"/>
    <w:rPr>
      <w:rFonts w:ascii="Times New Roman" w:eastAsia="Malgun Gothic" w:hAnsi="Times New Roman" w:cs="Times New Roman"/>
      <w:lang w:val="en-GB"/>
    </w:rPr>
  </w:style>
  <w:style w:type="paragraph" w:styleId="Header">
    <w:name w:val="header"/>
    <w:basedOn w:val="Normal"/>
    <w:link w:val="HeaderChar"/>
    <w:uiPriority w:val="99"/>
    <w:unhideWhenUsed/>
    <w:rsid w:val="000A405D"/>
    <w:pPr>
      <w:tabs>
        <w:tab w:val="center" w:pos="4680"/>
        <w:tab w:val="right" w:pos="9360"/>
      </w:tabs>
      <w:spacing w:after="0"/>
    </w:pPr>
  </w:style>
  <w:style w:type="character" w:customStyle="1" w:styleId="HeaderChar">
    <w:name w:val="Header Char"/>
    <w:basedOn w:val="DefaultParagraphFont"/>
    <w:link w:val="Header"/>
    <w:uiPriority w:val="99"/>
    <w:rsid w:val="000A405D"/>
    <w:rPr>
      <w:rFonts w:ascii="Times New Roman" w:eastAsia="Malgun Gothic" w:hAnsi="Times New Roman" w:cs="Times New Roman"/>
      <w:lang w:val="en-GB"/>
    </w:rPr>
  </w:style>
  <w:style w:type="paragraph" w:styleId="Footer">
    <w:name w:val="footer"/>
    <w:basedOn w:val="Normal"/>
    <w:link w:val="FooterChar"/>
    <w:uiPriority w:val="99"/>
    <w:unhideWhenUsed/>
    <w:rsid w:val="000A405D"/>
    <w:pPr>
      <w:tabs>
        <w:tab w:val="center" w:pos="4680"/>
        <w:tab w:val="right" w:pos="9360"/>
      </w:tabs>
      <w:spacing w:after="0"/>
    </w:pPr>
  </w:style>
  <w:style w:type="character" w:customStyle="1" w:styleId="FooterChar">
    <w:name w:val="Footer Char"/>
    <w:basedOn w:val="DefaultParagraphFont"/>
    <w:link w:val="Footer"/>
    <w:uiPriority w:val="99"/>
    <w:rsid w:val="000A405D"/>
    <w:rPr>
      <w:rFonts w:ascii="Times New Roman" w:eastAsia="Malgun Gothic" w:hAnsi="Times New Roman" w:cs="Times New Roman"/>
      <w:lang w:val="en-GB"/>
    </w:rPr>
  </w:style>
  <w:style w:type="paragraph" w:styleId="Caption">
    <w:name w:val="caption"/>
    <w:aliases w:val="cap"/>
    <w:basedOn w:val="Normal"/>
    <w:next w:val="Normal"/>
    <w:link w:val="CaptionChar"/>
    <w:unhideWhenUsed/>
    <w:qFormat/>
    <w:rsid w:val="00364FF9"/>
    <w:pPr>
      <w:spacing w:after="200"/>
      <w:jc w:val="center"/>
    </w:pPr>
    <w:rPr>
      <w:b/>
      <w:bCs/>
      <w:sz w:val="18"/>
      <w:szCs w:val="18"/>
    </w:rPr>
  </w:style>
  <w:style w:type="character" w:customStyle="1" w:styleId="CaptionChar">
    <w:name w:val="Caption Char"/>
    <w:aliases w:val="cap Char"/>
    <w:link w:val="Caption"/>
    <w:rsid w:val="00364FF9"/>
    <w:rPr>
      <w:rFonts w:ascii="Times New Roman" w:eastAsia="Malgun Gothic" w:hAnsi="Times New Roman" w:cs="Times New Roman"/>
      <w:b/>
      <w:bCs/>
      <w:sz w:val="18"/>
      <w:szCs w:val="18"/>
      <w:lang w:val="en-GB"/>
    </w:rPr>
  </w:style>
  <w:style w:type="paragraph" w:customStyle="1" w:styleId="Proposal">
    <w:name w:val="Proposal"/>
    <w:basedOn w:val="Normal"/>
    <w:link w:val="ProposalChar"/>
    <w:qFormat/>
    <w:rsid w:val="00364FF9"/>
    <w:pPr>
      <w:numPr>
        <w:numId w:val="4"/>
      </w:numPr>
      <w:tabs>
        <w:tab w:val="left" w:pos="1701"/>
      </w:tabs>
      <w:overflowPunct w:val="0"/>
      <w:autoSpaceDE w:val="0"/>
      <w:autoSpaceDN w:val="0"/>
      <w:adjustRightInd w:val="0"/>
      <w:spacing w:after="120"/>
      <w:textAlignment w:val="baseline"/>
    </w:pPr>
    <w:rPr>
      <w:rFonts w:eastAsia="Times New Roman"/>
      <w:b/>
      <w:bCs/>
      <w:i/>
      <w:iCs/>
      <w:lang w:eastAsia="zh-CN"/>
    </w:rPr>
  </w:style>
  <w:style w:type="character" w:customStyle="1" w:styleId="ProposalChar">
    <w:name w:val="Proposal Char"/>
    <w:link w:val="Proposal"/>
    <w:rsid w:val="00364FF9"/>
    <w:rPr>
      <w:rFonts w:ascii="Times New Roman" w:eastAsia="Times New Roman" w:hAnsi="Times New Roman" w:cs="Times New Roman"/>
      <w:b/>
      <w:bCs/>
      <w:i/>
      <w:iCs/>
      <w:lang w:val="en-GB" w:eastAsia="zh-CN"/>
    </w:rPr>
  </w:style>
  <w:style w:type="paragraph" w:customStyle="1" w:styleId="Observation">
    <w:name w:val="Observation"/>
    <w:basedOn w:val="Normal"/>
    <w:link w:val="ObservationChar"/>
    <w:qFormat/>
    <w:rsid w:val="00364FF9"/>
    <w:pPr>
      <w:numPr>
        <w:numId w:val="5"/>
      </w:numPr>
    </w:pPr>
    <w:rPr>
      <w:b/>
      <w:bCs/>
      <w:i/>
      <w:iCs/>
    </w:rPr>
  </w:style>
  <w:style w:type="character" w:customStyle="1" w:styleId="ObservationChar">
    <w:name w:val="Observation Char"/>
    <w:basedOn w:val="DefaultParagraphFont"/>
    <w:link w:val="Observation"/>
    <w:rsid w:val="00364FF9"/>
    <w:rPr>
      <w:rFonts w:ascii="Times New Roman" w:eastAsia="Malgun Gothic" w:hAnsi="Times New Roman" w:cs="Times New Roman"/>
      <w:b/>
      <w:bCs/>
      <w:i/>
      <w:iCs/>
      <w:lang w:val="en-GB"/>
    </w:rPr>
  </w:style>
  <w:style w:type="paragraph" w:styleId="ListParagraph">
    <w:name w:val="List Paragraph"/>
    <w:aliases w:val="- Bullets,?? ??,?????,????,Lista1,列出段落1,中等深浅网格 1 - 着色 21,¥ê¥¹¥È¶ÎÂä,¥¡¡¡¡ì¬º¥¹¥È¶ÎÂä,ÁÐ³ö¶ÎÂä,列表段落1,—ño’i—Ž,1st level - Bullet List Paragraph,Lettre d'introduction,Paragrafo elenco,Normal bullet 2,Bullet list,목록단락,列,P,목록 단,列出段落,목,列表段落11"/>
    <w:basedOn w:val="Normal"/>
    <w:link w:val="ListParagraphChar"/>
    <w:uiPriority w:val="34"/>
    <w:qFormat/>
    <w:rsid w:val="00364FF9"/>
    <w:pPr>
      <w:ind w:left="720"/>
      <w:contextualSpacing/>
    </w:pPr>
  </w:style>
  <w:style w:type="paragraph" w:styleId="Revision">
    <w:name w:val="Revision"/>
    <w:hidden/>
    <w:uiPriority w:val="99"/>
    <w:semiHidden/>
    <w:rsid w:val="00457A8C"/>
    <w:pPr>
      <w:spacing w:after="0" w:line="240" w:lineRule="auto"/>
    </w:pPr>
  </w:style>
  <w:style w:type="character" w:styleId="CommentReference">
    <w:name w:val="annotation reference"/>
    <w:basedOn w:val="DefaultParagraphFont"/>
    <w:uiPriority w:val="99"/>
    <w:unhideWhenUsed/>
    <w:qFormat/>
    <w:rsid w:val="004955BE"/>
    <w:rPr>
      <w:sz w:val="16"/>
      <w:szCs w:val="16"/>
    </w:rPr>
  </w:style>
  <w:style w:type="paragraph" w:styleId="CommentText">
    <w:name w:val="annotation text"/>
    <w:basedOn w:val="Normal"/>
    <w:link w:val="CommentTextChar"/>
    <w:uiPriority w:val="99"/>
    <w:unhideWhenUsed/>
    <w:qFormat/>
    <w:rsid w:val="004955BE"/>
    <w:rPr>
      <w:sz w:val="20"/>
      <w:szCs w:val="20"/>
    </w:rPr>
  </w:style>
  <w:style w:type="character" w:customStyle="1" w:styleId="CommentTextChar">
    <w:name w:val="Comment Text Char"/>
    <w:basedOn w:val="DefaultParagraphFont"/>
    <w:link w:val="CommentText"/>
    <w:uiPriority w:val="99"/>
    <w:qFormat/>
    <w:rsid w:val="004955BE"/>
    <w:rPr>
      <w:rFonts w:ascii="Times New Roman" w:eastAsia="Malgun Gothic"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4955BE"/>
    <w:rPr>
      <w:b/>
      <w:bCs/>
    </w:rPr>
  </w:style>
  <w:style w:type="character" w:customStyle="1" w:styleId="CommentSubjectChar">
    <w:name w:val="Comment Subject Char"/>
    <w:basedOn w:val="CommentTextChar"/>
    <w:link w:val="CommentSubject"/>
    <w:uiPriority w:val="99"/>
    <w:semiHidden/>
    <w:rsid w:val="004955BE"/>
    <w:rPr>
      <w:rFonts w:ascii="Times New Roman" w:eastAsia="Malgun Gothic" w:hAnsi="Times New Roman" w:cs="Times New Roman"/>
      <w:b/>
      <w:bCs/>
      <w:sz w:val="20"/>
      <w:szCs w:val="20"/>
      <w:lang w:val="en-GB"/>
    </w:rPr>
  </w:style>
  <w:style w:type="character" w:styleId="Mention">
    <w:name w:val="Mention"/>
    <w:basedOn w:val="DefaultParagraphFont"/>
    <w:uiPriority w:val="99"/>
    <w:unhideWhenUsed/>
    <w:rsid w:val="002A5599"/>
    <w:rPr>
      <w:color w:val="2B579A"/>
      <w:shd w:val="clear" w:color="auto" w:fill="E1DFDD"/>
    </w:rPr>
  </w:style>
  <w:style w:type="table" w:styleId="TableGrid">
    <w:name w:val="Table Grid"/>
    <w:aliases w:val="TableGrid"/>
    <w:basedOn w:val="TableNormal"/>
    <w:qFormat/>
    <w:rsid w:val="000759CC"/>
    <w:pPr>
      <w:spacing w:after="0" w:line="240" w:lineRule="auto"/>
    </w:pPr>
    <w:tblPr/>
  </w:style>
  <w:style w:type="paragraph" w:styleId="TOC1">
    <w:name w:val="toc 1"/>
    <w:basedOn w:val="Normal"/>
    <w:next w:val="Normal"/>
    <w:autoRedefine/>
    <w:uiPriority w:val="39"/>
    <w:unhideWhenUsed/>
    <w:rsid w:val="00BB7671"/>
    <w:pPr>
      <w:spacing w:after="100"/>
    </w:pPr>
    <w:rPr>
      <w:b/>
      <w:i/>
    </w:rPr>
  </w:style>
  <w:style w:type="character" w:customStyle="1" w:styleId="ListParagraphChar">
    <w:name w:val="List Paragraph Char"/>
    <w:aliases w:val="- Bullets Char,?? ?? Char,????? Char,???? Char,Lista1 Char,列出段落1 Char,中等深浅网格 1 - 着色 21 Char,¥ê¥¹¥È¶ÎÂä Char,¥¡¡¡¡ì¬º¥¹¥È¶ÎÂä Char,ÁÐ³ö¶ÎÂä Char,列表段落1 Char,—ño’i—Ž Char,1st level - Bullet List Paragraph Char,Paragrafo elenco Char"/>
    <w:link w:val="ListParagraph"/>
    <w:uiPriority w:val="34"/>
    <w:qFormat/>
    <w:rsid w:val="003E20C7"/>
    <w:rPr>
      <w:rFonts w:ascii="Times New Roman" w:eastAsia="Malgun Gothic" w:hAnsi="Times New Roman" w:cs="Times New Roman"/>
      <w:lang w:val="en-GB"/>
    </w:rPr>
  </w:style>
  <w:style w:type="paragraph" w:customStyle="1" w:styleId="B1">
    <w:name w:val="B1"/>
    <w:basedOn w:val="Normal"/>
    <w:link w:val="B10"/>
    <w:qFormat/>
    <w:rsid w:val="00456507"/>
    <w:pPr>
      <w:ind w:left="568" w:hanging="284"/>
      <w:jc w:val="left"/>
    </w:pPr>
    <w:rPr>
      <w:rFonts w:eastAsia="MS Mincho"/>
      <w:sz w:val="20"/>
      <w:szCs w:val="20"/>
    </w:rPr>
  </w:style>
  <w:style w:type="paragraph" w:customStyle="1" w:styleId="B2">
    <w:name w:val="B2"/>
    <w:basedOn w:val="Normal"/>
    <w:link w:val="B2Char"/>
    <w:qFormat/>
    <w:rsid w:val="00456507"/>
    <w:pPr>
      <w:ind w:left="851" w:hanging="284"/>
      <w:jc w:val="left"/>
    </w:pPr>
    <w:rPr>
      <w:rFonts w:eastAsia="MS Mincho"/>
      <w:sz w:val="20"/>
      <w:szCs w:val="20"/>
    </w:rPr>
  </w:style>
  <w:style w:type="paragraph" w:customStyle="1" w:styleId="B3">
    <w:name w:val="B3"/>
    <w:basedOn w:val="Normal"/>
    <w:rsid w:val="00456507"/>
    <w:pPr>
      <w:ind w:left="1135" w:hanging="284"/>
      <w:jc w:val="left"/>
    </w:pPr>
    <w:rPr>
      <w:rFonts w:eastAsia="MS Mincho"/>
      <w:sz w:val="20"/>
      <w:szCs w:val="20"/>
    </w:rPr>
  </w:style>
  <w:style w:type="paragraph" w:customStyle="1" w:styleId="B4">
    <w:name w:val="B4"/>
    <w:basedOn w:val="Normal"/>
    <w:rsid w:val="00456507"/>
    <w:pPr>
      <w:ind w:left="1418" w:hanging="284"/>
      <w:jc w:val="left"/>
    </w:pPr>
    <w:rPr>
      <w:rFonts w:eastAsia="MS Mincho"/>
      <w:sz w:val="20"/>
      <w:szCs w:val="20"/>
    </w:rPr>
  </w:style>
  <w:style w:type="character" w:customStyle="1" w:styleId="B10">
    <w:name w:val="B1 (文字)"/>
    <w:link w:val="B1"/>
    <w:qFormat/>
    <w:rsid w:val="00456507"/>
    <w:rPr>
      <w:rFonts w:ascii="Times New Roman" w:eastAsia="MS Mincho" w:hAnsi="Times New Roman" w:cs="Times New Roman"/>
      <w:sz w:val="20"/>
      <w:szCs w:val="20"/>
      <w:lang w:val="en-GB"/>
    </w:rPr>
  </w:style>
  <w:style w:type="character" w:customStyle="1" w:styleId="B2Char">
    <w:name w:val="B2 Char"/>
    <w:link w:val="B2"/>
    <w:qFormat/>
    <w:rsid w:val="00456507"/>
    <w:rPr>
      <w:rFonts w:ascii="Times New Roman" w:eastAsia="MS Mincho" w:hAnsi="Times New Roman" w:cs="Times New Roman"/>
      <w:sz w:val="20"/>
      <w:szCs w:val="20"/>
      <w:lang w:val="en-GB"/>
    </w:rPr>
  </w:style>
  <w:style w:type="character" w:customStyle="1" w:styleId="cf01">
    <w:name w:val="cf01"/>
    <w:basedOn w:val="DefaultParagraphFont"/>
    <w:rsid w:val="00E53C86"/>
    <w:rPr>
      <w:rFonts w:ascii="Segoe UI" w:hAnsi="Segoe UI" w:cs="Segoe UI" w:hint="default"/>
      <w:sz w:val="18"/>
      <w:szCs w:val="18"/>
    </w:rPr>
  </w:style>
  <w:style w:type="paragraph" w:customStyle="1" w:styleId="EmailDiscussion">
    <w:name w:val="EmailDiscussion"/>
    <w:basedOn w:val="Normal"/>
    <w:next w:val="Normal"/>
    <w:rsid w:val="00D81F40"/>
    <w:pPr>
      <w:numPr>
        <w:numId w:val="3"/>
      </w:numPr>
      <w:spacing w:before="40" w:after="0"/>
      <w:jc w:val="left"/>
    </w:pPr>
    <w:rPr>
      <w:rFonts w:ascii="Arial" w:eastAsia="MS Mincho" w:hAnsi="Arial"/>
      <w:b/>
      <w:sz w:val="20"/>
      <w:szCs w:val="24"/>
      <w:lang w:eastAsia="en-GB"/>
    </w:rPr>
  </w:style>
  <w:style w:type="character" w:styleId="IntenseEmphasis">
    <w:name w:val="Intense Emphasis"/>
    <w:qFormat/>
    <w:rsid w:val="00D81F40"/>
    <w:rPr>
      <w:b/>
      <w:bCs/>
      <w:i/>
      <w:iCs/>
      <w:color w:val="4F81BD"/>
    </w:rPr>
  </w:style>
  <w:style w:type="character" w:styleId="Strong">
    <w:name w:val="Strong"/>
    <w:basedOn w:val="DefaultParagraphFont"/>
    <w:qFormat/>
    <w:rsid w:val="00D81F40"/>
    <w:rPr>
      <w:b/>
      <w:bCs/>
    </w:rPr>
  </w:style>
  <w:style w:type="table" w:customStyle="1" w:styleId="TableGrid5">
    <w:name w:val="Table Grid5"/>
    <w:basedOn w:val="TableNormal"/>
    <w:next w:val="TableGrid"/>
    <w:qFormat/>
    <w:rsid w:val="00D81F40"/>
    <w:pPr>
      <w:spacing w:before="120" w:after="0" w:line="280" w:lineRule="atLeast"/>
      <w:jc w:val="both"/>
    </w:pPr>
    <w:rPr>
      <w:rFonts w:ascii="New York" w:hAnsi="New York" w:cs="Times New Roman"/>
      <w:sz w:val="20"/>
      <w:szCs w:val="20"/>
      <w:lang w:eastAsia="zh-CN"/>
    </w:rPr>
    <w:tblPr/>
  </w:style>
  <w:style w:type="paragraph" w:customStyle="1" w:styleId="B5">
    <w:name w:val="B5"/>
    <w:basedOn w:val="Normal"/>
    <w:rsid w:val="00F638D4"/>
    <w:pPr>
      <w:ind w:left="1702" w:hanging="284"/>
      <w:jc w:val="left"/>
    </w:pPr>
    <w:rPr>
      <w:rFonts w:eastAsia="MS Mincho"/>
      <w:sz w:val="20"/>
      <w:szCs w:val="20"/>
    </w:rPr>
  </w:style>
  <w:style w:type="character" w:customStyle="1" w:styleId="ui-provider">
    <w:name w:val="ui-provider"/>
    <w:basedOn w:val="DefaultParagraphFont"/>
    <w:rsid w:val="00886C32"/>
  </w:style>
  <w:style w:type="character" w:styleId="PlaceholderText">
    <w:name w:val="Placeholder Text"/>
    <w:basedOn w:val="DefaultParagraphFont"/>
    <w:uiPriority w:val="99"/>
    <w:semiHidden/>
    <w:rsid w:val="00A35BBB"/>
    <w:rPr>
      <w:color w:val="666666"/>
    </w:rPr>
  </w:style>
  <w:style w:type="character" w:customStyle="1" w:styleId="normaltextrun">
    <w:name w:val="normaltextrun"/>
    <w:basedOn w:val="DefaultParagraphFont"/>
    <w:rsid w:val="004A1C42"/>
  </w:style>
  <w:style w:type="paragraph" w:customStyle="1" w:styleId="Bulletedo1">
    <w:name w:val="Bulleted o 1"/>
    <w:basedOn w:val="Normal"/>
    <w:rsid w:val="00DB48C5"/>
    <w:pPr>
      <w:numPr>
        <w:numId w:val="6"/>
      </w:numPr>
      <w:spacing w:after="0"/>
      <w:jc w:val="left"/>
    </w:pPr>
    <w:rPr>
      <w:rFonts w:asciiTheme="minorHAnsi" w:eastAsiaTheme="minorEastAsia" w:hAnsiTheme="minorHAnsi" w:cstheme="minorBidi"/>
      <w:lang w:val="en-US"/>
    </w:rPr>
  </w:style>
  <w:style w:type="numbering" w:customStyle="1" w:styleId="CurrentList1">
    <w:name w:val="Current List1"/>
    <w:uiPriority w:val="99"/>
    <w:rsid w:val="00DB48C5"/>
    <w:pPr>
      <w:numPr>
        <w:numId w:val="7"/>
      </w:numPr>
    </w:pPr>
  </w:style>
  <w:style w:type="paragraph" w:styleId="NormalWeb">
    <w:name w:val="Normal (Web)"/>
    <w:basedOn w:val="Normal"/>
    <w:uiPriority w:val="99"/>
    <w:semiHidden/>
    <w:unhideWhenUsed/>
    <w:rsid w:val="000E48FF"/>
    <w:pPr>
      <w:spacing w:before="100" w:beforeAutospacing="1" w:after="100" w:afterAutospacing="1"/>
      <w:jc w:val="left"/>
    </w:pPr>
    <w:rPr>
      <w:rFonts w:eastAsia="Times New Roman"/>
      <w:sz w:val="24"/>
      <w:szCs w:val="24"/>
      <w:lang w:val="en-US" w:eastAsia="zh-CN"/>
    </w:rPr>
  </w:style>
  <w:style w:type="paragraph" w:customStyle="1" w:styleId="3GPPNormalText">
    <w:name w:val="3GPP Normal Text"/>
    <w:basedOn w:val="BodyText"/>
    <w:link w:val="3GPPNormalTextChar"/>
    <w:qFormat/>
    <w:rsid w:val="001E449E"/>
    <w:rPr>
      <w:rFonts w:eastAsia="MS Mincho"/>
      <w:szCs w:val="24"/>
      <w:lang w:val="x-none" w:eastAsia="x-none"/>
    </w:rPr>
  </w:style>
  <w:style w:type="character" w:customStyle="1" w:styleId="3GPPNormalTextChar">
    <w:name w:val="3GPP Normal Text Char"/>
    <w:link w:val="3GPPNormalText"/>
    <w:qFormat/>
    <w:rsid w:val="001E449E"/>
    <w:rPr>
      <w:rFonts w:ascii="Times New Roman" w:eastAsia="MS Mincho" w:hAnsi="Times New Roman" w:cs="Times New Roman"/>
      <w:szCs w:val="24"/>
      <w:lang w:val="x-none" w:eastAsia="x-none"/>
    </w:rPr>
  </w:style>
  <w:style w:type="paragraph" w:styleId="BodyText">
    <w:name w:val="Body Text"/>
    <w:basedOn w:val="Normal"/>
    <w:link w:val="BodyTextChar"/>
    <w:uiPriority w:val="99"/>
    <w:semiHidden/>
    <w:unhideWhenUsed/>
    <w:rsid w:val="001E449E"/>
    <w:pPr>
      <w:spacing w:after="120"/>
    </w:pPr>
  </w:style>
  <w:style w:type="character" w:customStyle="1" w:styleId="BodyTextChar">
    <w:name w:val="Body Text Char"/>
    <w:basedOn w:val="DefaultParagraphFont"/>
    <w:link w:val="BodyText"/>
    <w:uiPriority w:val="99"/>
    <w:semiHidden/>
    <w:rsid w:val="001E449E"/>
    <w:rPr>
      <w:rFonts w:ascii="Times New Roman" w:eastAsia="Malgun Gothic" w:hAnsi="Times New Roman" w:cs="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4543389">
      <w:bodyDiv w:val="1"/>
      <w:marLeft w:val="0"/>
      <w:marRight w:val="0"/>
      <w:marTop w:val="0"/>
      <w:marBottom w:val="0"/>
      <w:divBdr>
        <w:top w:val="none" w:sz="0" w:space="0" w:color="auto"/>
        <w:left w:val="none" w:sz="0" w:space="0" w:color="auto"/>
        <w:bottom w:val="none" w:sz="0" w:space="0" w:color="auto"/>
        <w:right w:val="none" w:sz="0" w:space="0" w:color="auto"/>
      </w:divBdr>
    </w:div>
    <w:div w:id="113452907">
      <w:bodyDiv w:val="1"/>
      <w:marLeft w:val="0"/>
      <w:marRight w:val="0"/>
      <w:marTop w:val="0"/>
      <w:marBottom w:val="0"/>
      <w:divBdr>
        <w:top w:val="none" w:sz="0" w:space="0" w:color="auto"/>
        <w:left w:val="none" w:sz="0" w:space="0" w:color="auto"/>
        <w:bottom w:val="none" w:sz="0" w:space="0" w:color="auto"/>
        <w:right w:val="none" w:sz="0" w:space="0" w:color="auto"/>
      </w:divBdr>
    </w:div>
    <w:div w:id="183517358">
      <w:bodyDiv w:val="1"/>
      <w:marLeft w:val="0"/>
      <w:marRight w:val="0"/>
      <w:marTop w:val="0"/>
      <w:marBottom w:val="0"/>
      <w:divBdr>
        <w:top w:val="none" w:sz="0" w:space="0" w:color="auto"/>
        <w:left w:val="none" w:sz="0" w:space="0" w:color="auto"/>
        <w:bottom w:val="none" w:sz="0" w:space="0" w:color="auto"/>
        <w:right w:val="none" w:sz="0" w:space="0" w:color="auto"/>
      </w:divBdr>
    </w:div>
    <w:div w:id="358749352">
      <w:bodyDiv w:val="1"/>
      <w:marLeft w:val="0"/>
      <w:marRight w:val="0"/>
      <w:marTop w:val="0"/>
      <w:marBottom w:val="0"/>
      <w:divBdr>
        <w:top w:val="none" w:sz="0" w:space="0" w:color="auto"/>
        <w:left w:val="none" w:sz="0" w:space="0" w:color="auto"/>
        <w:bottom w:val="none" w:sz="0" w:space="0" w:color="auto"/>
        <w:right w:val="none" w:sz="0" w:space="0" w:color="auto"/>
      </w:divBdr>
    </w:div>
    <w:div w:id="593711184">
      <w:bodyDiv w:val="1"/>
      <w:marLeft w:val="0"/>
      <w:marRight w:val="0"/>
      <w:marTop w:val="0"/>
      <w:marBottom w:val="0"/>
      <w:divBdr>
        <w:top w:val="none" w:sz="0" w:space="0" w:color="auto"/>
        <w:left w:val="none" w:sz="0" w:space="0" w:color="auto"/>
        <w:bottom w:val="none" w:sz="0" w:space="0" w:color="auto"/>
        <w:right w:val="none" w:sz="0" w:space="0" w:color="auto"/>
      </w:divBdr>
    </w:div>
    <w:div w:id="736787189">
      <w:bodyDiv w:val="1"/>
      <w:marLeft w:val="0"/>
      <w:marRight w:val="0"/>
      <w:marTop w:val="0"/>
      <w:marBottom w:val="0"/>
      <w:divBdr>
        <w:top w:val="none" w:sz="0" w:space="0" w:color="auto"/>
        <w:left w:val="none" w:sz="0" w:space="0" w:color="auto"/>
        <w:bottom w:val="none" w:sz="0" w:space="0" w:color="auto"/>
        <w:right w:val="none" w:sz="0" w:space="0" w:color="auto"/>
      </w:divBdr>
    </w:div>
    <w:div w:id="746004325">
      <w:bodyDiv w:val="1"/>
      <w:marLeft w:val="0"/>
      <w:marRight w:val="0"/>
      <w:marTop w:val="0"/>
      <w:marBottom w:val="0"/>
      <w:divBdr>
        <w:top w:val="none" w:sz="0" w:space="0" w:color="auto"/>
        <w:left w:val="none" w:sz="0" w:space="0" w:color="auto"/>
        <w:bottom w:val="none" w:sz="0" w:space="0" w:color="auto"/>
        <w:right w:val="none" w:sz="0" w:space="0" w:color="auto"/>
      </w:divBdr>
    </w:div>
    <w:div w:id="879781062">
      <w:bodyDiv w:val="1"/>
      <w:marLeft w:val="0"/>
      <w:marRight w:val="0"/>
      <w:marTop w:val="0"/>
      <w:marBottom w:val="0"/>
      <w:divBdr>
        <w:top w:val="none" w:sz="0" w:space="0" w:color="auto"/>
        <w:left w:val="none" w:sz="0" w:space="0" w:color="auto"/>
        <w:bottom w:val="none" w:sz="0" w:space="0" w:color="auto"/>
        <w:right w:val="none" w:sz="0" w:space="0" w:color="auto"/>
      </w:divBdr>
    </w:div>
    <w:div w:id="886723603">
      <w:bodyDiv w:val="1"/>
      <w:marLeft w:val="0"/>
      <w:marRight w:val="0"/>
      <w:marTop w:val="0"/>
      <w:marBottom w:val="0"/>
      <w:divBdr>
        <w:top w:val="none" w:sz="0" w:space="0" w:color="auto"/>
        <w:left w:val="none" w:sz="0" w:space="0" w:color="auto"/>
        <w:bottom w:val="none" w:sz="0" w:space="0" w:color="auto"/>
        <w:right w:val="none" w:sz="0" w:space="0" w:color="auto"/>
      </w:divBdr>
    </w:div>
    <w:div w:id="914049969">
      <w:bodyDiv w:val="1"/>
      <w:marLeft w:val="0"/>
      <w:marRight w:val="0"/>
      <w:marTop w:val="0"/>
      <w:marBottom w:val="0"/>
      <w:divBdr>
        <w:top w:val="none" w:sz="0" w:space="0" w:color="auto"/>
        <w:left w:val="none" w:sz="0" w:space="0" w:color="auto"/>
        <w:bottom w:val="none" w:sz="0" w:space="0" w:color="auto"/>
        <w:right w:val="none" w:sz="0" w:space="0" w:color="auto"/>
      </w:divBdr>
    </w:div>
    <w:div w:id="983194554">
      <w:bodyDiv w:val="1"/>
      <w:marLeft w:val="0"/>
      <w:marRight w:val="0"/>
      <w:marTop w:val="0"/>
      <w:marBottom w:val="0"/>
      <w:divBdr>
        <w:top w:val="none" w:sz="0" w:space="0" w:color="auto"/>
        <w:left w:val="none" w:sz="0" w:space="0" w:color="auto"/>
        <w:bottom w:val="none" w:sz="0" w:space="0" w:color="auto"/>
        <w:right w:val="none" w:sz="0" w:space="0" w:color="auto"/>
      </w:divBdr>
    </w:div>
    <w:div w:id="1278950277">
      <w:bodyDiv w:val="1"/>
      <w:marLeft w:val="0"/>
      <w:marRight w:val="0"/>
      <w:marTop w:val="0"/>
      <w:marBottom w:val="0"/>
      <w:divBdr>
        <w:top w:val="none" w:sz="0" w:space="0" w:color="auto"/>
        <w:left w:val="none" w:sz="0" w:space="0" w:color="auto"/>
        <w:bottom w:val="none" w:sz="0" w:space="0" w:color="auto"/>
        <w:right w:val="none" w:sz="0" w:space="0" w:color="auto"/>
      </w:divBdr>
    </w:div>
    <w:div w:id="1551266313">
      <w:bodyDiv w:val="1"/>
      <w:marLeft w:val="0"/>
      <w:marRight w:val="0"/>
      <w:marTop w:val="0"/>
      <w:marBottom w:val="0"/>
      <w:divBdr>
        <w:top w:val="none" w:sz="0" w:space="0" w:color="auto"/>
        <w:left w:val="none" w:sz="0" w:space="0" w:color="auto"/>
        <w:bottom w:val="none" w:sz="0" w:space="0" w:color="auto"/>
        <w:right w:val="none" w:sz="0" w:space="0" w:color="auto"/>
      </w:divBdr>
      <w:divsChild>
        <w:div w:id="429544383">
          <w:marLeft w:val="806"/>
          <w:marRight w:val="0"/>
          <w:marTop w:val="0"/>
          <w:marBottom w:val="0"/>
          <w:divBdr>
            <w:top w:val="none" w:sz="0" w:space="0" w:color="auto"/>
            <w:left w:val="none" w:sz="0" w:space="0" w:color="auto"/>
            <w:bottom w:val="none" w:sz="0" w:space="0" w:color="auto"/>
            <w:right w:val="none" w:sz="0" w:space="0" w:color="auto"/>
          </w:divBdr>
        </w:div>
        <w:div w:id="754714260">
          <w:marLeft w:val="806"/>
          <w:marRight w:val="0"/>
          <w:marTop w:val="0"/>
          <w:marBottom w:val="0"/>
          <w:divBdr>
            <w:top w:val="none" w:sz="0" w:space="0" w:color="auto"/>
            <w:left w:val="none" w:sz="0" w:space="0" w:color="auto"/>
            <w:bottom w:val="none" w:sz="0" w:space="0" w:color="auto"/>
            <w:right w:val="none" w:sz="0" w:space="0" w:color="auto"/>
          </w:divBdr>
        </w:div>
        <w:div w:id="987707595">
          <w:marLeft w:val="533"/>
          <w:marRight w:val="0"/>
          <w:marTop w:val="0"/>
          <w:marBottom w:val="0"/>
          <w:divBdr>
            <w:top w:val="none" w:sz="0" w:space="0" w:color="auto"/>
            <w:left w:val="none" w:sz="0" w:space="0" w:color="auto"/>
            <w:bottom w:val="none" w:sz="0" w:space="0" w:color="auto"/>
            <w:right w:val="none" w:sz="0" w:space="0" w:color="auto"/>
          </w:divBdr>
        </w:div>
        <w:div w:id="1348749520">
          <w:marLeft w:val="806"/>
          <w:marRight w:val="0"/>
          <w:marTop w:val="0"/>
          <w:marBottom w:val="0"/>
          <w:divBdr>
            <w:top w:val="none" w:sz="0" w:space="0" w:color="auto"/>
            <w:left w:val="none" w:sz="0" w:space="0" w:color="auto"/>
            <w:bottom w:val="none" w:sz="0" w:space="0" w:color="auto"/>
            <w:right w:val="none" w:sz="0" w:space="0" w:color="auto"/>
          </w:divBdr>
        </w:div>
        <w:div w:id="2079815333">
          <w:marLeft w:val="533"/>
          <w:marRight w:val="0"/>
          <w:marTop w:val="0"/>
          <w:marBottom w:val="0"/>
          <w:divBdr>
            <w:top w:val="none" w:sz="0" w:space="0" w:color="auto"/>
            <w:left w:val="none" w:sz="0" w:space="0" w:color="auto"/>
            <w:bottom w:val="none" w:sz="0" w:space="0" w:color="auto"/>
            <w:right w:val="none" w:sz="0" w:space="0" w:color="auto"/>
          </w:divBdr>
        </w:div>
      </w:divsChild>
    </w:div>
    <w:div w:id="1711611437">
      <w:bodyDiv w:val="1"/>
      <w:marLeft w:val="0"/>
      <w:marRight w:val="0"/>
      <w:marTop w:val="0"/>
      <w:marBottom w:val="0"/>
      <w:divBdr>
        <w:top w:val="none" w:sz="0" w:space="0" w:color="auto"/>
        <w:left w:val="none" w:sz="0" w:space="0" w:color="auto"/>
        <w:bottom w:val="none" w:sz="0" w:space="0" w:color="auto"/>
        <w:right w:val="none" w:sz="0" w:space="0" w:color="auto"/>
      </w:divBdr>
    </w:div>
    <w:div w:id="1754668355">
      <w:bodyDiv w:val="1"/>
      <w:marLeft w:val="0"/>
      <w:marRight w:val="0"/>
      <w:marTop w:val="0"/>
      <w:marBottom w:val="0"/>
      <w:divBdr>
        <w:top w:val="none" w:sz="0" w:space="0" w:color="auto"/>
        <w:left w:val="none" w:sz="0" w:space="0" w:color="auto"/>
        <w:bottom w:val="none" w:sz="0" w:space="0" w:color="auto"/>
        <w:right w:val="none" w:sz="0" w:space="0" w:color="auto"/>
      </w:divBdr>
    </w:div>
    <w:div w:id="1759522345">
      <w:bodyDiv w:val="1"/>
      <w:marLeft w:val="0"/>
      <w:marRight w:val="0"/>
      <w:marTop w:val="0"/>
      <w:marBottom w:val="0"/>
      <w:divBdr>
        <w:top w:val="none" w:sz="0" w:space="0" w:color="auto"/>
        <w:left w:val="none" w:sz="0" w:space="0" w:color="auto"/>
        <w:bottom w:val="none" w:sz="0" w:space="0" w:color="auto"/>
        <w:right w:val="none" w:sz="0" w:space="0" w:color="auto"/>
      </w:divBdr>
      <w:divsChild>
        <w:div w:id="5988358">
          <w:marLeft w:val="533"/>
          <w:marRight w:val="0"/>
          <w:marTop w:val="0"/>
          <w:marBottom w:val="0"/>
          <w:divBdr>
            <w:top w:val="none" w:sz="0" w:space="0" w:color="auto"/>
            <w:left w:val="none" w:sz="0" w:space="0" w:color="auto"/>
            <w:bottom w:val="none" w:sz="0" w:space="0" w:color="auto"/>
            <w:right w:val="none" w:sz="0" w:space="0" w:color="auto"/>
          </w:divBdr>
        </w:div>
        <w:div w:id="141509235">
          <w:marLeft w:val="274"/>
          <w:marRight w:val="0"/>
          <w:marTop w:val="240"/>
          <w:marBottom w:val="0"/>
          <w:divBdr>
            <w:top w:val="none" w:sz="0" w:space="0" w:color="auto"/>
            <w:left w:val="none" w:sz="0" w:space="0" w:color="auto"/>
            <w:bottom w:val="none" w:sz="0" w:space="0" w:color="auto"/>
            <w:right w:val="none" w:sz="0" w:space="0" w:color="auto"/>
          </w:divBdr>
        </w:div>
        <w:div w:id="184634464">
          <w:marLeft w:val="533"/>
          <w:marRight w:val="0"/>
          <w:marTop w:val="0"/>
          <w:marBottom w:val="0"/>
          <w:divBdr>
            <w:top w:val="none" w:sz="0" w:space="0" w:color="auto"/>
            <w:left w:val="none" w:sz="0" w:space="0" w:color="auto"/>
            <w:bottom w:val="none" w:sz="0" w:space="0" w:color="auto"/>
            <w:right w:val="none" w:sz="0" w:space="0" w:color="auto"/>
          </w:divBdr>
        </w:div>
        <w:div w:id="204949408">
          <w:marLeft w:val="533"/>
          <w:marRight w:val="0"/>
          <w:marTop w:val="0"/>
          <w:marBottom w:val="0"/>
          <w:divBdr>
            <w:top w:val="none" w:sz="0" w:space="0" w:color="auto"/>
            <w:left w:val="none" w:sz="0" w:space="0" w:color="auto"/>
            <w:bottom w:val="none" w:sz="0" w:space="0" w:color="auto"/>
            <w:right w:val="none" w:sz="0" w:space="0" w:color="auto"/>
          </w:divBdr>
        </w:div>
        <w:div w:id="710571793">
          <w:marLeft w:val="533"/>
          <w:marRight w:val="0"/>
          <w:marTop w:val="0"/>
          <w:marBottom w:val="0"/>
          <w:divBdr>
            <w:top w:val="none" w:sz="0" w:space="0" w:color="auto"/>
            <w:left w:val="none" w:sz="0" w:space="0" w:color="auto"/>
            <w:bottom w:val="none" w:sz="0" w:space="0" w:color="auto"/>
            <w:right w:val="none" w:sz="0" w:space="0" w:color="auto"/>
          </w:divBdr>
        </w:div>
        <w:div w:id="748766973">
          <w:marLeft w:val="806"/>
          <w:marRight w:val="0"/>
          <w:marTop w:val="0"/>
          <w:marBottom w:val="0"/>
          <w:divBdr>
            <w:top w:val="none" w:sz="0" w:space="0" w:color="auto"/>
            <w:left w:val="none" w:sz="0" w:space="0" w:color="auto"/>
            <w:bottom w:val="none" w:sz="0" w:space="0" w:color="auto"/>
            <w:right w:val="none" w:sz="0" w:space="0" w:color="auto"/>
          </w:divBdr>
        </w:div>
        <w:div w:id="979378609">
          <w:marLeft w:val="533"/>
          <w:marRight w:val="0"/>
          <w:marTop w:val="0"/>
          <w:marBottom w:val="0"/>
          <w:divBdr>
            <w:top w:val="none" w:sz="0" w:space="0" w:color="auto"/>
            <w:left w:val="none" w:sz="0" w:space="0" w:color="auto"/>
            <w:bottom w:val="none" w:sz="0" w:space="0" w:color="auto"/>
            <w:right w:val="none" w:sz="0" w:space="0" w:color="auto"/>
          </w:divBdr>
        </w:div>
        <w:div w:id="999425836">
          <w:marLeft w:val="806"/>
          <w:marRight w:val="0"/>
          <w:marTop w:val="0"/>
          <w:marBottom w:val="0"/>
          <w:divBdr>
            <w:top w:val="none" w:sz="0" w:space="0" w:color="auto"/>
            <w:left w:val="none" w:sz="0" w:space="0" w:color="auto"/>
            <w:bottom w:val="none" w:sz="0" w:space="0" w:color="auto"/>
            <w:right w:val="none" w:sz="0" w:space="0" w:color="auto"/>
          </w:divBdr>
        </w:div>
        <w:div w:id="1269696461">
          <w:marLeft w:val="274"/>
          <w:marRight w:val="0"/>
          <w:marTop w:val="240"/>
          <w:marBottom w:val="0"/>
          <w:divBdr>
            <w:top w:val="none" w:sz="0" w:space="0" w:color="auto"/>
            <w:left w:val="none" w:sz="0" w:space="0" w:color="auto"/>
            <w:bottom w:val="none" w:sz="0" w:space="0" w:color="auto"/>
            <w:right w:val="none" w:sz="0" w:space="0" w:color="auto"/>
          </w:divBdr>
        </w:div>
        <w:div w:id="1510872994">
          <w:marLeft w:val="806"/>
          <w:marRight w:val="0"/>
          <w:marTop w:val="0"/>
          <w:marBottom w:val="0"/>
          <w:divBdr>
            <w:top w:val="none" w:sz="0" w:space="0" w:color="auto"/>
            <w:left w:val="none" w:sz="0" w:space="0" w:color="auto"/>
            <w:bottom w:val="none" w:sz="0" w:space="0" w:color="auto"/>
            <w:right w:val="none" w:sz="0" w:space="0" w:color="auto"/>
          </w:divBdr>
        </w:div>
        <w:div w:id="1561868422">
          <w:marLeft w:val="806"/>
          <w:marRight w:val="0"/>
          <w:marTop w:val="0"/>
          <w:marBottom w:val="0"/>
          <w:divBdr>
            <w:top w:val="none" w:sz="0" w:space="0" w:color="auto"/>
            <w:left w:val="none" w:sz="0" w:space="0" w:color="auto"/>
            <w:bottom w:val="none" w:sz="0" w:space="0" w:color="auto"/>
            <w:right w:val="none" w:sz="0" w:space="0" w:color="auto"/>
          </w:divBdr>
        </w:div>
        <w:div w:id="1611355261">
          <w:marLeft w:val="533"/>
          <w:marRight w:val="0"/>
          <w:marTop w:val="0"/>
          <w:marBottom w:val="0"/>
          <w:divBdr>
            <w:top w:val="none" w:sz="0" w:space="0" w:color="auto"/>
            <w:left w:val="none" w:sz="0" w:space="0" w:color="auto"/>
            <w:bottom w:val="none" w:sz="0" w:space="0" w:color="auto"/>
            <w:right w:val="none" w:sz="0" w:space="0" w:color="auto"/>
          </w:divBdr>
        </w:div>
        <w:div w:id="1695963241">
          <w:marLeft w:val="806"/>
          <w:marRight w:val="0"/>
          <w:marTop w:val="0"/>
          <w:marBottom w:val="0"/>
          <w:divBdr>
            <w:top w:val="none" w:sz="0" w:space="0" w:color="auto"/>
            <w:left w:val="none" w:sz="0" w:space="0" w:color="auto"/>
            <w:bottom w:val="none" w:sz="0" w:space="0" w:color="auto"/>
            <w:right w:val="none" w:sz="0" w:space="0" w:color="auto"/>
          </w:divBdr>
        </w:div>
        <w:div w:id="1700089087">
          <w:marLeft w:val="806"/>
          <w:marRight w:val="0"/>
          <w:marTop w:val="0"/>
          <w:marBottom w:val="0"/>
          <w:divBdr>
            <w:top w:val="none" w:sz="0" w:space="0" w:color="auto"/>
            <w:left w:val="none" w:sz="0" w:space="0" w:color="auto"/>
            <w:bottom w:val="none" w:sz="0" w:space="0" w:color="auto"/>
            <w:right w:val="none" w:sz="0" w:space="0" w:color="auto"/>
          </w:divBdr>
        </w:div>
        <w:div w:id="1742407905">
          <w:marLeft w:val="533"/>
          <w:marRight w:val="0"/>
          <w:marTop w:val="0"/>
          <w:marBottom w:val="0"/>
          <w:divBdr>
            <w:top w:val="none" w:sz="0" w:space="0" w:color="auto"/>
            <w:left w:val="none" w:sz="0" w:space="0" w:color="auto"/>
            <w:bottom w:val="none" w:sz="0" w:space="0" w:color="auto"/>
            <w:right w:val="none" w:sz="0" w:space="0" w:color="auto"/>
          </w:divBdr>
        </w:div>
        <w:div w:id="1824001544">
          <w:marLeft w:val="533"/>
          <w:marRight w:val="0"/>
          <w:marTop w:val="0"/>
          <w:marBottom w:val="0"/>
          <w:divBdr>
            <w:top w:val="none" w:sz="0" w:space="0" w:color="auto"/>
            <w:left w:val="none" w:sz="0" w:space="0" w:color="auto"/>
            <w:bottom w:val="none" w:sz="0" w:space="0" w:color="auto"/>
            <w:right w:val="none" w:sz="0" w:space="0" w:color="auto"/>
          </w:divBdr>
        </w:div>
        <w:div w:id="1867713220">
          <w:marLeft w:val="806"/>
          <w:marRight w:val="0"/>
          <w:marTop w:val="0"/>
          <w:marBottom w:val="0"/>
          <w:divBdr>
            <w:top w:val="none" w:sz="0" w:space="0" w:color="auto"/>
            <w:left w:val="none" w:sz="0" w:space="0" w:color="auto"/>
            <w:bottom w:val="none" w:sz="0" w:space="0" w:color="auto"/>
            <w:right w:val="none" w:sz="0" w:space="0" w:color="auto"/>
          </w:divBdr>
        </w:div>
      </w:divsChild>
    </w:div>
    <w:div w:id="1777406591">
      <w:bodyDiv w:val="1"/>
      <w:marLeft w:val="0"/>
      <w:marRight w:val="0"/>
      <w:marTop w:val="0"/>
      <w:marBottom w:val="0"/>
      <w:divBdr>
        <w:top w:val="none" w:sz="0" w:space="0" w:color="auto"/>
        <w:left w:val="none" w:sz="0" w:space="0" w:color="auto"/>
        <w:bottom w:val="none" w:sz="0" w:space="0" w:color="auto"/>
        <w:right w:val="none" w:sz="0" w:space="0" w:color="auto"/>
      </w:divBdr>
    </w:div>
    <w:div w:id="1846437605">
      <w:bodyDiv w:val="1"/>
      <w:marLeft w:val="0"/>
      <w:marRight w:val="0"/>
      <w:marTop w:val="0"/>
      <w:marBottom w:val="0"/>
      <w:divBdr>
        <w:top w:val="none" w:sz="0" w:space="0" w:color="auto"/>
        <w:left w:val="none" w:sz="0" w:space="0" w:color="auto"/>
        <w:bottom w:val="none" w:sz="0" w:space="0" w:color="auto"/>
        <w:right w:val="none" w:sz="0" w:space="0" w:color="auto"/>
      </w:divBdr>
    </w:div>
    <w:div w:id="1854949796">
      <w:bodyDiv w:val="1"/>
      <w:marLeft w:val="0"/>
      <w:marRight w:val="0"/>
      <w:marTop w:val="0"/>
      <w:marBottom w:val="0"/>
      <w:divBdr>
        <w:top w:val="none" w:sz="0" w:space="0" w:color="auto"/>
        <w:left w:val="none" w:sz="0" w:space="0" w:color="auto"/>
        <w:bottom w:val="none" w:sz="0" w:space="0" w:color="auto"/>
        <w:right w:val="none" w:sz="0" w:space="0" w:color="auto"/>
      </w:divBdr>
    </w:div>
    <w:div w:id="1937859345">
      <w:bodyDiv w:val="1"/>
      <w:marLeft w:val="0"/>
      <w:marRight w:val="0"/>
      <w:marTop w:val="0"/>
      <w:marBottom w:val="0"/>
      <w:divBdr>
        <w:top w:val="none" w:sz="0" w:space="0" w:color="auto"/>
        <w:left w:val="none" w:sz="0" w:space="0" w:color="auto"/>
        <w:bottom w:val="none" w:sz="0" w:space="0" w:color="auto"/>
        <w:right w:val="none" w:sz="0" w:space="0" w:color="auto"/>
      </w:divBdr>
    </w:div>
    <w:div w:id="1972858203">
      <w:bodyDiv w:val="1"/>
      <w:marLeft w:val="0"/>
      <w:marRight w:val="0"/>
      <w:marTop w:val="0"/>
      <w:marBottom w:val="0"/>
      <w:divBdr>
        <w:top w:val="none" w:sz="0" w:space="0" w:color="auto"/>
        <w:left w:val="none" w:sz="0" w:space="0" w:color="auto"/>
        <w:bottom w:val="none" w:sz="0" w:space="0" w:color="auto"/>
        <w:right w:val="none" w:sz="0" w:space="0" w:color="auto"/>
      </w:divBdr>
    </w:div>
    <w:div w:id="1998416150">
      <w:bodyDiv w:val="1"/>
      <w:marLeft w:val="0"/>
      <w:marRight w:val="0"/>
      <w:marTop w:val="0"/>
      <w:marBottom w:val="0"/>
      <w:divBdr>
        <w:top w:val="none" w:sz="0" w:space="0" w:color="auto"/>
        <w:left w:val="none" w:sz="0" w:space="0" w:color="auto"/>
        <w:bottom w:val="none" w:sz="0" w:space="0" w:color="auto"/>
        <w:right w:val="none" w:sz="0" w:space="0" w:color="auto"/>
      </w:divBdr>
    </w:div>
    <w:div w:id="19999237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chart" Target="charts/chart2.xml"/><Relationship Id="rId18" Type="http://schemas.openxmlformats.org/officeDocument/2006/relationships/chart" Target="charts/chart7.xml"/><Relationship Id="rId26" Type="http://schemas.openxmlformats.org/officeDocument/2006/relationships/chart" Target="charts/chart15.xml"/><Relationship Id="rId3" Type="http://schemas.openxmlformats.org/officeDocument/2006/relationships/customXml" Target="../customXml/item3.xml"/><Relationship Id="rId21" Type="http://schemas.openxmlformats.org/officeDocument/2006/relationships/chart" Target="charts/chart10.xml"/><Relationship Id="rId7" Type="http://schemas.openxmlformats.org/officeDocument/2006/relationships/styles" Target="styles.xml"/><Relationship Id="rId12" Type="http://schemas.openxmlformats.org/officeDocument/2006/relationships/chart" Target="charts/chart1.xml"/><Relationship Id="rId17" Type="http://schemas.openxmlformats.org/officeDocument/2006/relationships/chart" Target="charts/chart6.xml"/><Relationship Id="rId25" Type="http://schemas.openxmlformats.org/officeDocument/2006/relationships/chart" Target="charts/chart14.xml"/><Relationship Id="rId2" Type="http://schemas.openxmlformats.org/officeDocument/2006/relationships/customXml" Target="../customXml/item2.xml"/><Relationship Id="rId16" Type="http://schemas.openxmlformats.org/officeDocument/2006/relationships/chart" Target="charts/chart5.xml"/><Relationship Id="rId20" Type="http://schemas.openxmlformats.org/officeDocument/2006/relationships/chart" Target="charts/chart9.xml"/><Relationship Id="rId29" Type="http://schemas.openxmlformats.org/officeDocument/2006/relationships/chart" Target="charts/chart18.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chart" Target="charts/chart13.xml"/><Relationship Id="rId32"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chart" Target="charts/chart4.xml"/><Relationship Id="rId23" Type="http://schemas.openxmlformats.org/officeDocument/2006/relationships/chart" Target="charts/chart12.xml"/><Relationship Id="rId28" Type="http://schemas.openxmlformats.org/officeDocument/2006/relationships/chart" Target="charts/chart17.xml"/><Relationship Id="rId10" Type="http://schemas.openxmlformats.org/officeDocument/2006/relationships/footnotes" Target="footnotes.xml"/><Relationship Id="rId19" Type="http://schemas.openxmlformats.org/officeDocument/2006/relationships/chart" Target="charts/chart8.xml"/><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chart" Target="charts/chart3.xml"/><Relationship Id="rId22" Type="http://schemas.openxmlformats.org/officeDocument/2006/relationships/chart" Target="charts/chart11.xml"/><Relationship Id="rId27" Type="http://schemas.openxmlformats.org/officeDocument/2006/relationships/chart" Target="charts/chart16.xml"/><Relationship Id="rId30" Type="http://schemas.openxmlformats.org/officeDocument/2006/relationships/footer" Target="footer1.xml"/></Relationships>
</file>

<file path=word/charts/_rels/chart1.xml.rels><?xml version="1.0" encoding="UTF-8" standalone="yes"?>
<Relationships xmlns="http://schemas.openxmlformats.org/package/2006/relationships"><Relationship Id="rId3" Type="http://schemas.openxmlformats.org/officeDocument/2006/relationships/oleObject" Target="https://qualcomm-my.sharepoint.com/personal/chenxih_qti_qualcomm_com/Documents/Documents/Ran%201%20Meetings/123/results_payload_configurations.xlsx" TargetMode="External"/><Relationship Id="rId2" Type="http://schemas.microsoft.com/office/2011/relationships/chartColorStyle" Target="colors1.xml"/><Relationship Id="rId1" Type="http://schemas.microsoft.com/office/2011/relationships/chartStyle" Target="style1.xml"/></Relationships>
</file>

<file path=word/charts/_rels/chart10.xml.rels><?xml version="1.0" encoding="UTF-8" standalone="yes"?>
<Relationships xmlns="http://schemas.openxmlformats.org/package/2006/relationships"><Relationship Id="rId3" Type="http://schemas.openxmlformats.org/officeDocument/2006/relationships/oleObject" Target="https://qualcomm-my.sharepoint.com/personal/chenxih_qti_qualcomm_com/Documents/Documents/Ran%201%20Meetings/123/results_payload_configurations.xlsx" TargetMode="External"/><Relationship Id="rId2" Type="http://schemas.microsoft.com/office/2011/relationships/chartColorStyle" Target="colors10.xml"/><Relationship Id="rId1" Type="http://schemas.microsoft.com/office/2011/relationships/chartStyle" Target="style10.xml"/></Relationships>
</file>

<file path=word/charts/_rels/chart11.xml.rels><?xml version="1.0" encoding="UTF-8" standalone="yes"?>
<Relationships xmlns="http://schemas.openxmlformats.org/package/2006/relationships"><Relationship Id="rId3" Type="http://schemas.openxmlformats.org/officeDocument/2006/relationships/oleObject" Target="https://qualcomm-my.sharepoint.com/personal/chenxih_qti_qualcomm_com/Documents/Documents/Ran%201%20Meetings/123/results_payload_configurations.xlsx" TargetMode="External"/><Relationship Id="rId2" Type="http://schemas.microsoft.com/office/2011/relationships/chartColorStyle" Target="colors11.xml"/><Relationship Id="rId1" Type="http://schemas.microsoft.com/office/2011/relationships/chartStyle" Target="style11.xml"/></Relationships>
</file>

<file path=word/charts/_rels/chart12.xml.rels><?xml version="1.0" encoding="UTF-8" standalone="yes"?>
<Relationships xmlns="http://schemas.openxmlformats.org/package/2006/relationships"><Relationship Id="rId3" Type="http://schemas.openxmlformats.org/officeDocument/2006/relationships/oleObject" Target="https://qualcomm-my.sharepoint.com/personal/chenxih_qti_qualcomm_com/Documents/Documents/Ran%201%20Meetings/123/results_payload_configurations.xlsx" TargetMode="External"/><Relationship Id="rId2" Type="http://schemas.microsoft.com/office/2011/relationships/chartColorStyle" Target="colors12.xml"/><Relationship Id="rId1" Type="http://schemas.microsoft.com/office/2011/relationships/chartStyle" Target="style12.xml"/></Relationships>
</file>

<file path=word/charts/_rels/chart13.xml.rels><?xml version="1.0" encoding="UTF-8" standalone="yes"?>
<Relationships xmlns="http://schemas.openxmlformats.org/package/2006/relationships"><Relationship Id="rId3" Type="http://schemas.openxmlformats.org/officeDocument/2006/relationships/oleObject" Target="https://qualcomm-my.sharepoint.com/personal/chenxih_qti_qualcomm_com/Documents/Documents/Ran%201%20Meetings/123/results_payload_configurations.xlsx" TargetMode="External"/><Relationship Id="rId2" Type="http://schemas.microsoft.com/office/2011/relationships/chartColorStyle" Target="colors13.xml"/><Relationship Id="rId1" Type="http://schemas.microsoft.com/office/2011/relationships/chartStyle" Target="style13.xml"/><Relationship Id="rId4" Type="http://schemas.openxmlformats.org/officeDocument/2006/relationships/chartUserShapes" Target="../drawings/drawing1.xml"/></Relationships>
</file>

<file path=word/charts/_rels/chart14.xml.rels><?xml version="1.0" encoding="UTF-8" standalone="yes"?>
<Relationships xmlns="http://schemas.openxmlformats.org/package/2006/relationships"><Relationship Id="rId3" Type="http://schemas.openxmlformats.org/officeDocument/2006/relationships/oleObject" Target="https://qualcomm-my.sharepoint.com/personal/chenxih_qti_qualcomm_com/Documents/Documents/Ran%201%20Meetings/123/results_payload_configurations.xlsx" TargetMode="External"/><Relationship Id="rId2" Type="http://schemas.microsoft.com/office/2011/relationships/chartColorStyle" Target="colors14.xml"/><Relationship Id="rId1" Type="http://schemas.microsoft.com/office/2011/relationships/chartStyle" Target="style14.xml"/><Relationship Id="rId4" Type="http://schemas.openxmlformats.org/officeDocument/2006/relationships/chartUserShapes" Target="../drawings/drawing2.xml"/></Relationships>
</file>

<file path=word/charts/_rels/chart15.xml.rels><?xml version="1.0" encoding="UTF-8" standalone="yes"?>
<Relationships xmlns="http://schemas.openxmlformats.org/package/2006/relationships"><Relationship Id="rId3" Type="http://schemas.openxmlformats.org/officeDocument/2006/relationships/oleObject" Target="https://qualcomm-my.sharepoint.com/personal/chenxih_qti_qualcomm_com/Documents/Documents/Ran%201%20Meetings/123/results_payload_configurations.xlsx" TargetMode="External"/><Relationship Id="rId2" Type="http://schemas.microsoft.com/office/2011/relationships/chartColorStyle" Target="colors15.xml"/><Relationship Id="rId1" Type="http://schemas.microsoft.com/office/2011/relationships/chartStyle" Target="style15.xml"/></Relationships>
</file>

<file path=word/charts/_rels/chart16.xml.rels><?xml version="1.0" encoding="UTF-8" standalone="yes"?>
<Relationships xmlns="http://schemas.openxmlformats.org/package/2006/relationships"><Relationship Id="rId3" Type="http://schemas.openxmlformats.org/officeDocument/2006/relationships/oleObject" Target="https://qualcomm-my.sharepoint.com/personal/chenxih_qti_qualcomm_com/Documents/Documents/Ran%201%20Meetings/123/results_payload_configurations.xlsx" TargetMode="External"/><Relationship Id="rId2" Type="http://schemas.microsoft.com/office/2011/relationships/chartColorStyle" Target="colors16.xml"/><Relationship Id="rId1" Type="http://schemas.microsoft.com/office/2011/relationships/chartStyle" Target="style16.xml"/></Relationships>
</file>

<file path=word/charts/_rels/chart17.xml.rels><?xml version="1.0" encoding="UTF-8" standalone="yes"?>
<Relationships xmlns="http://schemas.openxmlformats.org/package/2006/relationships"><Relationship Id="rId3" Type="http://schemas.openxmlformats.org/officeDocument/2006/relationships/oleObject" Target="https://qualcomm-my.sharepoint.com/personal/chenxih_qti_qualcomm_com/Documents/Documents/Ran%201%20Meetings/123/results_payload_configurations.xlsx" TargetMode="External"/><Relationship Id="rId2" Type="http://schemas.microsoft.com/office/2011/relationships/chartColorStyle" Target="colors17.xml"/><Relationship Id="rId1" Type="http://schemas.microsoft.com/office/2011/relationships/chartStyle" Target="style17.xml"/></Relationships>
</file>

<file path=word/charts/_rels/chart18.xml.rels><?xml version="1.0" encoding="UTF-8" standalone="yes"?>
<Relationships xmlns="http://schemas.openxmlformats.org/package/2006/relationships"><Relationship Id="rId3" Type="http://schemas.openxmlformats.org/officeDocument/2006/relationships/oleObject" Target="https://qualcomm-my.sharepoint.com/personal/chenxih_qti_qualcomm_com/Documents/Documents/Ran%201%20Meetings/123/results_payload_configurations.xlsx" TargetMode="External"/><Relationship Id="rId2" Type="http://schemas.microsoft.com/office/2011/relationships/chartColorStyle" Target="colors18.xml"/><Relationship Id="rId1" Type="http://schemas.microsoft.com/office/2011/relationships/chartStyle" Target="style18.xml"/></Relationships>
</file>

<file path=word/charts/_rels/chart2.xml.rels><?xml version="1.0" encoding="UTF-8" standalone="yes"?>
<Relationships xmlns="http://schemas.openxmlformats.org/package/2006/relationships"><Relationship Id="rId3" Type="http://schemas.openxmlformats.org/officeDocument/2006/relationships/oleObject" Target="https://qualcomm-my.sharepoint.com/personal/chenxih_qti_qualcomm_com/Documents/Documents/Ran%201%20Meetings/123/results_payload_configurations.xlsx" TargetMode="External"/><Relationship Id="rId2" Type="http://schemas.microsoft.com/office/2011/relationships/chartColorStyle" Target="colors2.xml"/><Relationship Id="rId1" Type="http://schemas.microsoft.com/office/2011/relationships/chartStyle" Target="style2.xml"/></Relationships>
</file>

<file path=word/charts/_rels/chart3.xml.rels><?xml version="1.0" encoding="UTF-8" standalone="yes"?>
<Relationships xmlns="http://schemas.openxmlformats.org/package/2006/relationships"><Relationship Id="rId3" Type="http://schemas.openxmlformats.org/officeDocument/2006/relationships/oleObject" Target="https://qualcomm-my.sharepoint.com/personal/chenxih_qti_qualcomm_com/Documents/Documents/Ran%201%20Meetings/123/results_payload_configurations.xlsx" TargetMode="External"/><Relationship Id="rId2" Type="http://schemas.microsoft.com/office/2011/relationships/chartColorStyle" Target="colors3.xml"/><Relationship Id="rId1" Type="http://schemas.microsoft.com/office/2011/relationships/chartStyle" Target="style3.xml"/></Relationships>
</file>

<file path=word/charts/_rels/chart4.xml.rels><?xml version="1.0" encoding="UTF-8" standalone="yes"?>
<Relationships xmlns="http://schemas.openxmlformats.org/package/2006/relationships"><Relationship Id="rId3" Type="http://schemas.openxmlformats.org/officeDocument/2006/relationships/oleObject" Target="https://qualcomm-my.sharepoint.com/personal/chenxih_qti_qualcomm_com/Documents/Documents/Ran%201%20Meetings/123/results_payload_configurations.xlsx" TargetMode="External"/><Relationship Id="rId2" Type="http://schemas.microsoft.com/office/2011/relationships/chartColorStyle" Target="colors4.xml"/><Relationship Id="rId1" Type="http://schemas.microsoft.com/office/2011/relationships/chartStyle" Target="style4.xml"/></Relationships>
</file>

<file path=word/charts/_rels/chart5.xml.rels><?xml version="1.0" encoding="UTF-8" standalone="yes"?>
<Relationships xmlns="http://schemas.openxmlformats.org/package/2006/relationships"><Relationship Id="rId3" Type="http://schemas.openxmlformats.org/officeDocument/2006/relationships/oleObject" Target="https://qualcomm-my.sharepoint.com/personal/chenxih_qti_qualcomm_com/Documents/Documents/Ran%201%20Meetings/123/results_payload_configurations.xlsx" TargetMode="External"/><Relationship Id="rId2" Type="http://schemas.microsoft.com/office/2011/relationships/chartColorStyle" Target="colors5.xml"/><Relationship Id="rId1" Type="http://schemas.microsoft.com/office/2011/relationships/chartStyle" Target="style5.xml"/></Relationships>
</file>

<file path=word/charts/_rels/chart6.xml.rels><?xml version="1.0" encoding="UTF-8" standalone="yes"?>
<Relationships xmlns="http://schemas.openxmlformats.org/package/2006/relationships"><Relationship Id="rId3" Type="http://schemas.openxmlformats.org/officeDocument/2006/relationships/oleObject" Target="https://qualcomm-my.sharepoint.com/personal/chenxih_qti_qualcomm_com/Documents/Documents/Ran%201%20Meetings/123/results_payload_configurations.xlsx" TargetMode="External"/><Relationship Id="rId2" Type="http://schemas.microsoft.com/office/2011/relationships/chartColorStyle" Target="colors6.xml"/><Relationship Id="rId1" Type="http://schemas.microsoft.com/office/2011/relationships/chartStyle" Target="style6.xml"/></Relationships>
</file>

<file path=word/charts/_rels/chart7.xml.rels><?xml version="1.0" encoding="UTF-8" standalone="yes"?>
<Relationships xmlns="http://schemas.openxmlformats.org/package/2006/relationships"><Relationship Id="rId3" Type="http://schemas.openxmlformats.org/officeDocument/2006/relationships/oleObject" Target="https://qualcomm-my.sharepoint.com/personal/chenxih_qti_qualcomm_com/Documents/Documents/Ran%201%20Meetings/123/results_payload_configurations.xlsx" TargetMode="External"/><Relationship Id="rId2" Type="http://schemas.microsoft.com/office/2011/relationships/chartColorStyle" Target="colors7.xml"/><Relationship Id="rId1" Type="http://schemas.microsoft.com/office/2011/relationships/chartStyle" Target="style7.xml"/></Relationships>
</file>

<file path=word/charts/_rels/chart8.xml.rels><?xml version="1.0" encoding="UTF-8" standalone="yes"?>
<Relationships xmlns="http://schemas.openxmlformats.org/package/2006/relationships"><Relationship Id="rId3" Type="http://schemas.openxmlformats.org/officeDocument/2006/relationships/oleObject" Target="https://qualcomm-my.sharepoint.com/personal/chenxih_qti_qualcomm_com/Documents/Documents/Ran%201%20Meetings/123/results_payload_configurations.xlsx" TargetMode="External"/><Relationship Id="rId2" Type="http://schemas.microsoft.com/office/2011/relationships/chartColorStyle" Target="colors8.xml"/><Relationship Id="rId1" Type="http://schemas.microsoft.com/office/2011/relationships/chartStyle" Target="style8.xml"/></Relationships>
</file>

<file path=word/charts/_rels/chart9.xml.rels><?xml version="1.0" encoding="UTF-8" standalone="yes"?>
<Relationships xmlns="http://schemas.openxmlformats.org/package/2006/relationships"><Relationship Id="rId3" Type="http://schemas.openxmlformats.org/officeDocument/2006/relationships/oleObject" Target="https://qualcomm-my.sharepoint.com/personal/chenxih_qti_qualcomm_com/Documents/Documents/Ran%201%20Meetings/123/results_payload_configurations.xlsx" TargetMode="External"/><Relationship Id="rId2" Type="http://schemas.microsoft.com/office/2011/relationships/chartColorStyle" Target="colors9.xml"/><Relationship Id="rId1" Type="http://schemas.microsoft.com/office/2011/relationships/chartStyle" Target="style9.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t>Layer 0</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manualLayout>
          <c:layoutTarget val="inner"/>
          <c:xMode val="edge"/>
          <c:yMode val="edge"/>
          <c:x val="0.14453937007874015"/>
          <c:y val="0.17171296296296296"/>
          <c:w val="0.80816841644794413"/>
          <c:h val="0.62308654126567509"/>
        </c:manualLayout>
      </c:layout>
      <c:scatterChart>
        <c:scatterStyle val="lineMarker"/>
        <c:varyColors val="0"/>
        <c:ser>
          <c:idx val="0"/>
          <c:order val="0"/>
          <c:tx>
            <c:v>VQ, L=2, Q=4</c:v>
          </c:tx>
          <c:spPr>
            <a:ln w="19050" cap="rnd">
              <a:solidFill>
                <a:schemeClr val="accent2"/>
              </a:solidFill>
              <a:round/>
            </a:ln>
            <a:effectLst/>
          </c:spPr>
          <c:marker>
            <c:symbol val="circle"/>
            <c:size val="5"/>
            <c:spPr>
              <a:solidFill>
                <a:schemeClr val="accent2"/>
              </a:solidFill>
              <a:ln w="9525">
                <a:solidFill>
                  <a:schemeClr val="accent2"/>
                </a:solidFill>
              </a:ln>
              <a:effectLst/>
            </c:spPr>
          </c:marker>
          <c:xVal>
            <c:numRef>
              <c:f>SGCS_123!$D$27:$D$31</c:f>
              <c:numCache>
                <c:formatCode>General</c:formatCode>
                <c:ptCount val="5"/>
                <c:pt idx="0">
                  <c:v>64</c:v>
                </c:pt>
                <c:pt idx="1">
                  <c:v>128</c:v>
                </c:pt>
                <c:pt idx="2">
                  <c:v>192</c:v>
                </c:pt>
                <c:pt idx="3">
                  <c:v>256</c:v>
                </c:pt>
                <c:pt idx="4">
                  <c:v>384</c:v>
                </c:pt>
              </c:numCache>
            </c:numRef>
          </c:xVal>
          <c:yVal>
            <c:numRef>
              <c:f>SGCS_123!$F$27:$F$31</c:f>
              <c:numCache>
                <c:formatCode>General</c:formatCode>
                <c:ptCount val="5"/>
                <c:pt idx="0">
                  <c:v>0.72899999999999998</c:v>
                </c:pt>
                <c:pt idx="1">
                  <c:v>0.79669999999999996</c:v>
                </c:pt>
                <c:pt idx="2">
                  <c:v>0.83389999999999997</c:v>
                </c:pt>
                <c:pt idx="3">
                  <c:v>0.86040000000000005</c:v>
                </c:pt>
                <c:pt idx="4">
                  <c:v>0.8901</c:v>
                </c:pt>
              </c:numCache>
            </c:numRef>
          </c:yVal>
          <c:smooth val="0"/>
          <c:extLst>
            <c:ext xmlns:c16="http://schemas.microsoft.com/office/drawing/2014/chart" uri="{C3380CC4-5D6E-409C-BE32-E72D297353CC}">
              <c16:uniqueId val="{00000000-992B-4F92-9470-862390F9FC73}"/>
            </c:ext>
          </c:extLst>
        </c:ser>
        <c:ser>
          <c:idx val="1"/>
          <c:order val="1"/>
          <c:tx>
            <c:v>VQ, L=4, Q=4</c:v>
          </c:tx>
          <c:spPr>
            <a:ln w="19050" cap="rnd">
              <a:solidFill>
                <a:schemeClr val="accent4"/>
              </a:solidFill>
              <a:round/>
            </a:ln>
            <a:effectLst/>
          </c:spPr>
          <c:marker>
            <c:symbol val="circle"/>
            <c:size val="5"/>
            <c:spPr>
              <a:solidFill>
                <a:schemeClr val="accent4"/>
              </a:solidFill>
              <a:ln w="9525">
                <a:solidFill>
                  <a:schemeClr val="accent4"/>
                </a:solidFill>
              </a:ln>
              <a:effectLst/>
            </c:spPr>
          </c:marker>
          <c:xVal>
            <c:numRef>
              <c:f>SGCS_123!$D$22:$D$26</c:f>
              <c:numCache>
                <c:formatCode>General</c:formatCode>
                <c:ptCount val="5"/>
                <c:pt idx="0">
                  <c:v>32</c:v>
                </c:pt>
                <c:pt idx="1">
                  <c:v>64</c:v>
                </c:pt>
                <c:pt idx="2">
                  <c:v>96</c:v>
                </c:pt>
                <c:pt idx="3">
                  <c:v>128</c:v>
                </c:pt>
                <c:pt idx="4">
                  <c:v>192</c:v>
                </c:pt>
              </c:numCache>
            </c:numRef>
          </c:xVal>
          <c:yVal>
            <c:numRef>
              <c:f>SGCS_123!$F$22:$F$26</c:f>
              <c:numCache>
                <c:formatCode>General</c:formatCode>
                <c:ptCount val="5"/>
                <c:pt idx="0">
                  <c:v>0.67889999999999995</c:v>
                </c:pt>
                <c:pt idx="1">
                  <c:v>0.74339999999999995</c:v>
                </c:pt>
                <c:pt idx="2">
                  <c:v>0.77129999999999999</c:v>
                </c:pt>
                <c:pt idx="3">
                  <c:v>0.79139999999999999</c:v>
                </c:pt>
                <c:pt idx="4">
                  <c:v>0.81820000000000004</c:v>
                </c:pt>
              </c:numCache>
            </c:numRef>
          </c:yVal>
          <c:smooth val="0"/>
          <c:extLst>
            <c:ext xmlns:c16="http://schemas.microsoft.com/office/drawing/2014/chart" uri="{C3380CC4-5D6E-409C-BE32-E72D297353CC}">
              <c16:uniqueId val="{00000001-992B-4F92-9470-862390F9FC73}"/>
            </c:ext>
          </c:extLst>
        </c:ser>
        <c:ser>
          <c:idx val="2"/>
          <c:order val="2"/>
          <c:tx>
            <c:v>VQ, L=4, Q=8</c:v>
          </c:tx>
          <c:spPr>
            <a:ln w="19050" cap="rnd">
              <a:solidFill>
                <a:schemeClr val="accent6"/>
              </a:solidFill>
              <a:round/>
            </a:ln>
            <a:effectLst/>
          </c:spPr>
          <c:marker>
            <c:symbol val="circle"/>
            <c:size val="5"/>
            <c:spPr>
              <a:solidFill>
                <a:schemeClr val="accent6"/>
              </a:solidFill>
              <a:ln w="9525">
                <a:solidFill>
                  <a:schemeClr val="accent6"/>
                </a:solidFill>
              </a:ln>
              <a:effectLst/>
            </c:spPr>
          </c:marker>
          <c:xVal>
            <c:numRef>
              <c:f>SGCS_123!$D$32:$D$36</c:f>
              <c:numCache>
                <c:formatCode>General</c:formatCode>
                <c:ptCount val="5"/>
                <c:pt idx="0">
                  <c:v>64</c:v>
                </c:pt>
                <c:pt idx="1">
                  <c:v>128</c:v>
                </c:pt>
                <c:pt idx="2">
                  <c:v>192</c:v>
                </c:pt>
                <c:pt idx="3">
                  <c:v>256</c:v>
                </c:pt>
                <c:pt idx="4">
                  <c:v>384</c:v>
                </c:pt>
              </c:numCache>
            </c:numRef>
          </c:xVal>
          <c:yVal>
            <c:numRef>
              <c:f>SGCS_123!$F$32:$F$36</c:f>
              <c:numCache>
                <c:formatCode>General</c:formatCode>
                <c:ptCount val="5"/>
                <c:pt idx="0">
                  <c:v>0.72970000000000002</c:v>
                </c:pt>
                <c:pt idx="1">
                  <c:v>0.79990000000000006</c:v>
                </c:pt>
                <c:pt idx="2">
                  <c:v>0.83909999999999996</c:v>
                </c:pt>
                <c:pt idx="3">
                  <c:v>0.86599999999999999</c:v>
                </c:pt>
                <c:pt idx="4">
                  <c:v>0.90210000000000001</c:v>
                </c:pt>
              </c:numCache>
            </c:numRef>
          </c:yVal>
          <c:smooth val="0"/>
          <c:extLst>
            <c:ext xmlns:c16="http://schemas.microsoft.com/office/drawing/2014/chart" uri="{C3380CC4-5D6E-409C-BE32-E72D297353CC}">
              <c16:uniqueId val="{00000002-992B-4F92-9470-862390F9FC73}"/>
            </c:ext>
          </c:extLst>
        </c:ser>
        <c:dLbls>
          <c:showLegendKey val="0"/>
          <c:showVal val="0"/>
          <c:showCatName val="0"/>
          <c:showSerName val="0"/>
          <c:showPercent val="0"/>
          <c:showBubbleSize val="0"/>
        </c:dLbls>
        <c:axId val="85717936"/>
        <c:axId val="85718416"/>
      </c:scatterChart>
      <c:valAx>
        <c:axId val="85717936"/>
        <c:scaling>
          <c:orientation val="minMax"/>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payload size</a:t>
                </a:r>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700" b="0" i="0" u="none" strike="noStrike" kern="1200" baseline="0">
                <a:solidFill>
                  <a:schemeClr val="tx1">
                    <a:lumMod val="65000"/>
                    <a:lumOff val="35000"/>
                  </a:schemeClr>
                </a:solidFill>
                <a:latin typeface="+mn-lt"/>
                <a:ea typeface="+mn-ea"/>
                <a:cs typeface="+mn-cs"/>
              </a:defRPr>
            </a:pPr>
            <a:endParaRPr lang="en-US"/>
          </a:p>
        </c:txPr>
        <c:crossAx val="85718416"/>
        <c:crosses val="autoZero"/>
        <c:crossBetween val="midCat"/>
        <c:majorUnit val="32"/>
      </c:valAx>
      <c:valAx>
        <c:axId val="85718416"/>
        <c:scaling>
          <c:orientation val="minMax"/>
          <c:min val="0.60000000000000009"/>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SGCS</a:t>
                </a:r>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700" b="0" i="0" u="none" strike="noStrike" kern="1200" baseline="0">
                <a:solidFill>
                  <a:schemeClr val="tx1">
                    <a:lumMod val="65000"/>
                    <a:lumOff val="35000"/>
                  </a:schemeClr>
                </a:solidFill>
                <a:latin typeface="+mn-lt"/>
                <a:ea typeface="+mn-ea"/>
                <a:cs typeface="+mn-cs"/>
              </a:defRPr>
            </a:pPr>
            <a:endParaRPr lang="en-US"/>
          </a:p>
        </c:txPr>
        <c:crossAx val="85717936"/>
        <c:crosses val="autoZero"/>
        <c:crossBetween val="midCat"/>
      </c:valAx>
      <c:spPr>
        <a:noFill/>
        <a:ln>
          <a:noFill/>
        </a:ln>
        <a:effectLst/>
      </c:spPr>
    </c:plotArea>
    <c:legend>
      <c:legendPos val="r"/>
      <c:layout>
        <c:manualLayout>
          <c:xMode val="edge"/>
          <c:yMode val="edge"/>
          <c:x val="0.54567567492554792"/>
          <c:y val="0.5126494604841062"/>
          <c:w val="0.37654642394233684"/>
          <c:h val="0.23437664041994752"/>
        </c:manualLayout>
      </c:layou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extLst>
      <c:ext xmlns:c16r3="http://schemas.microsoft.com/office/drawing/2017/03/chart" uri="{56B9EC1D-385E-4148-901F-78D8002777C0}">
        <c16r3:dataDisplayOptions16>
          <c16r3:dispNaAsBlank val="1"/>
        </c16r3:dataDisplayOptions16>
      </c:ext>
    </c:extLst>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10.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t>Layer 1</a:t>
            </a:r>
          </a:p>
        </c:rich>
      </c:tx>
      <c:layout>
        <c:manualLayout>
          <c:xMode val="edge"/>
          <c:yMode val="edge"/>
          <c:x val="0.42647683807904796"/>
          <c:y val="0"/>
        </c:manualLayout>
      </c:layout>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manualLayout>
          <c:layoutTarget val="inner"/>
          <c:xMode val="edge"/>
          <c:yMode val="edge"/>
          <c:x val="0.14574249987116436"/>
          <c:y val="0.15213729749298582"/>
          <c:w val="0.78328647728399381"/>
          <c:h val="0.61700199113041909"/>
        </c:manualLayout>
      </c:layout>
      <c:scatterChart>
        <c:scatterStyle val="lineMarker"/>
        <c:varyColors val="0"/>
        <c:ser>
          <c:idx val="0"/>
          <c:order val="0"/>
          <c:tx>
            <c:v>SQ, Q=2</c:v>
          </c:tx>
          <c:spPr>
            <a:ln w="19050" cap="rnd">
              <a:solidFill>
                <a:schemeClr val="accent1"/>
              </a:solidFill>
              <a:round/>
            </a:ln>
            <a:effectLst/>
          </c:spPr>
          <c:marker>
            <c:symbol val="circle"/>
            <c:size val="5"/>
            <c:spPr>
              <a:solidFill>
                <a:schemeClr val="accent1"/>
              </a:solidFill>
              <a:ln w="9525">
                <a:solidFill>
                  <a:schemeClr val="accent1"/>
                </a:solidFill>
              </a:ln>
              <a:effectLst/>
            </c:spPr>
          </c:marker>
          <c:xVal>
            <c:numRef>
              <c:f>SGCS_123!$D$7:$D$11</c:f>
              <c:numCache>
                <c:formatCode>General</c:formatCode>
                <c:ptCount val="5"/>
                <c:pt idx="0">
                  <c:v>64</c:v>
                </c:pt>
                <c:pt idx="1">
                  <c:v>128</c:v>
                </c:pt>
                <c:pt idx="2">
                  <c:v>192</c:v>
                </c:pt>
                <c:pt idx="3">
                  <c:v>256</c:v>
                </c:pt>
                <c:pt idx="4">
                  <c:v>384</c:v>
                </c:pt>
              </c:numCache>
            </c:numRef>
          </c:xVal>
          <c:yVal>
            <c:numRef>
              <c:f>SGCS_123!$G$7:$G$11</c:f>
              <c:numCache>
                <c:formatCode>General</c:formatCode>
                <c:ptCount val="5"/>
                <c:pt idx="0">
                  <c:v>0.59809999999999997</c:v>
                </c:pt>
                <c:pt idx="1">
                  <c:v>0.67779999999999996</c:v>
                </c:pt>
                <c:pt idx="2">
                  <c:v>0.72660000000000002</c:v>
                </c:pt>
                <c:pt idx="3">
                  <c:v>0.7641</c:v>
                </c:pt>
                <c:pt idx="4">
                  <c:v>0.8206</c:v>
                </c:pt>
              </c:numCache>
            </c:numRef>
          </c:yVal>
          <c:smooth val="0"/>
          <c:extLst>
            <c:ext xmlns:c16="http://schemas.microsoft.com/office/drawing/2014/chart" uri="{C3380CC4-5D6E-409C-BE32-E72D297353CC}">
              <c16:uniqueId val="{00000000-5147-4365-A962-D6414E2CCDB5}"/>
            </c:ext>
          </c:extLst>
        </c:ser>
        <c:ser>
          <c:idx val="1"/>
          <c:order val="1"/>
          <c:tx>
            <c:v>VQ, L=2, Q=4</c:v>
          </c:tx>
          <c:spPr>
            <a:ln w="19050" cap="rnd">
              <a:solidFill>
                <a:schemeClr val="accent2"/>
              </a:solidFill>
              <a:round/>
            </a:ln>
            <a:effectLst/>
          </c:spPr>
          <c:marker>
            <c:symbol val="circle"/>
            <c:size val="5"/>
            <c:spPr>
              <a:solidFill>
                <a:schemeClr val="accent2"/>
              </a:solidFill>
              <a:ln w="9525">
                <a:solidFill>
                  <a:schemeClr val="accent2"/>
                </a:solidFill>
              </a:ln>
              <a:effectLst/>
            </c:spPr>
          </c:marker>
          <c:xVal>
            <c:numRef>
              <c:f>SGCS_123!$D$27:$D$31</c:f>
              <c:numCache>
                <c:formatCode>General</c:formatCode>
                <c:ptCount val="5"/>
                <c:pt idx="0">
                  <c:v>64</c:v>
                </c:pt>
                <c:pt idx="1">
                  <c:v>128</c:v>
                </c:pt>
                <c:pt idx="2">
                  <c:v>192</c:v>
                </c:pt>
                <c:pt idx="3">
                  <c:v>256</c:v>
                </c:pt>
                <c:pt idx="4">
                  <c:v>384</c:v>
                </c:pt>
              </c:numCache>
            </c:numRef>
          </c:xVal>
          <c:yVal>
            <c:numRef>
              <c:f>SGCS_123!$G$27:$G$31</c:f>
              <c:numCache>
                <c:formatCode>General</c:formatCode>
                <c:ptCount val="5"/>
                <c:pt idx="0">
                  <c:v>0.60409999999999997</c:v>
                </c:pt>
                <c:pt idx="1">
                  <c:v>0.6885</c:v>
                </c:pt>
                <c:pt idx="2">
                  <c:v>0.73740000000000006</c:v>
                </c:pt>
                <c:pt idx="3">
                  <c:v>0.77500000000000002</c:v>
                </c:pt>
                <c:pt idx="4">
                  <c:v>0.83069999999999999</c:v>
                </c:pt>
              </c:numCache>
            </c:numRef>
          </c:yVal>
          <c:smooth val="0"/>
          <c:extLst>
            <c:ext xmlns:c16="http://schemas.microsoft.com/office/drawing/2014/chart" uri="{C3380CC4-5D6E-409C-BE32-E72D297353CC}">
              <c16:uniqueId val="{00000001-5147-4365-A962-D6414E2CCDB5}"/>
            </c:ext>
          </c:extLst>
        </c:ser>
        <c:dLbls>
          <c:showLegendKey val="0"/>
          <c:showVal val="0"/>
          <c:showCatName val="0"/>
          <c:showSerName val="0"/>
          <c:showPercent val="0"/>
          <c:showBubbleSize val="0"/>
        </c:dLbls>
        <c:axId val="68183952"/>
        <c:axId val="68186832"/>
      </c:scatterChart>
      <c:valAx>
        <c:axId val="68183952"/>
        <c:scaling>
          <c:orientation val="minMax"/>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Payload size</a:t>
                </a:r>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700" b="0" i="0" u="none" strike="noStrike" kern="1200" baseline="0">
                <a:solidFill>
                  <a:schemeClr val="tx1">
                    <a:lumMod val="65000"/>
                    <a:lumOff val="35000"/>
                  </a:schemeClr>
                </a:solidFill>
                <a:latin typeface="+mn-lt"/>
                <a:ea typeface="+mn-ea"/>
                <a:cs typeface="+mn-cs"/>
              </a:defRPr>
            </a:pPr>
            <a:endParaRPr lang="en-US"/>
          </a:p>
        </c:txPr>
        <c:crossAx val="68186832"/>
        <c:crosses val="autoZero"/>
        <c:crossBetween val="midCat"/>
        <c:majorUnit val="32"/>
      </c:valAx>
      <c:valAx>
        <c:axId val="68186832"/>
        <c:scaling>
          <c:orientation val="minMax"/>
          <c:min val="0.55000000000000004"/>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SGCS</a:t>
                </a:r>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700" b="0" i="0" u="none" strike="noStrike" kern="1200" baseline="0">
                <a:solidFill>
                  <a:schemeClr val="tx1">
                    <a:lumMod val="65000"/>
                    <a:lumOff val="35000"/>
                  </a:schemeClr>
                </a:solidFill>
                <a:latin typeface="+mn-lt"/>
                <a:ea typeface="+mn-ea"/>
                <a:cs typeface="+mn-cs"/>
              </a:defRPr>
            </a:pPr>
            <a:endParaRPr lang="en-US"/>
          </a:p>
        </c:txPr>
        <c:crossAx val="68183952"/>
        <c:crosses val="autoZero"/>
        <c:crossBetween val="midCat"/>
      </c:valAx>
      <c:spPr>
        <a:noFill/>
        <a:ln>
          <a:noFill/>
        </a:ln>
        <a:effectLst/>
      </c:spPr>
    </c:plotArea>
    <c:legend>
      <c:legendPos val="r"/>
      <c:layout>
        <c:manualLayout>
          <c:xMode val="edge"/>
          <c:yMode val="edge"/>
          <c:x val="0.56069919118163791"/>
          <c:y val="0.48269016831611639"/>
          <c:w val="0.35828846404824133"/>
          <c:h val="0.20642346312215562"/>
        </c:manualLayout>
      </c:layou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extLst>
      <c:ext xmlns:c16r3="http://schemas.microsoft.com/office/drawing/2017/03/chart" uri="{56B9EC1D-385E-4148-901F-78D8002777C0}">
        <c16r3:dataDisplayOptions16>
          <c16r3:dispNaAsBlank val="1"/>
        </c16r3:dataDisplayOptions16>
      </c:ext>
    </c:extLst>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1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t>Layer 2</a:t>
            </a:r>
          </a:p>
        </c:rich>
      </c:tx>
      <c:layout>
        <c:manualLayout>
          <c:xMode val="edge"/>
          <c:yMode val="edge"/>
          <c:x val="0.40401081568274005"/>
          <c:y val="0"/>
        </c:manualLayout>
      </c:layout>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manualLayout>
          <c:layoutTarget val="inner"/>
          <c:xMode val="edge"/>
          <c:yMode val="edge"/>
          <c:x val="0.15877645727847225"/>
          <c:y val="0.16137520600622596"/>
          <c:w val="0.79658998507539502"/>
          <c:h val="0.62787354460273614"/>
        </c:manualLayout>
      </c:layout>
      <c:scatterChart>
        <c:scatterStyle val="lineMarker"/>
        <c:varyColors val="0"/>
        <c:ser>
          <c:idx val="0"/>
          <c:order val="0"/>
          <c:tx>
            <c:v>SQ, Q=2</c:v>
          </c:tx>
          <c:spPr>
            <a:ln w="19050" cap="rnd">
              <a:solidFill>
                <a:schemeClr val="accent1"/>
              </a:solidFill>
              <a:round/>
            </a:ln>
            <a:effectLst/>
          </c:spPr>
          <c:marker>
            <c:symbol val="circle"/>
            <c:size val="5"/>
            <c:spPr>
              <a:solidFill>
                <a:schemeClr val="accent1"/>
              </a:solidFill>
              <a:ln w="9525">
                <a:solidFill>
                  <a:schemeClr val="accent1"/>
                </a:solidFill>
              </a:ln>
              <a:effectLst/>
            </c:spPr>
          </c:marker>
          <c:xVal>
            <c:numRef>
              <c:f>SGCS_123!$D$7:$D$11</c:f>
              <c:numCache>
                <c:formatCode>General</c:formatCode>
                <c:ptCount val="5"/>
                <c:pt idx="0">
                  <c:v>64</c:v>
                </c:pt>
                <c:pt idx="1">
                  <c:v>128</c:v>
                </c:pt>
                <c:pt idx="2">
                  <c:v>192</c:v>
                </c:pt>
                <c:pt idx="3">
                  <c:v>256</c:v>
                </c:pt>
                <c:pt idx="4">
                  <c:v>384</c:v>
                </c:pt>
              </c:numCache>
            </c:numRef>
          </c:xVal>
          <c:yVal>
            <c:numRef>
              <c:f>SGCS_123!$H$7:$H$11</c:f>
              <c:numCache>
                <c:formatCode>General</c:formatCode>
                <c:ptCount val="5"/>
                <c:pt idx="0">
                  <c:v>0.50019999999999998</c:v>
                </c:pt>
                <c:pt idx="1">
                  <c:v>0.57809999999999995</c:v>
                </c:pt>
                <c:pt idx="2">
                  <c:v>0.63080000000000003</c:v>
                </c:pt>
                <c:pt idx="3">
                  <c:v>0.67320000000000002</c:v>
                </c:pt>
                <c:pt idx="4">
                  <c:v>0.74129999999999996</c:v>
                </c:pt>
              </c:numCache>
            </c:numRef>
          </c:yVal>
          <c:smooth val="0"/>
          <c:extLst>
            <c:ext xmlns:c16="http://schemas.microsoft.com/office/drawing/2014/chart" uri="{C3380CC4-5D6E-409C-BE32-E72D297353CC}">
              <c16:uniqueId val="{00000000-9F6F-4B44-8700-5B87C16D36F1}"/>
            </c:ext>
          </c:extLst>
        </c:ser>
        <c:ser>
          <c:idx val="1"/>
          <c:order val="1"/>
          <c:tx>
            <c:v>VQ, L=2, Q=4</c:v>
          </c:tx>
          <c:spPr>
            <a:ln w="19050" cap="rnd">
              <a:solidFill>
                <a:schemeClr val="accent2"/>
              </a:solidFill>
              <a:round/>
            </a:ln>
            <a:effectLst/>
          </c:spPr>
          <c:marker>
            <c:symbol val="circle"/>
            <c:size val="5"/>
            <c:spPr>
              <a:solidFill>
                <a:schemeClr val="accent2"/>
              </a:solidFill>
              <a:ln w="9525">
                <a:solidFill>
                  <a:schemeClr val="accent2"/>
                </a:solidFill>
              </a:ln>
              <a:effectLst/>
            </c:spPr>
          </c:marker>
          <c:xVal>
            <c:numRef>
              <c:f>SGCS_123!$D$27:$D$31</c:f>
              <c:numCache>
                <c:formatCode>General</c:formatCode>
                <c:ptCount val="5"/>
                <c:pt idx="0">
                  <c:v>64</c:v>
                </c:pt>
                <c:pt idx="1">
                  <c:v>128</c:v>
                </c:pt>
                <c:pt idx="2">
                  <c:v>192</c:v>
                </c:pt>
                <c:pt idx="3">
                  <c:v>256</c:v>
                </c:pt>
                <c:pt idx="4">
                  <c:v>384</c:v>
                </c:pt>
              </c:numCache>
            </c:numRef>
          </c:xVal>
          <c:yVal>
            <c:numRef>
              <c:f>SGCS_123!$H$27:$H$31</c:f>
              <c:numCache>
                <c:formatCode>General</c:formatCode>
                <c:ptCount val="5"/>
                <c:pt idx="0">
                  <c:v>0.50360000000000005</c:v>
                </c:pt>
                <c:pt idx="1">
                  <c:v>0.58689999999999998</c:v>
                </c:pt>
                <c:pt idx="2">
                  <c:v>0.63949999999999996</c:v>
                </c:pt>
                <c:pt idx="3">
                  <c:v>0.68200000000000005</c:v>
                </c:pt>
                <c:pt idx="4">
                  <c:v>0.74919999999999998</c:v>
                </c:pt>
              </c:numCache>
            </c:numRef>
          </c:yVal>
          <c:smooth val="0"/>
          <c:extLst>
            <c:ext xmlns:c16="http://schemas.microsoft.com/office/drawing/2014/chart" uri="{C3380CC4-5D6E-409C-BE32-E72D297353CC}">
              <c16:uniqueId val="{00000001-9F6F-4B44-8700-5B87C16D36F1}"/>
            </c:ext>
          </c:extLst>
        </c:ser>
        <c:dLbls>
          <c:showLegendKey val="0"/>
          <c:showVal val="0"/>
          <c:showCatName val="0"/>
          <c:showSerName val="0"/>
          <c:showPercent val="0"/>
          <c:showBubbleSize val="0"/>
        </c:dLbls>
        <c:axId val="80059600"/>
        <c:axId val="80044720"/>
      </c:scatterChart>
      <c:valAx>
        <c:axId val="80059600"/>
        <c:scaling>
          <c:orientation val="minMax"/>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Payload size</a:t>
                </a:r>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700" b="0" i="0" u="none" strike="noStrike" kern="1200" baseline="0">
                <a:solidFill>
                  <a:schemeClr val="tx1">
                    <a:lumMod val="65000"/>
                    <a:lumOff val="35000"/>
                  </a:schemeClr>
                </a:solidFill>
                <a:latin typeface="+mn-lt"/>
                <a:ea typeface="+mn-ea"/>
                <a:cs typeface="+mn-cs"/>
              </a:defRPr>
            </a:pPr>
            <a:endParaRPr lang="en-US"/>
          </a:p>
        </c:txPr>
        <c:crossAx val="80044720"/>
        <c:crosses val="autoZero"/>
        <c:crossBetween val="midCat"/>
        <c:majorUnit val="32"/>
      </c:valAx>
      <c:valAx>
        <c:axId val="80044720"/>
        <c:scaling>
          <c:orientation val="minMax"/>
          <c:min val="0.45"/>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SGCS</a:t>
                </a:r>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700" b="0" i="0" u="none" strike="noStrike" kern="1200" baseline="0">
                <a:solidFill>
                  <a:schemeClr val="tx1">
                    <a:lumMod val="65000"/>
                    <a:lumOff val="35000"/>
                  </a:schemeClr>
                </a:solidFill>
                <a:latin typeface="+mn-lt"/>
                <a:ea typeface="+mn-ea"/>
                <a:cs typeface="+mn-cs"/>
              </a:defRPr>
            </a:pPr>
            <a:endParaRPr lang="en-US"/>
          </a:p>
        </c:txPr>
        <c:crossAx val="80059600"/>
        <c:crosses val="autoZero"/>
        <c:crossBetween val="midCat"/>
      </c:valAx>
      <c:spPr>
        <a:noFill/>
        <a:ln>
          <a:noFill/>
        </a:ln>
        <a:effectLst/>
      </c:spPr>
    </c:plotArea>
    <c:legend>
      <c:legendPos val="r"/>
      <c:layout>
        <c:manualLayout>
          <c:xMode val="edge"/>
          <c:yMode val="edge"/>
          <c:x val="0.4962918673020762"/>
          <c:y val="0.5010079674758755"/>
          <c:w val="0.3933402646435758"/>
          <c:h val="0.24517458877849693"/>
        </c:manualLayout>
      </c:layou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extLst>
      <c:ext xmlns:c16r3="http://schemas.microsoft.com/office/drawing/2017/03/chart" uri="{56B9EC1D-385E-4148-901F-78D8002777C0}">
        <c16r3:dataDisplayOptions16>
          <c16r3:dispNaAsBlank val="1"/>
        </c16r3:dataDisplayOptions16>
      </c:ext>
    </c:extLst>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1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t>Layer 3</a:t>
            </a:r>
          </a:p>
        </c:rich>
      </c:tx>
      <c:layout>
        <c:manualLayout>
          <c:xMode val="edge"/>
          <c:yMode val="edge"/>
          <c:x val="0.40801105864790005"/>
          <c:y val="2.2338049143708117E-2"/>
        </c:manualLayout>
      </c:layout>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manualLayout>
          <c:layoutTarget val="inner"/>
          <c:xMode val="edge"/>
          <c:yMode val="edge"/>
          <c:x val="0.14477434223161129"/>
          <c:y val="0.15049688967583444"/>
          <c:w val="0.78449328821281694"/>
          <c:h val="0.6004960102250807"/>
        </c:manualLayout>
      </c:layout>
      <c:scatterChart>
        <c:scatterStyle val="lineMarker"/>
        <c:varyColors val="0"/>
        <c:ser>
          <c:idx val="0"/>
          <c:order val="0"/>
          <c:tx>
            <c:v>SQ, Q=2</c:v>
          </c:tx>
          <c:spPr>
            <a:ln w="19050" cap="rnd">
              <a:solidFill>
                <a:schemeClr val="accent1"/>
              </a:solidFill>
              <a:round/>
            </a:ln>
            <a:effectLst/>
          </c:spPr>
          <c:marker>
            <c:symbol val="circle"/>
            <c:size val="5"/>
            <c:spPr>
              <a:solidFill>
                <a:schemeClr val="accent1"/>
              </a:solidFill>
              <a:ln w="9525">
                <a:solidFill>
                  <a:schemeClr val="accent1"/>
                </a:solidFill>
              </a:ln>
              <a:effectLst/>
            </c:spPr>
          </c:marker>
          <c:xVal>
            <c:numRef>
              <c:f>SGCS_123!$D$7:$D$11</c:f>
              <c:numCache>
                <c:formatCode>General</c:formatCode>
                <c:ptCount val="5"/>
                <c:pt idx="0">
                  <c:v>64</c:v>
                </c:pt>
                <c:pt idx="1">
                  <c:v>128</c:v>
                </c:pt>
                <c:pt idx="2">
                  <c:v>192</c:v>
                </c:pt>
                <c:pt idx="3">
                  <c:v>256</c:v>
                </c:pt>
                <c:pt idx="4">
                  <c:v>384</c:v>
                </c:pt>
              </c:numCache>
            </c:numRef>
          </c:xVal>
          <c:yVal>
            <c:numRef>
              <c:f>SGCS_123!$I$7:$I$11</c:f>
              <c:numCache>
                <c:formatCode>General</c:formatCode>
                <c:ptCount val="5"/>
                <c:pt idx="0">
                  <c:v>0.42949999999999999</c:v>
                </c:pt>
                <c:pt idx="1">
                  <c:v>0.50839999999999996</c:v>
                </c:pt>
                <c:pt idx="2">
                  <c:v>0.56189999999999996</c:v>
                </c:pt>
                <c:pt idx="3">
                  <c:v>0.60550000000000004</c:v>
                </c:pt>
                <c:pt idx="4">
                  <c:v>0.67789999999999995</c:v>
                </c:pt>
              </c:numCache>
            </c:numRef>
          </c:yVal>
          <c:smooth val="0"/>
          <c:extLst>
            <c:ext xmlns:c16="http://schemas.microsoft.com/office/drawing/2014/chart" uri="{C3380CC4-5D6E-409C-BE32-E72D297353CC}">
              <c16:uniqueId val="{00000000-5B97-46B3-97FD-040AFA9C610D}"/>
            </c:ext>
          </c:extLst>
        </c:ser>
        <c:ser>
          <c:idx val="1"/>
          <c:order val="1"/>
          <c:tx>
            <c:v>VQ, L=2, Q=4</c:v>
          </c:tx>
          <c:spPr>
            <a:ln w="19050" cap="rnd">
              <a:solidFill>
                <a:schemeClr val="accent2"/>
              </a:solidFill>
              <a:round/>
            </a:ln>
            <a:effectLst/>
          </c:spPr>
          <c:marker>
            <c:symbol val="circle"/>
            <c:size val="5"/>
            <c:spPr>
              <a:solidFill>
                <a:schemeClr val="accent2"/>
              </a:solidFill>
              <a:ln w="9525">
                <a:solidFill>
                  <a:schemeClr val="accent2"/>
                </a:solidFill>
              </a:ln>
              <a:effectLst/>
            </c:spPr>
          </c:marker>
          <c:xVal>
            <c:numRef>
              <c:f>SGCS_123!$D$27:$D$31</c:f>
              <c:numCache>
                <c:formatCode>General</c:formatCode>
                <c:ptCount val="5"/>
                <c:pt idx="0">
                  <c:v>64</c:v>
                </c:pt>
                <c:pt idx="1">
                  <c:v>128</c:v>
                </c:pt>
                <c:pt idx="2">
                  <c:v>192</c:v>
                </c:pt>
                <c:pt idx="3">
                  <c:v>256</c:v>
                </c:pt>
                <c:pt idx="4">
                  <c:v>384</c:v>
                </c:pt>
              </c:numCache>
            </c:numRef>
          </c:xVal>
          <c:yVal>
            <c:numRef>
              <c:f>SGCS_123!$I$27:$I$31</c:f>
              <c:numCache>
                <c:formatCode>General</c:formatCode>
                <c:ptCount val="5"/>
                <c:pt idx="0">
                  <c:v>0.43099999999999999</c:v>
                </c:pt>
                <c:pt idx="1">
                  <c:v>0.51519999999999999</c:v>
                </c:pt>
                <c:pt idx="2">
                  <c:v>0.56820000000000004</c:v>
                </c:pt>
                <c:pt idx="3">
                  <c:v>0.6119</c:v>
                </c:pt>
                <c:pt idx="4">
                  <c:v>0.6835</c:v>
                </c:pt>
              </c:numCache>
            </c:numRef>
          </c:yVal>
          <c:smooth val="0"/>
          <c:extLst>
            <c:ext xmlns:c16="http://schemas.microsoft.com/office/drawing/2014/chart" uri="{C3380CC4-5D6E-409C-BE32-E72D297353CC}">
              <c16:uniqueId val="{00000001-5B97-46B3-97FD-040AFA9C610D}"/>
            </c:ext>
          </c:extLst>
        </c:ser>
        <c:dLbls>
          <c:showLegendKey val="0"/>
          <c:showVal val="0"/>
          <c:showCatName val="0"/>
          <c:showSerName val="0"/>
          <c:showPercent val="0"/>
          <c:showBubbleSize val="0"/>
        </c:dLbls>
        <c:axId val="112120512"/>
        <c:axId val="112123872"/>
      </c:scatterChart>
      <c:valAx>
        <c:axId val="112120512"/>
        <c:scaling>
          <c:orientation val="minMax"/>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Payload size</a:t>
                </a:r>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700" b="0" i="0" u="none" strike="noStrike" kern="1200" baseline="0">
                <a:solidFill>
                  <a:schemeClr val="tx1">
                    <a:lumMod val="65000"/>
                    <a:lumOff val="35000"/>
                  </a:schemeClr>
                </a:solidFill>
                <a:latin typeface="+mn-lt"/>
                <a:ea typeface="+mn-ea"/>
                <a:cs typeface="+mn-cs"/>
              </a:defRPr>
            </a:pPr>
            <a:endParaRPr lang="en-US"/>
          </a:p>
        </c:txPr>
        <c:crossAx val="112123872"/>
        <c:crosses val="autoZero"/>
        <c:crossBetween val="midCat"/>
        <c:majorUnit val="32"/>
      </c:valAx>
      <c:valAx>
        <c:axId val="112123872"/>
        <c:scaling>
          <c:orientation val="minMax"/>
          <c:min val="0.4"/>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SGCS</a:t>
                </a:r>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700" b="0" i="0" u="none" strike="noStrike" kern="1200" baseline="0">
                <a:solidFill>
                  <a:schemeClr val="tx1">
                    <a:lumMod val="65000"/>
                    <a:lumOff val="35000"/>
                  </a:schemeClr>
                </a:solidFill>
                <a:latin typeface="+mn-lt"/>
                <a:ea typeface="+mn-ea"/>
                <a:cs typeface="+mn-cs"/>
              </a:defRPr>
            </a:pPr>
            <a:endParaRPr lang="en-US"/>
          </a:p>
        </c:txPr>
        <c:crossAx val="112120512"/>
        <c:crosses val="autoZero"/>
        <c:crossBetween val="midCat"/>
      </c:valAx>
      <c:spPr>
        <a:noFill/>
        <a:ln>
          <a:noFill/>
        </a:ln>
        <a:effectLst/>
      </c:spPr>
    </c:plotArea>
    <c:legend>
      <c:legendPos val="r"/>
      <c:layout>
        <c:manualLayout>
          <c:xMode val="edge"/>
          <c:yMode val="edge"/>
          <c:x val="0.54826341481661589"/>
          <c:y val="0.51219012651508444"/>
          <c:w val="0.36763237136925581"/>
          <c:h val="0.18960806865433957"/>
        </c:manualLayout>
      </c:layou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extLst>
      <c:ext xmlns:c16r3="http://schemas.microsoft.com/office/drawing/2017/03/chart" uri="{56B9EC1D-385E-4148-901F-78D8002777C0}">
        <c16r3:dataDisplayOptions16>
          <c16r3:dispNaAsBlank val="1"/>
        </c16r3:dataDisplayOptions16>
      </c:ext>
    </c:extLst>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1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t>Rank 3, SNR=16dB</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manualLayout>
          <c:layoutTarget val="inner"/>
          <c:xMode val="edge"/>
          <c:yMode val="edge"/>
          <c:x val="0.14453937007874015"/>
          <c:y val="0.17171296296296296"/>
          <c:w val="0.80590507436570424"/>
          <c:h val="0.57736840186643335"/>
        </c:manualLayout>
      </c:layout>
      <c:scatterChart>
        <c:scatterStyle val="lineMarker"/>
        <c:varyColors val="0"/>
        <c:ser>
          <c:idx val="0"/>
          <c:order val="0"/>
          <c:tx>
            <c:v>Even allocation</c:v>
          </c:tx>
          <c:spPr>
            <a:ln w="25400" cap="rnd">
              <a:noFill/>
              <a:round/>
            </a:ln>
            <a:effectLst/>
          </c:spPr>
          <c:marker>
            <c:symbol val="circle"/>
            <c:size val="5"/>
            <c:spPr>
              <a:solidFill>
                <a:schemeClr val="accent1"/>
              </a:solidFill>
              <a:ln w="9525">
                <a:solidFill>
                  <a:schemeClr val="accent1"/>
                </a:solidFill>
              </a:ln>
              <a:effectLst/>
            </c:spPr>
          </c:marker>
          <c:xVal>
            <c:numRef>
              <c:f>('SE_123, rank3'!$G$2,'SE_123, rank3'!$G$5,'SE_123, rank3'!$G$12,'SE_123, rank3'!$G$13)</c:f>
              <c:numCache>
                <c:formatCode>General</c:formatCode>
                <c:ptCount val="4"/>
                <c:pt idx="0">
                  <c:v>192</c:v>
                </c:pt>
                <c:pt idx="1">
                  <c:v>384</c:v>
                </c:pt>
                <c:pt idx="2">
                  <c:v>576</c:v>
                </c:pt>
                <c:pt idx="3">
                  <c:v>768</c:v>
                </c:pt>
              </c:numCache>
            </c:numRef>
          </c:xVal>
          <c:yVal>
            <c:numRef>
              <c:f>('SE_123, rank3'!$I$2,'SE_123, rank3'!$I$5,'SE_123, rank3'!$I$12,'SE_123, rank3'!$I$13)</c:f>
              <c:numCache>
                <c:formatCode>General</c:formatCode>
                <c:ptCount val="4"/>
                <c:pt idx="0">
                  <c:v>18.453133000000001</c:v>
                </c:pt>
                <c:pt idx="1">
                  <c:v>18.956292999999999</c:v>
                </c:pt>
                <c:pt idx="2">
                  <c:v>19.24539</c:v>
                </c:pt>
                <c:pt idx="3">
                  <c:v>19.465944</c:v>
                </c:pt>
              </c:numCache>
            </c:numRef>
          </c:yVal>
          <c:smooth val="0"/>
          <c:extLst>
            <c:ext xmlns:c16="http://schemas.microsoft.com/office/drawing/2014/chart" uri="{C3380CC4-5D6E-409C-BE32-E72D297353CC}">
              <c16:uniqueId val="{00000000-FFDD-4C74-8BA1-934C90CBE809}"/>
            </c:ext>
          </c:extLst>
        </c:ser>
        <c:ser>
          <c:idx val="1"/>
          <c:order val="1"/>
          <c:tx>
            <c:v>dz1 &lt; dz3</c:v>
          </c:tx>
          <c:spPr>
            <a:ln w="25400" cap="rnd">
              <a:noFill/>
              <a:round/>
            </a:ln>
            <a:effectLst/>
          </c:spPr>
          <c:marker>
            <c:symbol val="circle"/>
            <c:size val="5"/>
            <c:spPr>
              <a:solidFill>
                <a:schemeClr val="accent2"/>
              </a:solidFill>
              <a:ln w="9525">
                <a:solidFill>
                  <a:schemeClr val="accent2"/>
                </a:solidFill>
              </a:ln>
              <a:effectLst/>
            </c:spPr>
          </c:marker>
          <c:xVal>
            <c:numRef>
              <c:f>('SE_123, rank3'!$G$4,'SE_123, rank3'!$G$7,'SE_123, rank3'!$G$9,'SE_123, rank3'!$G$11,'SE_123, rank3'!$G$15)</c:f>
              <c:numCache>
                <c:formatCode>General</c:formatCode>
                <c:ptCount val="5"/>
                <c:pt idx="0">
                  <c:v>256</c:v>
                </c:pt>
                <c:pt idx="1">
                  <c:v>448</c:v>
                </c:pt>
                <c:pt idx="2">
                  <c:v>512</c:v>
                </c:pt>
                <c:pt idx="3">
                  <c:v>512</c:v>
                </c:pt>
                <c:pt idx="4">
                  <c:v>768</c:v>
                </c:pt>
              </c:numCache>
            </c:numRef>
          </c:xVal>
          <c:yVal>
            <c:numRef>
              <c:f>('SE_123, rank3'!$I$4,'SE_123, rank3'!$I$7,'SE_123, rank3'!$I$9,'SE_123, rank3'!$I$11,'SE_123, rank3'!$I$15)</c:f>
              <c:numCache>
                <c:formatCode>General</c:formatCode>
                <c:ptCount val="5"/>
                <c:pt idx="0">
                  <c:v>18.712430999999999</c:v>
                </c:pt>
                <c:pt idx="1">
                  <c:v>19.116909</c:v>
                </c:pt>
                <c:pt idx="2">
                  <c:v>19.220946999999999</c:v>
                </c:pt>
                <c:pt idx="3">
                  <c:v>19.201695999999998</c:v>
                </c:pt>
                <c:pt idx="4">
                  <c:v>19.540368999999998</c:v>
                </c:pt>
              </c:numCache>
            </c:numRef>
          </c:yVal>
          <c:smooth val="0"/>
          <c:extLst>
            <c:ext xmlns:c16="http://schemas.microsoft.com/office/drawing/2014/chart" uri="{C3380CC4-5D6E-409C-BE32-E72D297353CC}">
              <c16:uniqueId val="{00000001-FFDD-4C74-8BA1-934C90CBE809}"/>
            </c:ext>
          </c:extLst>
        </c:ser>
        <c:ser>
          <c:idx val="2"/>
          <c:order val="2"/>
          <c:tx>
            <c:v>dz1 &gt; dz3</c:v>
          </c:tx>
          <c:spPr>
            <a:ln w="25400" cap="rnd">
              <a:noFill/>
              <a:round/>
            </a:ln>
            <a:effectLst/>
          </c:spPr>
          <c:marker>
            <c:symbol val="circle"/>
            <c:size val="5"/>
            <c:spPr>
              <a:solidFill>
                <a:schemeClr val="accent3"/>
              </a:solidFill>
              <a:ln w="9525">
                <a:solidFill>
                  <a:schemeClr val="accent3"/>
                </a:solidFill>
              </a:ln>
              <a:effectLst/>
            </c:spPr>
          </c:marker>
          <c:xVal>
            <c:numRef>
              <c:f>('SE_123, rank3'!$G$3,'SE_123, rank3'!$G$6,'SE_123, rank3'!$G$8,'SE_123, rank3'!$G$10,'SE_123, rank3'!$G$14)</c:f>
              <c:numCache>
                <c:formatCode>General</c:formatCode>
                <c:ptCount val="5"/>
                <c:pt idx="0">
                  <c:v>256</c:v>
                </c:pt>
                <c:pt idx="1">
                  <c:v>448</c:v>
                </c:pt>
                <c:pt idx="2">
                  <c:v>512</c:v>
                </c:pt>
                <c:pt idx="3">
                  <c:v>512</c:v>
                </c:pt>
                <c:pt idx="4">
                  <c:v>768</c:v>
                </c:pt>
              </c:numCache>
            </c:numRef>
          </c:xVal>
          <c:yVal>
            <c:numRef>
              <c:f>('SE_123, rank3'!$I$3,'SE_123, rank3'!$I$6,'SE_123, rank3'!$I$8,'SE_123, rank3'!$I$10,'SE_123, rank3'!$I$14)</c:f>
              <c:numCache>
                <c:formatCode>General</c:formatCode>
                <c:ptCount val="5"/>
                <c:pt idx="0">
                  <c:v>18.456704999999999</c:v>
                </c:pt>
                <c:pt idx="1">
                  <c:v>18.963398000000002</c:v>
                </c:pt>
                <c:pt idx="2">
                  <c:v>18.958023000000001</c:v>
                </c:pt>
                <c:pt idx="3">
                  <c:v>19.051174</c:v>
                </c:pt>
                <c:pt idx="4">
                  <c:v>19.255692</c:v>
                </c:pt>
              </c:numCache>
            </c:numRef>
          </c:yVal>
          <c:smooth val="0"/>
          <c:extLst>
            <c:ext xmlns:c16="http://schemas.microsoft.com/office/drawing/2014/chart" uri="{C3380CC4-5D6E-409C-BE32-E72D297353CC}">
              <c16:uniqueId val="{00000002-FFDD-4C74-8BA1-934C90CBE809}"/>
            </c:ext>
          </c:extLst>
        </c:ser>
        <c:dLbls>
          <c:showLegendKey val="0"/>
          <c:showVal val="0"/>
          <c:showCatName val="0"/>
          <c:showSerName val="0"/>
          <c:showPercent val="0"/>
          <c:showBubbleSize val="0"/>
        </c:dLbls>
        <c:axId val="308875440"/>
        <c:axId val="308875920"/>
      </c:scatterChart>
      <c:valAx>
        <c:axId val="308875440"/>
        <c:scaling>
          <c:orientation val="minMax"/>
          <c:max val="832"/>
          <c:min val="128"/>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Payload size</a:t>
                </a:r>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308875920"/>
        <c:crosses val="autoZero"/>
        <c:crossBetween val="midCat"/>
        <c:majorUnit val="64"/>
      </c:valAx>
      <c:valAx>
        <c:axId val="308875920"/>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SE (bps/Hz)</a:t>
                </a:r>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308875440"/>
        <c:crosses val="autoZero"/>
        <c:crossBetween val="midCat"/>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extLst>
      <c:ext xmlns:c16r3="http://schemas.microsoft.com/office/drawing/2017/03/chart" uri="{56B9EC1D-385E-4148-901F-78D8002777C0}">
        <c16r3:dataDisplayOptions16>
          <c16r3:dispNaAsBlank val="1"/>
        </c16r3:dataDisplayOptions16>
      </c:ext>
    </c:extLst>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userShapes r:id="rId4"/>
</c:chartSpace>
</file>

<file path=word/charts/chart1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sz="1400" b="0" i="0" u="none" strike="noStrike" kern="1200" spc="0" baseline="0">
                <a:solidFill>
                  <a:sysClr val="windowText" lastClr="000000">
                    <a:lumMod val="65000"/>
                    <a:lumOff val="35000"/>
                  </a:sysClr>
                </a:solidFill>
              </a:rPr>
              <a:t>Rank 4, SNR=22dB</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manualLayout>
          <c:layoutTarget val="inner"/>
          <c:xMode val="edge"/>
          <c:yMode val="edge"/>
          <c:x val="0.14453937007874015"/>
          <c:y val="0.17171296296296298"/>
          <c:w val="0.80590507436570424"/>
          <c:h val="0.58662766112569253"/>
        </c:manualLayout>
      </c:layout>
      <c:scatterChart>
        <c:scatterStyle val="lineMarker"/>
        <c:varyColors val="0"/>
        <c:ser>
          <c:idx val="0"/>
          <c:order val="0"/>
          <c:tx>
            <c:v>Even allocation</c:v>
          </c:tx>
          <c:spPr>
            <a:ln w="25400" cap="rnd">
              <a:noFill/>
              <a:round/>
            </a:ln>
            <a:effectLst/>
          </c:spPr>
          <c:marker>
            <c:symbol val="circle"/>
            <c:size val="5"/>
            <c:spPr>
              <a:solidFill>
                <a:schemeClr val="accent1"/>
              </a:solidFill>
              <a:ln w="9525">
                <a:solidFill>
                  <a:schemeClr val="accent1"/>
                </a:solidFill>
              </a:ln>
              <a:effectLst/>
            </c:spPr>
          </c:marker>
          <c:xVal>
            <c:numRef>
              <c:f>('SE_123, rank4'!$H$2,'SE_123, rank4'!$H$7,'SE_123, rank4'!$H$14)</c:f>
              <c:numCache>
                <c:formatCode>General</c:formatCode>
                <c:ptCount val="3"/>
                <c:pt idx="0">
                  <c:v>256</c:v>
                </c:pt>
                <c:pt idx="1">
                  <c:v>512</c:v>
                </c:pt>
                <c:pt idx="2">
                  <c:v>768</c:v>
                </c:pt>
              </c:numCache>
            </c:numRef>
          </c:xVal>
          <c:yVal>
            <c:numRef>
              <c:f>('SE_123, rank4'!$J$2,'SE_123, rank4'!$J$7,'SE_123, rank4'!$J$14)</c:f>
              <c:numCache>
                <c:formatCode>General</c:formatCode>
                <c:ptCount val="3"/>
                <c:pt idx="0">
                  <c:v>23.757612000000002</c:v>
                </c:pt>
                <c:pt idx="1">
                  <c:v>24.57799</c:v>
                </c:pt>
                <c:pt idx="2">
                  <c:v>25.042802999999999</c:v>
                </c:pt>
              </c:numCache>
            </c:numRef>
          </c:yVal>
          <c:smooth val="0"/>
          <c:extLst>
            <c:ext xmlns:c16="http://schemas.microsoft.com/office/drawing/2014/chart" uri="{C3380CC4-5D6E-409C-BE32-E72D297353CC}">
              <c16:uniqueId val="{00000000-0032-45F9-A8D2-B25677F1BBCC}"/>
            </c:ext>
          </c:extLst>
        </c:ser>
        <c:ser>
          <c:idx val="1"/>
          <c:order val="1"/>
          <c:tx>
            <c:v>dz1 &lt; dz4</c:v>
          </c:tx>
          <c:spPr>
            <a:ln w="25400" cap="rnd">
              <a:noFill/>
              <a:round/>
            </a:ln>
            <a:effectLst/>
          </c:spPr>
          <c:marker>
            <c:symbol val="circle"/>
            <c:size val="5"/>
            <c:spPr>
              <a:solidFill>
                <a:schemeClr val="accent2"/>
              </a:solidFill>
              <a:ln w="9525">
                <a:solidFill>
                  <a:schemeClr val="accent2"/>
                </a:solidFill>
              </a:ln>
              <a:effectLst/>
            </c:spPr>
          </c:marker>
          <c:xVal>
            <c:numRef>
              <c:f>('SE_123, rank4'!$H$4,'SE_123, rank4'!$H$6,'SE_123, rank4'!$H$9,'SE_123, rank4'!$H$13,'SE_123, rank4'!$H$16,'SE_123, rank4'!$H$18)</c:f>
              <c:numCache>
                <c:formatCode>General</c:formatCode>
                <c:ptCount val="6"/>
                <c:pt idx="0">
                  <c:v>384</c:v>
                </c:pt>
                <c:pt idx="1">
                  <c:v>448</c:v>
                </c:pt>
                <c:pt idx="2">
                  <c:v>512</c:v>
                </c:pt>
                <c:pt idx="3">
                  <c:v>576</c:v>
                </c:pt>
                <c:pt idx="4">
                  <c:v>768</c:v>
                </c:pt>
                <c:pt idx="5">
                  <c:v>768</c:v>
                </c:pt>
              </c:numCache>
            </c:numRef>
          </c:xVal>
          <c:yVal>
            <c:numRef>
              <c:f>('SE_123, rank4'!$J$4,'SE_123, rank4'!$J$6,'SE_123, rank4'!$J$9,'SE_123, rank4'!$J$13,'SE_123, rank4'!$J$16,'SE_123, rank4'!$J$18)</c:f>
              <c:numCache>
                <c:formatCode>General</c:formatCode>
                <c:ptCount val="6"/>
                <c:pt idx="0">
                  <c:v>24.379396</c:v>
                </c:pt>
                <c:pt idx="1">
                  <c:v>24.593976999999999</c:v>
                </c:pt>
                <c:pt idx="2">
                  <c:v>24.731190000000002</c:v>
                </c:pt>
                <c:pt idx="3">
                  <c:v>24.881913999999998</c:v>
                </c:pt>
                <c:pt idx="4">
                  <c:v>25.206205000000001</c:v>
                </c:pt>
                <c:pt idx="5">
                  <c:v>25.181417</c:v>
                </c:pt>
              </c:numCache>
            </c:numRef>
          </c:yVal>
          <c:smooth val="0"/>
          <c:extLst>
            <c:ext xmlns:c16="http://schemas.microsoft.com/office/drawing/2014/chart" uri="{C3380CC4-5D6E-409C-BE32-E72D297353CC}">
              <c16:uniqueId val="{00000001-0032-45F9-A8D2-B25677F1BBCC}"/>
            </c:ext>
          </c:extLst>
        </c:ser>
        <c:ser>
          <c:idx val="2"/>
          <c:order val="2"/>
          <c:tx>
            <c:v>dz1 &gt; dz4</c:v>
          </c:tx>
          <c:spPr>
            <a:ln w="25400" cap="rnd">
              <a:noFill/>
              <a:round/>
            </a:ln>
            <a:effectLst/>
          </c:spPr>
          <c:marker>
            <c:symbol val="circle"/>
            <c:size val="5"/>
            <c:spPr>
              <a:solidFill>
                <a:schemeClr val="accent3"/>
              </a:solidFill>
              <a:ln w="9525">
                <a:solidFill>
                  <a:schemeClr val="accent3"/>
                </a:solidFill>
              </a:ln>
              <a:effectLst/>
            </c:spPr>
          </c:marker>
          <c:xVal>
            <c:numRef>
              <c:f>('SE_123, rank4'!$H$3,'SE_123, rank4'!$H$5,'SE_123, rank4'!$H$8,'SE_123, rank4'!$H$10,'SE_123, rank4'!$H$12,'SE_123, rank4'!$H$15,'SE_123, rank4'!$H$17)</c:f>
              <c:numCache>
                <c:formatCode>General</c:formatCode>
                <c:ptCount val="7"/>
                <c:pt idx="0">
                  <c:v>384</c:v>
                </c:pt>
                <c:pt idx="1">
                  <c:v>448</c:v>
                </c:pt>
                <c:pt idx="2">
                  <c:v>512</c:v>
                </c:pt>
                <c:pt idx="3">
                  <c:v>512</c:v>
                </c:pt>
                <c:pt idx="4">
                  <c:v>576</c:v>
                </c:pt>
                <c:pt idx="5">
                  <c:v>768</c:v>
                </c:pt>
                <c:pt idx="6">
                  <c:v>768</c:v>
                </c:pt>
              </c:numCache>
            </c:numRef>
          </c:xVal>
          <c:yVal>
            <c:numRef>
              <c:f>('SE_123, rank4'!$J$3,'SE_123, rank4'!$J$5,'SE_123, rank4'!$J$8,'SE_123, rank4'!$J$10,'SE_123, rank4'!$J$12,'SE_123, rank4'!$J$15,'SE_123, rank4'!$J$17)</c:f>
              <c:numCache>
                <c:formatCode>General</c:formatCode>
                <c:ptCount val="7"/>
                <c:pt idx="0">
                  <c:v>23.871918000000001</c:v>
                </c:pt>
                <c:pt idx="1">
                  <c:v>23.861028999999998</c:v>
                </c:pt>
                <c:pt idx="2">
                  <c:v>24.110230999999999</c:v>
                </c:pt>
                <c:pt idx="3">
                  <c:v>23.847307000000001</c:v>
                </c:pt>
                <c:pt idx="4">
                  <c:v>24.102083</c:v>
                </c:pt>
                <c:pt idx="5">
                  <c:v>24.677091999999998</c:v>
                </c:pt>
                <c:pt idx="6">
                  <c:v>24.795475</c:v>
                </c:pt>
              </c:numCache>
            </c:numRef>
          </c:yVal>
          <c:smooth val="0"/>
          <c:extLst>
            <c:ext xmlns:c16="http://schemas.microsoft.com/office/drawing/2014/chart" uri="{C3380CC4-5D6E-409C-BE32-E72D297353CC}">
              <c16:uniqueId val="{00000002-0032-45F9-A8D2-B25677F1BBCC}"/>
            </c:ext>
          </c:extLst>
        </c:ser>
        <c:dLbls>
          <c:showLegendKey val="0"/>
          <c:showVal val="0"/>
          <c:showCatName val="0"/>
          <c:showSerName val="0"/>
          <c:showPercent val="0"/>
          <c:showBubbleSize val="0"/>
        </c:dLbls>
        <c:axId val="1101284143"/>
        <c:axId val="1101277423"/>
      </c:scatterChart>
      <c:valAx>
        <c:axId val="1101284143"/>
        <c:scaling>
          <c:orientation val="minMax"/>
          <c:max val="832"/>
          <c:min val="192"/>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Payload size</a:t>
                </a:r>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101277423"/>
        <c:crosses val="autoZero"/>
        <c:crossBetween val="midCat"/>
        <c:majorUnit val="64"/>
      </c:valAx>
      <c:valAx>
        <c:axId val="1101277423"/>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SE (bps/Hz)</a:t>
                </a:r>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101284143"/>
        <c:crosses val="autoZero"/>
        <c:crossBetween val="midCat"/>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extLst>
      <c:ext xmlns:c16r3="http://schemas.microsoft.com/office/drawing/2017/03/chart" uri="{56B9EC1D-385E-4148-901F-78D8002777C0}">
        <c16r3:dataDisplayOptions16>
          <c16r3:dispNaAsBlank val="1"/>
        </c16r3:dataDisplayOptions16>
      </c:ext>
    </c:extLst>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userShapes r:id="rId4"/>
</c:chartSpace>
</file>

<file path=word/charts/chart1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t>Layer 0</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manualLayout>
          <c:layoutTarget val="inner"/>
          <c:xMode val="edge"/>
          <c:yMode val="edge"/>
          <c:x val="0.14453937007874015"/>
          <c:y val="0.17171296296296296"/>
          <c:w val="0.76613932633420823"/>
          <c:h val="0.62308654126567509"/>
        </c:manualLayout>
      </c:layout>
      <c:scatterChart>
        <c:scatterStyle val="lineMarker"/>
        <c:varyColors val="0"/>
        <c:ser>
          <c:idx val="0"/>
          <c:order val="0"/>
          <c:tx>
            <c:v>Multiple output layers, SQ Q=2</c:v>
          </c:tx>
          <c:spPr>
            <a:ln w="19050" cap="rnd">
              <a:solidFill>
                <a:schemeClr val="accent1"/>
              </a:solidFill>
              <a:round/>
            </a:ln>
            <a:effectLst/>
          </c:spPr>
          <c:marker>
            <c:symbol val="circle"/>
            <c:size val="5"/>
            <c:spPr>
              <a:solidFill>
                <a:schemeClr val="accent1"/>
              </a:solidFill>
              <a:ln w="9525">
                <a:solidFill>
                  <a:schemeClr val="accent1"/>
                </a:solidFill>
              </a:ln>
              <a:effectLst/>
            </c:spPr>
          </c:marker>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xVal>
            <c:numRef>
              <c:f>SGCS_123!$D$7:$D$11</c:f>
              <c:numCache>
                <c:formatCode>General</c:formatCode>
                <c:ptCount val="5"/>
                <c:pt idx="0">
                  <c:v>64</c:v>
                </c:pt>
                <c:pt idx="1">
                  <c:v>128</c:v>
                </c:pt>
                <c:pt idx="2">
                  <c:v>192</c:v>
                </c:pt>
                <c:pt idx="3">
                  <c:v>256</c:v>
                </c:pt>
                <c:pt idx="4">
                  <c:v>384</c:v>
                </c:pt>
              </c:numCache>
            </c:numRef>
          </c:xVal>
          <c:yVal>
            <c:numRef>
              <c:f>SGCS_123!$F$7:$F$11</c:f>
              <c:numCache>
                <c:formatCode>General</c:formatCode>
                <c:ptCount val="5"/>
                <c:pt idx="0">
                  <c:v>0.72270000000000001</c:v>
                </c:pt>
                <c:pt idx="1">
                  <c:v>0.78580000000000005</c:v>
                </c:pt>
                <c:pt idx="2">
                  <c:v>0.82320000000000004</c:v>
                </c:pt>
                <c:pt idx="3">
                  <c:v>0.85</c:v>
                </c:pt>
                <c:pt idx="4">
                  <c:v>0.88670000000000004</c:v>
                </c:pt>
              </c:numCache>
            </c:numRef>
          </c:yVal>
          <c:smooth val="0"/>
          <c:extLst>
            <c:ext xmlns:c16="http://schemas.microsoft.com/office/drawing/2014/chart" uri="{C3380CC4-5D6E-409C-BE32-E72D297353CC}">
              <c16:uniqueId val="{00000000-A02A-4BAF-9C95-248D5C30F137}"/>
            </c:ext>
          </c:extLst>
        </c:ser>
        <c:ser>
          <c:idx val="1"/>
          <c:order val="1"/>
          <c:tx>
            <c:v>Truncation, SQ Q=2</c:v>
          </c:tx>
          <c:spPr>
            <a:ln w="19050" cap="rnd">
              <a:solidFill>
                <a:schemeClr val="accent2"/>
              </a:solidFill>
              <a:round/>
            </a:ln>
            <a:effectLst/>
          </c:spPr>
          <c:marker>
            <c:symbol val="circle"/>
            <c:size val="5"/>
            <c:spPr>
              <a:solidFill>
                <a:schemeClr val="accent2"/>
              </a:solidFill>
              <a:ln w="9525">
                <a:solidFill>
                  <a:schemeClr val="accent2"/>
                </a:solidFill>
              </a:ln>
              <a:effectLst/>
            </c:spPr>
          </c:marker>
          <c:dLbls>
            <c:dLbl>
              <c:idx val="0"/>
              <c:layout>
                <c:manualLayout>
                  <c:x val="-2.972222222222222E-3"/>
                  <c:y val="1.6238334791484399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1-A02A-4BAF-9C95-248D5C30F137}"/>
                </c:ext>
              </c:extLst>
            </c:dLbl>
            <c:dLbl>
              <c:idx val="1"/>
              <c:layout>
                <c:manualLayout>
                  <c:x val="-1.4083333333333333E-2"/>
                  <c:y val="3.9386482939632463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2-A02A-4BAF-9C95-248D5C30F137}"/>
                </c:ext>
              </c:extLst>
            </c:dLbl>
            <c:dLbl>
              <c:idx val="2"/>
              <c:layout>
                <c:manualLayout>
                  <c:x val="-1.6083333333333335E-2"/>
                  <c:y val="3.0127223680373287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3-A02A-4BAF-9C95-248D5C30F137}"/>
                </c:ext>
              </c:extLst>
            </c:dLbl>
            <c:dLbl>
              <c:idx val="3"/>
              <c:layout>
                <c:manualLayout>
                  <c:x val="-1.1305555555555555E-2"/>
                  <c:y val="3.4756853310002875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4-A02A-4BAF-9C95-248D5C30F137}"/>
                </c:ext>
              </c:extLst>
            </c:dLbl>
            <c:dLbl>
              <c:idx val="4"/>
              <c:layout>
                <c:manualLayout>
                  <c:x val="-3.630555555555566E-2"/>
                  <c:y val="4.8645742198891805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5-A02A-4BAF-9C95-248D5C30F137}"/>
                </c:ext>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xVal>
            <c:numRef>
              <c:f>SGCS_123!$D$42:$D$46</c:f>
              <c:numCache>
                <c:formatCode>General</c:formatCode>
                <c:ptCount val="5"/>
                <c:pt idx="0">
                  <c:v>64</c:v>
                </c:pt>
                <c:pt idx="1">
                  <c:v>128</c:v>
                </c:pt>
                <c:pt idx="2">
                  <c:v>192</c:v>
                </c:pt>
                <c:pt idx="3">
                  <c:v>256</c:v>
                </c:pt>
                <c:pt idx="4">
                  <c:v>384</c:v>
                </c:pt>
              </c:numCache>
            </c:numRef>
          </c:xVal>
          <c:yVal>
            <c:numRef>
              <c:f>SGCS_123!$F$42:$F$46</c:f>
              <c:numCache>
                <c:formatCode>General</c:formatCode>
                <c:ptCount val="5"/>
                <c:pt idx="0">
                  <c:v>0.71350000000000002</c:v>
                </c:pt>
                <c:pt idx="1">
                  <c:v>0.77939999999999998</c:v>
                </c:pt>
                <c:pt idx="2">
                  <c:v>0.81299999999999994</c:v>
                </c:pt>
                <c:pt idx="3">
                  <c:v>0.83720000000000006</c:v>
                </c:pt>
                <c:pt idx="4">
                  <c:v>0.86929999999999996</c:v>
                </c:pt>
              </c:numCache>
            </c:numRef>
          </c:yVal>
          <c:smooth val="0"/>
          <c:extLst>
            <c:ext xmlns:c16="http://schemas.microsoft.com/office/drawing/2014/chart" uri="{C3380CC4-5D6E-409C-BE32-E72D297353CC}">
              <c16:uniqueId val="{00000006-A02A-4BAF-9C95-248D5C30F137}"/>
            </c:ext>
          </c:extLst>
        </c:ser>
        <c:dLbls>
          <c:dLblPos val="t"/>
          <c:showLegendKey val="0"/>
          <c:showVal val="1"/>
          <c:showCatName val="0"/>
          <c:showSerName val="0"/>
          <c:showPercent val="0"/>
          <c:showBubbleSize val="0"/>
        </c:dLbls>
        <c:axId val="1402768656"/>
        <c:axId val="1402753776"/>
      </c:scatterChart>
      <c:valAx>
        <c:axId val="1402768656"/>
        <c:scaling>
          <c:orientation val="minMax"/>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Payload size</a:t>
                </a:r>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402753776"/>
        <c:crosses val="autoZero"/>
        <c:crossBetween val="midCat"/>
        <c:majorUnit val="32"/>
      </c:valAx>
      <c:valAx>
        <c:axId val="1402753776"/>
        <c:scaling>
          <c:orientation val="minMax"/>
          <c:min val="0.70000000000000007"/>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SGCS</a:t>
                </a:r>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402768656"/>
        <c:crosses val="autoZero"/>
        <c:crossBetween val="midCat"/>
      </c:valAx>
      <c:spPr>
        <a:noFill/>
        <a:ln>
          <a:noFill/>
        </a:ln>
        <a:effectLst/>
      </c:spPr>
    </c:plotArea>
    <c:legend>
      <c:legendPos val="r"/>
      <c:layout>
        <c:manualLayout>
          <c:xMode val="edge"/>
          <c:yMode val="edge"/>
          <c:x val="0.47967869641294836"/>
          <c:y val="0.51525335374744818"/>
          <c:w val="0.42309908136482938"/>
          <c:h val="0.19676144648585595"/>
        </c:manualLayout>
      </c:layou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extLst>
      <c:ext xmlns:c16r3="http://schemas.microsoft.com/office/drawing/2017/03/chart" uri="{56B9EC1D-385E-4148-901F-78D8002777C0}">
        <c16r3:dataDisplayOptions16>
          <c16r3:dispNaAsBlank val="1"/>
        </c16r3:dataDisplayOptions16>
      </c:ext>
    </c:extLst>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16.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t>Layer 1</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manualLayout>
          <c:layoutTarget val="inner"/>
          <c:xMode val="edge"/>
          <c:yMode val="edge"/>
          <c:x val="0.14453937007874015"/>
          <c:y val="0.17171296296296296"/>
          <c:w val="0.76613932633420823"/>
          <c:h val="0.62308654126567509"/>
        </c:manualLayout>
      </c:layout>
      <c:scatterChart>
        <c:scatterStyle val="lineMarker"/>
        <c:varyColors val="0"/>
        <c:ser>
          <c:idx val="0"/>
          <c:order val="0"/>
          <c:tx>
            <c:v>Multiple output layers, SQ Q=2</c:v>
          </c:tx>
          <c:spPr>
            <a:ln w="19050" cap="rnd">
              <a:solidFill>
                <a:schemeClr val="accent1"/>
              </a:solidFill>
              <a:round/>
            </a:ln>
            <a:effectLst/>
          </c:spPr>
          <c:marker>
            <c:symbol val="circle"/>
            <c:size val="5"/>
            <c:spPr>
              <a:solidFill>
                <a:schemeClr val="accent1"/>
              </a:solidFill>
              <a:ln w="9525">
                <a:solidFill>
                  <a:schemeClr val="accent1"/>
                </a:solidFill>
              </a:ln>
              <a:effectLst/>
            </c:spPr>
          </c:marker>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xVal>
            <c:numRef>
              <c:f>SGCS_123!$D$7:$D$11</c:f>
              <c:numCache>
                <c:formatCode>General</c:formatCode>
                <c:ptCount val="5"/>
                <c:pt idx="0">
                  <c:v>64</c:v>
                </c:pt>
                <c:pt idx="1">
                  <c:v>128</c:v>
                </c:pt>
                <c:pt idx="2">
                  <c:v>192</c:v>
                </c:pt>
                <c:pt idx="3">
                  <c:v>256</c:v>
                </c:pt>
                <c:pt idx="4">
                  <c:v>384</c:v>
                </c:pt>
              </c:numCache>
            </c:numRef>
          </c:xVal>
          <c:yVal>
            <c:numRef>
              <c:f>SGCS_123!$G$7:$G$11</c:f>
              <c:numCache>
                <c:formatCode>General</c:formatCode>
                <c:ptCount val="5"/>
                <c:pt idx="0">
                  <c:v>0.59809999999999997</c:v>
                </c:pt>
                <c:pt idx="1">
                  <c:v>0.67779999999999996</c:v>
                </c:pt>
                <c:pt idx="2">
                  <c:v>0.72660000000000002</c:v>
                </c:pt>
                <c:pt idx="3">
                  <c:v>0.7641</c:v>
                </c:pt>
                <c:pt idx="4">
                  <c:v>0.8206</c:v>
                </c:pt>
              </c:numCache>
            </c:numRef>
          </c:yVal>
          <c:smooth val="0"/>
          <c:extLst>
            <c:ext xmlns:c16="http://schemas.microsoft.com/office/drawing/2014/chart" uri="{C3380CC4-5D6E-409C-BE32-E72D297353CC}">
              <c16:uniqueId val="{00000000-578B-4742-9294-FF1FB5C9BDA8}"/>
            </c:ext>
          </c:extLst>
        </c:ser>
        <c:ser>
          <c:idx val="1"/>
          <c:order val="1"/>
          <c:tx>
            <c:v>Truncation, SQ Q=2</c:v>
          </c:tx>
          <c:spPr>
            <a:ln w="19050" cap="rnd">
              <a:solidFill>
                <a:schemeClr val="accent2"/>
              </a:solidFill>
              <a:round/>
            </a:ln>
            <a:effectLst/>
          </c:spPr>
          <c:marker>
            <c:symbol val="circle"/>
            <c:size val="5"/>
            <c:spPr>
              <a:solidFill>
                <a:schemeClr val="accent2"/>
              </a:solidFill>
              <a:ln w="9525">
                <a:solidFill>
                  <a:schemeClr val="accent2"/>
                </a:solidFill>
              </a:ln>
              <a:effectLst/>
            </c:spPr>
          </c:marker>
          <c:dLbls>
            <c:dLbl>
              <c:idx val="1"/>
              <c:layout>
                <c:manualLayout>
                  <c:x val="-3.3527777777777774E-2"/>
                  <c:y val="4.8645742198891721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1-578B-4742-9294-FF1FB5C9BDA8}"/>
                </c:ext>
              </c:extLst>
            </c:dLbl>
            <c:dLbl>
              <c:idx val="2"/>
              <c:layout>
                <c:manualLayout>
                  <c:x val="-1.4083333333333333E-2"/>
                  <c:y val="4.8645742198891721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2-578B-4742-9294-FF1FB5C9BDA8}"/>
                </c:ext>
              </c:extLst>
            </c:dLbl>
            <c:dLbl>
              <c:idx val="3"/>
              <c:layout>
                <c:manualLayout>
                  <c:x val="-1.6861111111111111E-2"/>
                  <c:y val="4.8645742198891805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3-578B-4742-9294-FF1FB5C9BDA8}"/>
                </c:ext>
              </c:extLst>
            </c:dLbl>
            <c:dLbl>
              <c:idx val="4"/>
              <c:layout>
                <c:manualLayout>
                  <c:x val="-6.4083333333333339E-2"/>
                  <c:y val="4.8645742198891805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4-578B-4742-9294-FF1FB5C9BDA8}"/>
                </c:ext>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xVal>
            <c:numRef>
              <c:f>SGCS_123!$D$42:$D$46</c:f>
              <c:numCache>
                <c:formatCode>General</c:formatCode>
                <c:ptCount val="5"/>
                <c:pt idx="0">
                  <c:v>64</c:v>
                </c:pt>
                <c:pt idx="1">
                  <c:v>128</c:v>
                </c:pt>
                <c:pt idx="2">
                  <c:v>192</c:v>
                </c:pt>
                <c:pt idx="3">
                  <c:v>256</c:v>
                </c:pt>
                <c:pt idx="4">
                  <c:v>384</c:v>
                </c:pt>
              </c:numCache>
            </c:numRef>
          </c:xVal>
          <c:yVal>
            <c:numRef>
              <c:f>SGCS_123!$G$42:$G$46</c:f>
              <c:numCache>
                <c:formatCode>General</c:formatCode>
                <c:ptCount val="5"/>
                <c:pt idx="0">
                  <c:v>0.58620000000000005</c:v>
                </c:pt>
                <c:pt idx="1">
                  <c:v>0.67010000000000003</c:v>
                </c:pt>
                <c:pt idx="2">
                  <c:v>0.71640000000000004</c:v>
                </c:pt>
                <c:pt idx="3">
                  <c:v>0.75119999999999998</c:v>
                </c:pt>
                <c:pt idx="4">
                  <c:v>0.80269999999999997</c:v>
                </c:pt>
              </c:numCache>
            </c:numRef>
          </c:yVal>
          <c:smooth val="0"/>
          <c:extLst>
            <c:ext xmlns:c16="http://schemas.microsoft.com/office/drawing/2014/chart" uri="{C3380CC4-5D6E-409C-BE32-E72D297353CC}">
              <c16:uniqueId val="{00000005-578B-4742-9294-FF1FB5C9BDA8}"/>
            </c:ext>
          </c:extLst>
        </c:ser>
        <c:dLbls>
          <c:dLblPos val="t"/>
          <c:showLegendKey val="0"/>
          <c:showVal val="1"/>
          <c:showCatName val="0"/>
          <c:showSerName val="0"/>
          <c:showPercent val="0"/>
          <c:showBubbleSize val="0"/>
        </c:dLbls>
        <c:axId val="1402768656"/>
        <c:axId val="1402753776"/>
      </c:scatterChart>
      <c:valAx>
        <c:axId val="1402768656"/>
        <c:scaling>
          <c:orientation val="minMax"/>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Payload size</a:t>
                </a:r>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402753776"/>
        <c:crosses val="autoZero"/>
        <c:crossBetween val="midCat"/>
        <c:majorUnit val="32"/>
      </c:valAx>
      <c:valAx>
        <c:axId val="1402753776"/>
        <c:scaling>
          <c:orientation val="minMax"/>
          <c:min val="0.5"/>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SGCS</a:t>
                </a:r>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402768656"/>
        <c:crosses val="autoZero"/>
        <c:crossBetween val="midCat"/>
      </c:valAx>
      <c:spPr>
        <a:noFill/>
        <a:ln>
          <a:noFill/>
        </a:ln>
        <a:effectLst/>
      </c:spPr>
    </c:plotArea>
    <c:legend>
      <c:legendPos val="r"/>
      <c:layout>
        <c:manualLayout>
          <c:xMode val="edge"/>
          <c:yMode val="edge"/>
          <c:x val="0.47967869641294836"/>
          <c:y val="0.51525335374744818"/>
          <c:w val="0.42309908136482938"/>
          <c:h val="0.19676144648585595"/>
        </c:manualLayout>
      </c:layou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extLst>
      <c:ext xmlns:c16r3="http://schemas.microsoft.com/office/drawing/2017/03/chart" uri="{56B9EC1D-385E-4148-901F-78D8002777C0}">
        <c16r3:dataDisplayOptions16>
          <c16r3:dispNaAsBlank val="1"/>
        </c16r3:dataDisplayOptions16>
      </c:ext>
    </c:extLst>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17.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t>Layer 2</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manualLayout>
          <c:layoutTarget val="inner"/>
          <c:xMode val="edge"/>
          <c:yMode val="edge"/>
          <c:x val="0.14453937007874015"/>
          <c:y val="0.17171296296296296"/>
          <c:w val="0.76613932633420823"/>
          <c:h val="0.62308654126567509"/>
        </c:manualLayout>
      </c:layout>
      <c:scatterChart>
        <c:scatterStyle val="lineMarker"/>
        <c:varyColors val="0"/>
        <c:ser>
          <c:idx val="0"/>
          <c:order val="0"/>
          <c:tx>
            <c:v>Multiple output layers, SQ Q=2</c:v>
          </c:tx>
          <c:spPr>
            <a:ln w="19050" cap="rnd">
              <a:solidFill>
                <a:schemeClr val="accent1"/>
              </a:solidFill>
              <a:round/>
            </a:ln>
            <a:effectLst/>
          </c:spPr>
          <c:marker>
            <c:symbol val="circle"/>
            <c:size val="5"/>
            <c:spPr>
              <a:solidFill>
                <a:schemeClr val="accent1"/>
              </a:solidFill>
              <a:ln w="9525">
                <a:solidFill>
                  <a:schemeClr val="accent1"/>
                </a:solidFill>
              </a:ln>
              <a:effectLst/>
            </c:spPr>
          </c:marker>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xVal>
            <c:numRef>
              <c:f>SGCS_123!$D$7:$D$11</c:f>
              <c:numCache>
                <c:formatCode>General</c:formatCode>
                <c:ptCount val="5"/>
                <c:pt idx="0">
                  <c:v>64</c:v>
                </c:pt>
                <c:pt idx="1">
                  <c:v>128</c:v>
                </c:pt>
                <c:pt idx="2">
                  <c:v>192</c:v>
                </c:pt>
                <c:pt idx="3">
                  <c:v>256</c:v>
                </c:pt>
                <c:pt idx="4">
                  <c:v>384</c:v>
                </c:pt>
              </c:numCache>
            </c:numRef>
          </c:xVal>
          <c:yVal>
            <c:numRef>
              <c:f>SGCS_123!$H$7:$H$11</c:f>
              <c:numCache>
                <c:formatCode>General</c:formatCode>
                <c:ptCount val="5"/>
                <c:pt idx="0">
                  <c:v>0.50019999999999998</c:v>
                </c:pt>
                <c:pt idx="1">
                  <c:v>0.57809999999999995</c:v>
                </c:pt>
                <c:pt idx="2">
                  <c:v>0.63080000000000003</c:v>
                </c:pt>
                <c:pt idx="3">
                  <c:v>0.67320000000000002</c:v>
                </c:pt>
                <c:pt idx="4">
                  <c:v>0.74129999999999996</c:v>
                </c:pt>
              </c:numCache>
            </c:numRef>
          </c:yVal>
          <c:smooth val="0"/>
          <c:extLst>
            <c:ext xmlns:c16="http://schemas.microsoft.com/office/drawing/2014/chart" uri="{C3380CC4-5D6E-409C-BE32-E72D297353CC}">
              <c16:uniqueId val="{00000000-DD69-4FFA-BB77-6C00987ECFBC}"/>
            </c:ext>
          </c:extLst>
        </c:ser>
        <c:ser>
          <c:idx val="1"/>
          <c:order val="1"/>
          <c:tx>
            <c:v>Truncation, SQ Q=2</c:v>
          </c:tx>
          <c:spPr>
            <a:ln w="19050" cap="rnd">
              <a:solidFill>
                <a:schemeClr val="accent2"/>
              </a:solidFill>
              <a:round/>
            </a:ln>
            <a:effectLst/>
          </c:spPr>
          <c:marker>
            <c:symbol val="circle"/>
            <c:size val="5"/>
            <c:spPr>
              <a:solidFill>
                <a:schemeClr val="accent2"/>
              </a:solidFill>
              <a:ln w="9525">
                <a:solidFill>
                  <a:schemeClr val="accent2"/>
                </a:solidFill>
              </a:ln>
              <a:effectLst/>
            </c:spPr>
          </c:marker>
          <c:dLbls>
            <c:dLbl>
              <c:idx val="0"/>
              <c:layout>
                <c:manualLayout>
                  <c:x val="-1.1305555555555555E-2"/>
                  <c:y val="3.4756853310002916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1-DD69-4FFA-BB77-6C00987ECFBC}"/>
                </c:ext>
              </c:extLst>
            </c:dLbl>
            <c:dLbl>
              <c:idx val="1"/>
              <c:layout>
                <c:manualLayout>
                  <c:x val="-1.963888888888889E-2"/>
                  <c:y val="3.9386482939632463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2-DD69-4FFA-BB77-6C00987ECFBC}"/>
                </c:ext>
              </c:extLst>
            </c:dLbl>
            <c:dLbl>
              <c:idx val="2"/>
              <c:layout>
                <c:manualLayout>
                  <c:x val="-1.1305555555555555E-2"/>
                  <c:y val="2.5497594050743658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3-DD69-4FFA-BB77-6C00987ECFBC}"/>
                </c:ext>
              </c:extLst>
            </c:dLbl>
            <c:dLbl>
              <c:idx val="3"/>
              <c:layout>
                <c:manualLayout>
                  <c:x val="-1.963888888888889E-2"/>
                  <c:y val="3.0127223680373287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4-DD69-4FFA-BB77-6C00987ECFBC}"/>
                </c:ext>
              </c:extLst>
            </c:dLbl>
            <c:dLbl>
              <c:idx val="4"/>
              <c:layout>
                <c:manualLayout>
                  <c:x val="-3.2750000000000001E-2"/>
                  <c:y val="5.7905001458151063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5-DD69-4FFA-BB77-6C00987ECFBC}"/>
                </c:ext>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xVal>
            <c:numRef>
              <c:f>SGCS_123!$D$42:$D$46</c:f>
              <c:numCache>
                <c:formatCode>General</c:formatCode>
                <c:ptCount val="5"/>
                <c:pt idx="0">
                  <c:v>64</c:v>
                </c:pt>
                <c:pt idx="1">
                  <c:v>128</c:v>
                </c:pt>
                <c:pt idx="2">
                  <c:v>192</c:v>
                </c:pt>
                <c:pt idx="3">
                  <c:v>256</c:v>
                </c:pt>
                <c:pt idx="4">
                  <c:v>384</c:v>
                </c:pt>
              </c:numCache>
            </c:numRef>
          </c:xVal>
          <c:yVal>
            <c:numRef>
              <c:f>SGCS_123!$H$42:$H$46</c:f>
              <c:numCache>
                <c:formatCode>General</c:formatCode>
                <c:ptCount val="5"/>
                <c:pt idx="0">
                  <c:v>0.48949999999999999</c:v>
                </c:pt>
                <c:pt idx="1">
                  <c:v>0.57250000000000001</c:v>
                </c:pt>
                <c:pt idx="2">
                  <c:v>0.62319999999999998</c:v>
                </c:pt>
                <c:pt idx="3">
                  <c:v>0.66320000000000001</c:v>
                </c:pt>
                <c:pt idx="4">
                  <c:v>0.72599999999999998</c:v>
                </c:pt>
              </c:numCache>
            </c:numRef>
          </c:yVal>
          <c:smooth val="0"/>
          <c:extLst>
            <c:ext xmlns:c16="http://schemas.microsoft.com/office/drawing/2014/chart" uri="{C3380CC4-5D6E-409C-BE32-E72D297353CC}">
              <c16:uniqueId val="{00000006-DD69-4FFA-BB77-6C00987ECFBC}"/>
            </c:ext>
          </c:extLst>
        </c:ser>
        <c:dLbls>
          <c:dLblPos val="t"/>
          <c:showLegendKey val="0"/>
          <c:showVal val="1"/>
          <c:showCatName val="0"/>
          <c:showSerName val="0"/>
          <c:showPercent val="0"/>
          <c:showBubbleSize val="0"/>
        </c:dLbls>
        <c:axId val="1402768656"/>
        <c:axId val="1402753776"/>
      </c:scatterChart>
      <c:valAx>
        <c:axId val="1402768656"/>
        <c:scaling>
          <c:orientation val="minMax"/>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Payload size</a:t>
                </a:r>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402753776"/>
        <c:crosses val="autoZero"/>
        <c:crossBetween val="midCat"/>
        <c:majorUnit val="32"/>
      </c:valAx>
      <c:valAx>
        <c:axId val="1402753776"/>
        <c:scaling>
          <c:orientation val="minMax"/>
          <c:min val="0.45"/>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SGCS</a:t>
                </a:r>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402768656"/>
        <c:crosses val="autoZero"/>
        <c:crossBetween val="midCat"/>
      </c:valAx>
      <c:spPr>
        <a:noFill/>
        <a:ln>
          <a:noFill/>
        </a:ln>
        <a:effectLst/>
      </c:spPr>
    </c:plotArea>
    <c:legend>
      <c:legendPos val="r"/>
      <c:layout>
        <c:manualLayout>
          <c:xMode val="edge"/>
          <c:yMode val="edge"/>
          <c:x val="0.48245647419072618"/>
          <c:y val="0.57080890930300376"/>
          <c:w val="0.42309908136482938"/>
          <c:h val="0.19676144648585595"/>
        </c:manualLayout>
      </c:layou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extLst>
      <c:ext xmlns:c16r3="http://schemas.microsoft.com/office/drawing/2017/03/chart" uri="{56B9EC1D-385E-4148-901F-78D8002777C0}">
        <c16r3:dataDisplayOptions16>
          <c16r3:dispNaAsBlank val="1"/>
        </c16r3:dataDisplayOptions16>
      </c:ext>
    </c:extLst>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18.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t>Layer 3</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manualLayout>
          <c:layoutTarget val="inner"/>
          <c:xMode val="edge"/>
          <c:yMode val="edge"/>
          <c:x val="0.14453937007874015"/>
          <c:y val="0.17171296296296296"/>
          <c:w val="0.76613932633420823"/>
          <c:h val="0.62308654126567509"/>
        </c:manualLayout>
      </c:layout>
      <c:scatterChart>
        <c:scatterStyle val="lineMarker"/>
        <c:varyColors val="0"/>
        <c:ser>
          <c:idx val="0"/>
          <c:order val="0"/>
          <c:tx>
            <c:v>Multiple output layers, SQ Q=2</c:v>
          </c:tx>
          <c:spPr>
            <a:ln w="19050" cap="rnd">
              <a:solidFill>
                <a:schemeClr val="accent1"/>
              </a:solidFill>
              <a:round/>
            </a:ln>
            <a:effectLst/>
          </c:spPr>
          <c:marker>
            <c:symbol val="circle"/>
            <c:size val="5"/>
            <c:spPr>
              <a:solidFill>
                <a:schemeClr val="accent1"/>
              </a:solidFill>
              <a:ln w="9525">
                <a:solidFill>
                  <a:schemeClr val="accent1"/>
                </a:solidFill>
              </a:ln>
              <a:effectLst/>
            </c:spPr>
          </c:marker>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xVal>
            <c:numRef>
              <c:f>SGCS_123!$D$7:$D$11</c:f>
              <c:numCache>
                <c:formatCode>General</c:formatCode>
                <c:ptCount val="5"/>
                <c:pt idx="0">
                  <c:v>64</c:v>
                </c:pt>
                <c:pt idx="1">
                  <c:v>128</c:v>
                </c:pt>
                <c:pt idx="2">
                  <c:v>192</c:v>
                </c:pt>
                <c:pt idx="3">
                  <c:v>256</c:v>
                </c:pt>
                <c:pt idx="4">
                  <c:v>384</c:v>
                </c:pt>
              </c:numCache>
            </c:numRef>
          </c:xVal>
          <c:yVal>
            <c:numRef>
              <c:f>SGCS_123!$I$7:$I$11</c:f>
              <c:numCache>
                <c:formatCode>General</c:formatCode>
                <c:ptCount val="5"/>
                <c:pt idx="0">
                  <c:v>0.42949999999999999</c:v>
                </c:pt>
                <c:pt idx="1">
                  <c:v>0.50839999999999996</c:v>
                </c:pt>
                <c:pt idx="2">
                  <c:v>0.56189999999999996</c:v>
                </c:pt>
                <c:pt idx="3">
                  <c:v>0.60550000000000004</c:v>
                </c:pt>
                <c:pt idx="4">
                  <c:v>0.67789999999999995</c:v>
                </c:pt>
              </c:numCache>
            </c:numRef>
          </c:yVal>
          <c:smooth val="0"/>
          <c:extLst>
            <c:ext xmlns:c16="http://schemas.microsoft.com/office/drawing/2014/chart" uri="{C3380CC4-5D6E-409C-BE32-E72D297353CC}">
              <c16:uniqueId val="{00000000-6152-45C0-9CDF-03DBEF6A710A}"/>
            </c:ext>
          </c:extLst>
        </c:ser>
        <c:ser>
          <c:idx val="1"/>
          <c:order val="1"/>
          <c:tx>
            <c:v>Truncation, SQ Q=2</c:v>
          </c:tx>
          <c:spPr>
            <a:ln w="19050" cap="rnd">
              <a:solidFill>
                <a:schemeClr val="accent2"/>
              </a:solidFill>
              <a:round/>
            </a:ln>
            <a:effectLst/>
          </c:spPr>
          <c:marker>
            <c:symbol val="circle"/>
            <c:size val="5"/>
            <c:spPr>
              <a:solidFill>
                <a:schemeClr val="accent2"/>
              </a:solidFill>
              <a:ln w="9525">
                <a:solidFill>
                  <a:schemeClr val="accent2"/>
                </a:solidFill>
              </a:ln>
              <a:effectLst/>
            </c:spPr>
          </c:marker>
          <c:dLbls>
            <c:dLbl>
              <c:idx val="0"/>
              <c:layout>
                <c:manualLayout>
                  <c:x val="-8.5277777777777782E-3"/>
                  <c:y val="1.1608705161854683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1-6152-45C0-9CDF-03DBEF6A710A}"/>
                </c:ext>
              </c:extLst>
            </c:dLbl>
            <c:dLbl>
              <c:idx val="1"/>
              <c:layout>
                <c:manualLayout>
                  <c:x val="-8.5277777777777782E-3"/>
                  <c:y val="2.0867964421114028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2-6152-45C0-9CDF-03DBEF6A710A}"/>
                </c:ext>
              </c:extLst>
            </c:dLbl>
            <c:dLbl>
              <c:idx val="2"/>
              <c:layout>
                <c:manualLayout>
                  <c:x val="-1.1305555555555555E-2"/>
                  <c:y val="2.5497594050743658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3-6152-45C0-9CDF-03DBEF6A710A}"/>
                </c:ext>
              </c:extLst>
            </c:dLbl>
            <c:dLbl>
              <c:idx val="3"/>
              <c:layout>
                <c:manualLayout>
                  <c:x val="-2.5194444444444547E-2"/>
                  <c:y val="3.4756853310002916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4-6152-45C0-9CDF-03DBEF6A710A}"/>
                </c:ext>
              </c:extLst>
            </c:dLbl>
            <c:dLbl>
              <c:idx val="4"/>
              <c:layout>
                <c:manualLayout>
                  <c:x val="-4.186111111111121E-2"/>
                  <c:y val="4.4016112569262175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5-6152-45C0-9CDF-03DBEF6A710A}"/>
                </c:ext>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xVal>
            <c:numRef>
              <c:f>SGCS_123!$D$42:$D$46</c:f>
              <c:numCache>
                <c:formatCode>General</c:formatCode>
                <c:ptCount val="5"/>
                <c:pt idx="0">
                  <c:v>64</c:v>
                </c:pt>
                <c:pt idx="1">
                  <c:v>128</c:v>
                </c:pt>
                <c:pt idx="2">
                  <c:v>192</c:v>
                </c:pt>
                <c:pt idx="3">
                  <c:v>256</c:v>
                </c:pt>
                <c:pt idx="4">
                  <c:v>384</c:v>
                </c:pt>
              </c:numCache>
            </c:numRef>
          </c:xVal>
          <c:yVal>
            <c:numRef>
              <c:f>SGCS_123!$I$42:$I$46</c:f>
              <c:numCache>
                <c:formatCode>General</c:formatCode>
                <c:ptCount val="5"/>
                <c:pt idx="0">
                  <c:v>0.41830000000000001</c:v>
                </c:pt>
                <c:pt idx="1">
                  <c:v>0.50290000000000001</c:v>
                </c:pt>
                <c:pt idx="2">
                  <c:v>0.55579999999999996</c:v>
                </c:pt>
                <c:pt idx="3">
                  <c:v>0.59709999999999996</c:v>
                </c:pt>
                <c:pt idx="4">
                  <c:v>0.66410000000000002</c:v>
                </c:pt>
              </c:numCache>
            </c:numRef>
          </c:yVal>
          <c:smooth val="0"/>
          <c:extLst>
            <c:ext xmlns:c16="http://schemas.microsoft.com/office/drawing/2014/chart" uri="{C3380CC4-5D6E-409C-BE32-E72D297353CC}">
              <c16:uniqueId val="{00000006-6152-45C0-9CDF-03DBEF6A710A}"/>
            </c:ext>
          </c:extLst>
        </c:ser>
        <c:dLbls>
          <c:dLblPos val="t"/>
          <c:showLegendKey val="0"/>
          <c:showVal val="1"/>
          <c:showCatName val="0"/>
          <c:showSerName val="0"/>
          <c:showPercent val="0"/>
          <c:showBubbleSize val="0"/>
        </c:dLbls>
        <c:axId val="1402768656"/>
        <c:axId val="1402753776"/>
      </c:scatterChart>
      <c:valAx>
        <c:axId val="1402768656"/>
        <c:scaling>
          <c:orientation val="minMax"/>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Payload size</a:t>
                </a:r>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402753776"/>
        <c:crosses val="autoZero"/>
        <c:crossBetween val="midCat"/>
        <c:majorUnit val="32"/>
      </c:valAx>
      <c:valAx>
        <c:axId val="1402753776"/>
        <c:scaling>
          <c:orientation val="minMax"/>
          <c:min val="0.4"/>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SGCS</a:t>
                </a:r>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402768656"/>
        <c:crosses val="autoZero"/>
        <c:crossBetween val="midCat"/>
      </c:valAx>
      <c:spPr>
        <a:noFill/>
        <a:ln>
          <a:noFill/>
        </a:ln>
        <a:effectLst/>
      </c:spPr>
    </c:plotArea>
    <c:legend>
      <c:legendPos val="r"/>
      <c:layout>
        <c:manualLayout>
          <c:xMode val="edge"/>
          <c:yMode val="edge"/>
          <c:x val="0.49634536307961497"/>
          <c:y val="0.59858668708078144"/>
          <c:w val="0.42309908136482938"/>
          <c:h val="0.19676144648585595"/>
        </c:manualLayout>
      </c:layou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extLst>
      <c:ext xmlns:c16r3="http://schemas.microsoft.com/office/drawing/2017/03/chart" uri="{56B9EC1D-385E-4148-901F-78D8002777C0}">
        <c16r3:dataDisplayOptions16>
          <c16r3:dispNaAsBlank val="1"/>
        </c16r3:dataDisplayOptions16>
      </c:ext>
    </c:extLst>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t>Layer 1</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manualLayout>
          <c:layoutTarget val="inner"/>
          <c:xMode val="edge"/>
          <c:yMode val="edge"/>
          <c:x val="0.14453937007874015"/>
          <c:y val="0.17171296296296296"/>
          <c:w val="0.79705730533683294"/>
          <c:h val="0.62308654126567509"/>
        </c:manualLayout>
      </c:layout>
      <c:scatterChart>
        <c:scatterStyle val="lineMarker"/>
        <c:varyColors val="0"/>
        <c:ser>
          <c:idx val="0"/>
          <c:order val="0"/>
          <c:tx>
            <c:v>VQ, L=2, Q=4</c:v>
          </c:tx>
          <c:spPr>
            <a:ln w="19050" cap="rnd">
              <a:solidFill>
                <a:schemeClr val="accent2"/>
              </a:solidFill>
              <a:round/>
            </a:ln>
            <a:effectLst/>
          </c:spPr>
          <c:marker>
            <c:symbol val="circle"/>
            <c:size val="5"/>
            <c:spPr>
              <a:solidFill>
                <a:schemeClr val="accent2"/>
              </a:solidFill>
              <a:ln w="9525">
                <a:solidFill>
                  <a:schemeClr val="accent2"/>
                </a:solidFill>
              </a:ln>
              <a:effectLst/>
            </c:spPr>
          </c:marker>
          <c:xVal>
            <c:numRef>
              <c:f>SGCS_123!$D$27:$D$31</c:f>
              <c:numCache>
                <c:formatCode>General</c:formatCode>
                <c:ptCount val="5"/>
                <c:pt idx="0">
                  <c:v>64</c:v>
                </c:pt>
                <c:pt idx="1">
                  <c:v>128</c:v>
                </c:pt>
                <c:pt idx="2">
                  <c:v>192</c:v>
                </c:pt>
                <c:pt idx="3">
                  <c:v>256</c:v>
                </c:pt>
                <c:pt idx="4">
                  <c:v>384</c:v>
                </c:pt>
              </c:numCache>
            </c:numRef>
          </c:xVal>
          <c:yVal>
            <c:numRef>
              <c:f>SGCS_123!$G$27:$G$31</c:f>
              <c:numCache>
                <c:formatCode>General</c:formatCode>
                <c:ptCount val="5"/>
                <c:pt idx="0">
                  <c:v>0.60409999999999997</c:v>
                </c:pt>
                <c:pt idx="1">
                  <c:v>0.6885</c:v>
                </c:pt>
                <c:pt idx="2">
                  <c:v>0.73740000000000006</c:v>
                </c:pt>
                <c:pt idx="3">
                  <c:v>0.77500000000000002</c:v>
                </c:pt>
                <c:pt idx="4">
                  <c:v>0.83069999999999999</c:v>
                </c:pt>
              </c:numCache>
            </c:numRef>
          </c:yVal>
          <c:smooth val="0"/>
          <c:extLst>
            <c:ext xmlns:c16="http://schemas.microsoft.com/office/drawing/2014/chart" uri="{C3380CC4-5D6E-409C-BE32-E72D297353CC}">
              <c16:uniqueId val="{00000000-ACEE-4245-B29D-B4FC4046E278}"/>
            </c:ext>
          </c:extLst>
        </c:ser>
        <c:ser>
          <c:idx val="1"/>
          <c:order val="1"/>
          <c:tx>
            <c:v>VQ, L=4, Q=4</c:v>
          </c:tx>
          <c:spPr>
            <a:ln w="19050" cap="rnd">
              <a:solidFill>
                <a:schemeClr val="accent4"/>
              </a:solidFill>
              <a:round/>
            </a:ln>
            <a:effectLst/>
          </c:spPr>
          <c:marker>
            <c:symbol val="circle"/>
            <c:size val="5"/>
            <c:spPr>
              <a:solidFill>
                <a:schemeClr val="accent4"/>
              </a:solidFill>
              <a:ln w="9525">
                <a:solidFill>
                  <a:schemeClr val="accent4"/>
                </a:solidFill>
              </a:ln>
              <a:effectLst/>
            </c:spPr>
          </c:marker>
          <c:xVal>
            <c:numRef>
              <c:f>SGCS_123!$D$22:$D$26</c:f>
              <c:numCache>
                <c:formatCode>General</c:formatCode>
                <c:ptCount val="5"/>
                <c:pt idx="0">
                  <c:v>32</c:v>
                </c:pt>
                <c:pt idx="1">
                  <c:v>64</c:v>
                </c:pt>
                <c:pt idx="2">
                  <c:v>96</c:v>
                </c:pt>
                <c:pt idx="3">
                  <c:v>128</c:v>
                </c:pt>
                <c:pt idx="4">
                  <c:v>192</c:v>
                </c:pt>
              </c:numCache>
            </c:numRef>
          </c:xVal>
          <c:yVal>
            <c:numRef>
              <c:f>SGCS_123!$G$22:$G$26</c:f>
              <c:numCache>
                <c:formatCode>General</c:formatCode>
                <c:ptCount val="5"/>
                <c:pt idx="0">
                  <c:v>0.53700000000000003</c:v>
                </c:pt>
                <c:pt idx="1">
                  <c:v>0.61099999999999999</c:v>
                </c:pt>
                <c:pt idx="2">
                  <c:v>0.64559999999999995</c:v>
                </c:pt>
                <c:pt idx="3">
                  <c:v>0.67090000000000005</c:v>
                </c:pt>
                <c:pt idx="4">
                  <c:v>0.70809999999999995</c:v>
                </c:pt>
              </c:numCache>
            </c:numRef>
          </c:yVal>
          <c:smooth val="0"/>
          <c:extLst>
            <c:ext xmlns:c16="http://schemas.microsoft.com/office/drawing/2014/chart" uri="{C3380CC4-5D6E-409C-BE32-E72D297353CC}">
              <c16:uniqueId val="{00000001-ACEE-4245-B29D-B4FC4046E278}"/>
            </c:ext>
          </c:extLst>
        </c:ser>
        <c:ser>
          <c:idx val="2"/>
          <c:order val="2"/>
          <c:tx>
            <c:v>VQ, L=4, Q=8</c:v>
          </c:tx>
          <c:spPr>
            <a:ln w="19050" cap="rnd">
              <a:solidFill>
                <a:schemeClr val="accent6"/>
              </a:solidFill>
              <a:round/>
            </a:ln>
            <a:effectLst/>
          </c:spPr>
          <c:marker>
            <c:symbol val="circle"/>
            <c:size val="5"/>
            <c:spPr>
              <a:solidFill>
                <a:schemeClr val="accent6"/>
              </a:solidFill>
              <a:ln w="9525">
                <a:solidFill>
                  <a:schemeClr val="accent6"/>
                </a:solidFill>
              </a:ln>
              <a:effectLst/>
            </c:spPr>
          </c:marker>
          <c:xVal>
            <c:numRef>
              <c:f>SGCS_123!$D$32:$D$36</c:f>
              <c:numCache>
                <c:formatCode>General</c:formatCode>
                <c:ptCount val="5"/>
                <c:pt idx="0">
                  <c:v>64</c:v>
                </c:pt>
                <c:pt idx="1">
                  <c:v>128</c:v>
                </c:pt>
                <c:pt idx="2">
                  <c:v>192</c:v>
                </c:pt>
                <c:pt idx="3">
                  <c:v>256</c:v>
                </c:pt>
                <c:pt idx="4">
                  <c:v>384</c:v>
                </c:pt>
              </c:numCache>
            </c:numRef>
          </c:xVal>
          <c:yVal>
            <c:numRef>
              <c:f>SGCS_123!$G$32:$G$36</c:f>
              <c:numCache>
                <c:formatCode>General</c:formatCode>
                <c:ptCount val="5"/>
                <c:pt idx="0">
                  <c:v>0.60680000000000001</c:v>
                </c:pt>
                <c:pt idx="1">
                  <c:v>0.69299999999999995</c:v>
                </c:pt>
                <c:pt idx="2">
                  <c:v>0.74409999999999998</c:v>
                </c:pt>
                <c:pt idx="3">
                  <c:v>0.78220000000000001</c:v>
                </c:pt>
                <c:pt idx="4">
                  <c:v>0.83840000000000003</c:v>
                </c:pt>
              </c:numCache>
            </c:numRef>
          </c:yVal>
          <c:smooth val="0"/>
          <c:extLst>
            <c:ext xmlns:c16="http://schemas.microsoft.com/office/drawing/2014/chart" uri="{C3380CC4-5D6E-409C-BE32-E72D297353CC}">
              <c16:uniqueId val="{00000002-ACEE-4245-B29D-B4FC4046E278}"/>
            </c:ext>
          </c:extLst>
        </c:ser>
        <c:dLbls>
          <c:showLegendKey val="0"/>
          <c:showVal val="0"/>
          <c:showCatName val="0"/>
          <c:showSerName val="0"/>
          <c:showPercent val="0"/>
          <c:showBubbleSize val="0"/>
        </c:dLbls>
        <c:axId val="113457728"/>
        <c:axId val="113469248"/>
      </c:scatterChart>
      <c:valAx>
        <c:axId val="113457728"/>
        <c:scaling>
          <c:orientation val="minMax"/>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Payload size</a:t>
                </a:r>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700" b="0" i="0" u="none" strike="noStrike" kern="1200" baseline="0">
                <a:solidFill>
                  <a:schemeClr val="tx1">
                    <a:lumMod val="65000"/>
                    <a:lumOff val="35000"/>
                  </a:schemeClr>
                </a:solidFill>
                <a:latin typeface="+mn-lt"/>
                <a:ea typeface="+mn-ea"/>
                <a:cs typeface="+mn-cs"/>
              </a:defRPr>
            </a:pPr>
            <a:endParaRPr lang="en-US"/>
          </a:p>
        </c:txPr>
        <c:crossAx val="113469248"/>
        <c:crosses val="autoZero"/>
        <c:crossBetween val="midCat"/>
        <c:majorUnit val="32"/>
      </c:valAx>
      <c:valAx>
        <c:axId val="113469248"/>
        <c:scaling>
          <c:orientation val="minMax"/>
          <c:min val="0.5"/>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SGCS</a:t>
                </a:r>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700" b="0" i="0" u="none" strike="noStrike" kern="1200" baseline="0">
                <a:solidFill>
                  <a:schemeClr val="tx1">
                    <a:lumMod val="65000"/>
                    <a:lumOff val="35000"/>
                  </a:schemeClr>
                </a:solidFill>
                <a:latin typeface="+mn-lt"/>
                <a:ea typeface="+mn-ea"/>
                <a:cs typeface="+mn-cs"/>
              </a:defRPr>
            </a:pPr>
            <a:endParaRPr lang="en-US"/>
          </a:p>
        </c:txPr>
        <c:crossAx val="113457728"/>
        <c:crosses val="autoZero"/>
        <c:crossBetween val="midCat"/>
      </c:valAx>
      <c:spPr>
        <a:noFill/>
        <a:ln>
          <a:noFill/>
        </a:ln>
        <a:effectLst/>
      </c:spPr>
    </c:plotArea>
    <c:legend>
      <c:legendPos val="r"/>
      <c:layout>
        <c:manualLayout>
          <c:xMode val="edge"/>
          <c:yMode val="edge"/>
          <c:x val="0.53027638233282459"/>
          <c:y val="0.5126494604841062"/>
          <c:w val="0.36416800595689336"/>
          <c:h val="0.23437664041994752"/>
        </c:manualLayout>
      </c:layou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extLst>
      <c:ext xmlns:c16r3="http://schemas.microsoft.com/office/drawing/2017/03/chart" uri="{56B9EC1D-385E-4148-901F-78D8002777C0}">
        <c16r3:dataDisplayOptions16>
          <c16r3:dispNaAsBlank val="1"/>
        </c16r3:dataDisplayOptions16>
      </c:ext>
    </c:extLst>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t>Layer 2</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manualLayout>
          <c:layoutTarget val="inner"/>
          <c:xMode val="edge"/>
          <c:yMode val="edge"/>
          <c:x val="0.14453937007874015"/>
          <c:y val="0.17171296296296296"/>
          <c:w val="0.80261286089238859"/>
          <c:h val="0.62308654126567509"/>
        </c:manualLayout>
      </c:layout>
      <c:scatterChart>
        <c:scatterStyle val="lineMarker"/>
        <c:varyColors val="0"/>
        <c:ser>
          <c:idx val="0"/>
          <c:order val="0"/>
          <c:tx>
            <c:v>VQ, L=2, Q=4</c:v>
          </c:tx>
          <c:spPr>
            <a:ln w="19050" cap="rnd">
              <a:solidFill>
                <a:schemeClr val="accent2"/>
              </a:solidFill>
              <a:round/>
            </a:ln>
            <a:effectLst/>
          </c:spPr>
          <c:marker>
            <c:symbol val="circle"/>
            <c:size val="5"/>
            <c:spPr>
              <a:solidFill>
                <a:schemeClr val="accent2"/>
              </a:solidFill>
              <a:ln w="9525">
                <a:solidFill>
                  <a:schemeClr val="accent2"/>
                </a:solidFill>
              </a:ln>
              <a:effectLst/>
            </c:spPr>
          </c:marker>
          <c:xVal>
            <c:numRef>
              <c:f>SGCS_123!$D$27:$D$31</c:f>
              <c:numCache>
                <c:formatCode>General</c:formatCode>
                <c:ptCount val="5"/>
                <c:pt idx="0">
                  <c:v>64</c:v>
                </c:pt>
                <c:pt idx="1">
                  <c:v>128</c:v>
                </c:pt>
                <c:pt idx="2">
                  <c:v>192</c:v>
                </c:pt>
                <c:pt idx="3">
                  <c:v>256</c:v>
                </c:pt>
                <c:pt idx="4">
                  <c:v>384</c:v>
                </c:pt>
              </c:numCache>
            </c:numRef>
          </c:xVal>
          <c:yVal>
            <c:numRef>
              <c:f>SGCS_123!$H$27:$H$31</c:f>
              <c:numCache>
                <c:formatCode>General</c:formatCode>
                <c:ptCount val="5"/>
                <c:pt idx="0">
                  <c:v>0.50360000000000005</c:v>
                </c:pt>
                <c:pt idx="1">
                  <c:v>0.58689999999999998</c:v>
                </c:pt>
                <c:pt idx="2">
                  <c:v>0.63949999999999996</c:v>
                </c:pt>
                <c:pt idx="3">
                  <c:v>0.68200000000000005</c:v>
                </c:pt>
                <c:pt idx="4">
                  <c:v>0.74919999999999998</c:v>
                </c:pt>
              </c:numCache>
            </c:numRef>
          </c:yVal>
          <c:smooth val="0"/>
          <c:extLst>
            <c:ext xmlns:c16="http://schemas.microsoft.com/office/drawing/2014/chart" uri="{C3380CC4-5D6E-409C-BE32-E72D297353CC}">
              <c16:uniqueId val="{00000000-595F-4F12-A387-FA1B52C34ADE}"/>
            </c:ext>
          </c:extLst>
        </c:ser>
        <c:ser>
          <c:idx val="1"/>
          <c:order val="1"/>
          <c:tx>
            <c:v>VQ, L=4, Q=4</c:v>
          </c:tx>
          <c:spPr>
            <a:ln w="19050" cap="rnd">
              <a:solidFill>
                <a:schemeClr val="accent4"/>
              </a:solidFill>
              <a:round/>
            </a:ln>
            <a:effectLst/>
          </c:spPr>
          <c:marker>
            <c:symbol val="circle"/>
            <c:size val="5"/>
            <c:spPr>
              <a:solidFill>
                <a:schemeClr val="accent4"/>
              </a:solidFill>
              <a:ln w="9525">
                <a:solidFill>
                  <a:schemeClr val="accent4"/>
                </a:solidFill>
              </a:ln>
              <a:effectLst/>
            </c:spPr>
          </c:marker>
          <c:xVal>
            <c:numRef>
              <c:f>SGCS_123!$D$22:$D$26</c:f>
              <c:numCache>
                <c:formatCode>General</c:formatCode>
                <c:ptCount val="5"/>
                <c:pt idx="0">
                  <c:v>32</c:v>
                </c:pt>
                <c:pt idx="1">
                  <c:v>64</c:v>
                </c:pt>
                <c:pt idx="2">
                  <c:v>96</c:v>
                </c:pt>
                <c:pt idx="3">
                  <c:v>128</c:v>
                </c:pt>
                <c:pt idx="4">
                  <c:v>192</c:v>
                </c:pt>
              </c:numCache>
            </c:numRef>
          </c:xVal>
          <c:yVal>
            <c:numRef>
              <c:f>SGCS_123!$H$22:$H$26</c:f>
              <c:numCache>
                <c:formatCode>General</c:formatCode>
                <c:ptCount val="5"/>
                <c:pt idx="0">
                  <c:v>0.43630000000000002</c:v>
                </c:pt>
                <c:pt idx="1">
                  <c:v>0.50349999999999995</c:v>
                </c:pt>
                <c:pt idx="2">
                  <c:v>0.5363</c:v>
                </c:pt>
                <c:pt idx="3">
                  <c:v>0.5625</c:v>
                </c:pt>
                <c:pt idx="4">
                  <c:v>0.60250000000000004</c:v>
                </c:pt>
              </c:numCache>
            </c:numRef>
          </c:yVal>
          <c:smooth val="0"/>
          <c:extLst>
            <c:ext xmlns:c16="http://schemas.microsoft.com/office/drawing/2014/chart" uri="{C3380CC4-5D6E-409C-BE32-E72D297353CC}">
              <c16:uniqueId val="{00000001-595F-4F12-A387-FA1B52C34ADE}"/>
            </c:ext>
          </c:extLst>
        </c:ser>
        <c:ser>
          <c:idx val="2"/>
          <c:order val="2"/>
          <c:tx>
            <c:v>VQ, L=4, Q=8</c:v>
          </c:tx>
          <c:spPr>
            <a:ln w="19050" cap="rnd">
              <a:solidFill>
                <a:schemeClr val="accent6"/>
              </a:solidFill>
              <a:round/>
            </a:ln>
            <a:effectLst/>
          </c:spPr>
          <c:marker>
            <c:symbol val="circle"/>
            <c:size val="5"/>
            <c:spPr>
              <a:solidFill>
                <a:schemeClr val="accent6"/>
              </a:solidFill>
              <a:ln w="9525">
                <a:solidFill>
                  <a:schemeClr val="accent6"/>
                </a:solidFill>
              </a:ln>
              <a:effectLst/>
            </c:spPr>
          </c:marker>
          <c:xVal>
            <c:numRef>
              <c:f>SGCS_123!$D$32:$D$36</c:f>
              <c:numCache>
                <c:formatCode>General</c:formatCode>
                <c:ptCount val="5"/>
                <c:pt idx="0">
                  <c:v>64</c:v>
                </c:pt>
                <c:pt idx="1">
                  <c:v>128</c:v>
                </c:pt>
                <c:pt idx="2">
                  <c:v>192</c:v>
                </c:pt>
                <c:pt idx="3">
                  <c:v>256</c:v>
                </c:pt>
                <c:pt idx="4">
                  <c:v>384</c:v>
                </c:pt>
              </c:numCache>
            </c:numRef>
          </c:xVal>
          <c:yVal>
            <c:numRef>
              <c:f>SGCS_123!$H$32:$H$36</c:f>
              <c:numCache>
                <c:formatCode>General</c:formatCode>
                <c:ptCount val="5"/>
                <c:pt idx="0">
                  <c:v>0.50729999999999997</c:v>
                </c:pt>
                <c:pt idx="1">
                  <c:v>0.59199999999999997</c:v>
                </c:pt>
                <c:pt idx="2">
                  <c:v>0.64700000000000002</c:v>
                </c:pt>
                <c:pt idx="3">
                  <c:v>0.69</c:v>
                </c:pt>
                <c:pt idx="4">
                  <c:v>0.75819999999999999</c:v>
                </c:pt>
              </c:numCache>
            </c:numRef>
          </c:yVal>
          <c:smooth val="0"/>
          <c:extLst>
            <c:ext xmlns:c16="http://schemas.microsoft.com/office/drawing/2014/chart" uri="{C3380CC4-5D6E-409C-BE32-E72D297353CC}">
              <c16:uniqueId val="{00000002-595F-4F12-A387-FA1B52C34ADE}"/>
            </c:ext>
          </c:extLst>
        </c:ser>
        <c:dLbls>
          <c:showLegendKey val="0"/>
          <c:showVal val="0"/>
          <c:showCatName val="0"/>
          <c:showSerName val="0"/>
          <c:showPercent val="0"/>
          <c:showBubbleSize val="0"/>
        </c:dLbls>
        <c:axId val="112778992"/>
        <c:axId val="112788112"/>
      </c:scatterChart>
      <c:valAx>
        <c:axId val="112778992"/>
        <c:scaling>
          <c:orientation val="minMax"/>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Payload size</a:t>
                </a:r>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700" b="0" i="0" u="none" strike="noStrike" kern="1200" baseline="0">
                <a:solidFill>
                  <a:schemeClr val="tx1">
                    <a:lumMod val="65000"/>
                    <a:lumOff val="35000"/>
                  </a:schemeClr>
                </a:solidFill>
                <a:latin typeface="+mn-lt"/>
                <a:ea typeface="+mn-ea"/>
                <a:cs typeface="+mn-cs"/>
              </a:defRPr>
            </a:pPr>
            <a:endParaRPr lang="en-US"/>
          </a:p>
        </c:txPr>
        <c:crossAx val="112788112"/>
        <c:crosses val="autoZero"/>
        <c:crossBetween val="midCat"/>
        <c:majorUnit val="32"/>
      </c:valAx>
      <c:valAx>
        <c:axId val="112788112"/>
        <c:scaling>
          <c:orientation val="minMax"/>
          <c:min val="0.4"/>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SGCS</a:t>
                </a:r>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700" b="0" i="0" u="none" strike="noStrike" kern="1200" baseline="0">
                <a:solidFill>
                  <a:schemeClr val="tx1">
                    <a:lumMod val="65000"/>
                    <a:lumOff val="35000"/>
                  </a:schemeClr>
                </a:solidFill>
                <a:latin typeface="+mn-lt"/>
                <a:ea typeface="+mn-ea"/>
                <a:cs typeface="+mn-cs"/>
              </a:defRPr>
            </a:pPr>
            <a:endParaRPr lang="en-US"/>
          </a:p>
        </c:txPr>
        <c:crossAx val="112778992"/>
        <c:crosses val="autoZero"/>
        <c:crossBetween val="midCat"/>
      </c:valAx>
      <c:spPr>
        <a:noFill/>
        <a:ln>
          <a:noFill/>
        </a:ln>
        <a:effectLst/>
      </c:spPr>
    </c:plotArea>
    <c:legend>
      <c:legendPos val="r"/>
      <c:layout>
        <c:manualLayout>
          <c:xMode val="edge"/>
          <c:yMode val="edge"/>
          <c:x val="0.52665504087524873"/>
          <c:y val="0.47561242344706911"/>
          <c:w val="0.36501163846119933"/>
          <c:h val="0.23437664041994752"/>
        </c:manualLayout>
      </c:layou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extLst>
      <c:ext xmlns:c16r3="http://schemas.microsoft.com/office/drawing/2017/03/chart" uri="{56B9EC1D-385E-4148-901F-78D8002777C0}">
        <c16r3:dataDisplayOptions16>
          <c16r3:dispNaAsBlank val="1"/>
        </c16r3:dataDisplayOptions16>
      </c:ext>
    </c:extLst>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t>Layer 3</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manualLayout>
          <c:layoutTarget val="inner"/>
          <c:xMode val="edge"/>
          <c:yMode val="edge"/>
          <c:x val="0.14453937007874015"/>
          <c:y val="0.17171296296296296"/>
          <c:w val="0.81372397200349966"/>
          <c:h val="0.62308654126567509"/>
        </c:manualLayout>
      </c:layout>
      <c:scatterChart>
        <c:scatterStyle val="lineMarker"/>
        <c:varyColors val="0"/>
        <c:ser>
          <c:idx val="0"/>
          <c:order val="0"/>
          <c:tx>
            <c:v>VQ, L=2, Q=4</c:v>
          </c:tx>
          <c:spPr>
            <a:ln w="19050" cap="rnd">
              <a:solidFill>
                <a:schemeClr val="accent2"/>
              </a:solidFill>
              <a:round/>
            </a:ln>
            <a:effectLst/>
          </c:spPr>
          <c:marker>
            <c:symbol val="circle"/>
            <c:size val="5"/>
            <c:spPr>
              <a:solidFill>
                <a:schemeClr val="accent2"/>
              </a:solidFill>
              <a:ln w="9525">
                <a:solidFill>
                  <a:schemeClr val="accent2"/>
                </a:solidFill>
              </a:ln>
              <a:effectLst/>
            </c:spPr>
          </c:marker>
          <c:xVal>
            <c:numRef>
              <c:f>SGCS_123!$D$27:$D$31</c:f>
              <c:numCache>
                <c:formatCode>General</c:formatCode>
                <c:ptCount val="5"/>
                <c:pt idx="0">
                  <c:v>64</c:v>
                </c:pt>
                <c:pt idx="1">
                  <c:v>128</c:v>
                </c:pt>
                <c:pt idx="2">
                  <c:v>192</c:v>
                </c:pt>
                <c:pt idx="3">
                  <c:v>256</c:v>
                </c:pt>
                <c:pt idx="4">
                  <c:v>384</c:v>
                </c:pt>
              </c:numCache>
            </c:numRef>
          </c:xVal>
          <c:yVal>
            <c:numRef>
              <c:f>SGCS_123!$I$27:$I$31</c:f>
              <c:numCache>
                <c:formatCode>General</c:formatCode>
                <c:ptCount val="5"/>
                <c:pt idx="0">
                  <c:v>0.43099999999999999</c:v>
                </c:pt>
                <c:pt idx="1">
                  <c:v>0.51519999999999999</c:v>
                </c:pt>
                <c:pt idx="2">
                  <c:v>0.56820000000000004</c:v>
                </c:pt>
                <c:pt idx="3">
                  <c:v>0.6119</c:v>
                </c:pt>
                <c:pt idx="4">
                  <c:v>0.6835</c:v>
                </c:pt>
              </c:numCache>
            </c:numRef>
          </c:yVal>
          <c:smooth val="0"/>
          <c:extLst>
            <c:ext xmlns:c16="http://schemas.microsoft.com/office/drawing/2014/chart" uri="{C3380CC4-5D6E-409C-BE32-E72D297353CC}">
              <c16:uniqueId val="{00000000-A5E0-4D60-9DE2-3DB6A07AC034}"/>
            </c:ext>
          </c:extLst>
        </c:ser>
        <c:ser>
          <c:idx val="1"/>
          <c:order val="1"/>
          <c:tx>
            <c:v>VQ, L=4, Q=4</c:v>
          </c:tx>
          <c:spPr>
            <a:ln w="19050" cap="rnd">
              <a:solidFill>
                <a:schemeClr val="accent4"/>
              </a:solidFill>
              <a:round/>
            </a:ln>
            <a:effectLst/>
          </c:spPr>
          <c:marker>
            <c:symbol val="circle"/>
            <c:size val="5"/>
            <c:spPr>
              <a:solidFill>
                <a:schemeClr val="accent4"/>
              </a:solidFill>
              <a:ln w="9525">
                <a:solidFill>
                  <a:schemeClr val="accent4"/>
                </a:solidFill>
              </a:ln>
              <a:effectLst/>
            </c:spPr>
          </c:marker>
          <c:xVal>
            <c:numRef>
              <c:f>SGCS_123!$D$22:$D$26</c:f>
              <c:numCache>
                <c:formatCode>General</c:formatCode>
                <c:ptCount val="5"/>
                <c:pt idx="0">
                  <c:v>32</c:v>
                </c:pt>
                <c:pt idx="1">
                  <c:v>64</c:v>
                </c:pt>
                <c:pt idx="2">
                  <c:v>96</c:v>
                </c:pt>
                <c:pt idx="3">
                  <c:v>128</c:v>
                </c:pt>
                <c:pt idx="4">
                  <c:v>192</c:v>
                </c:pt>
              </c:numCache>
            </c:numRef>
          </c:xVal>
          <c:yVal>
            <c:numRef>
              <c:f>SGCS_123!$I$22:$I$26</c:f>
              <c:numCache>
                <c:formatCode>General</c:formatCode>
                <c:ptCount val="5"/>
                <c:pt idx="0">
                  <c:v>0.3543</c:v>
                </c:pt>
                <c:pt idx="1">
                  <c:v>0.41949999999999998</c:v>
                </c:pt>
                <c:pt idx="2">
                  <c:v>0.4511</c:v>
                </c:pt>
                <c:pt idx="3">
                  <c:v>0.47660000000000002</c:v>
                </c:pt>
                <c:pt idx="4">
                  <c:v>0.51600000000000001</c:v>
                </c:pt>
              </c:numCache>
            </c:numRef>
          </c:yVal>
          <c:smooth val="0"/>
          <c:extLst>
            <c:ext xmlns:c16="http://schemas.microsoft.com/office/drawing/2014/chart" uri="{C3380CC4-5D6E-409C-BE32-E72D297353CC}">
              <c16:uniqueId val="{00000001-A5E0-4D60-9DE2-3DB6A07AC034}"/>
            </c:ext>
          </c:extLst>
        </c:ser>
        <c:ser>
          <c:idx val="2"/>
          <c:order val="2"/>
          <c:tx>
            <c:v>VQ, L=4, Q=8</c:v>
          </c:tx>
          <c:spPr>
            <a:ln w="19050" cap="rnd">
              <a:solidFill>
                <a:schemeClr val="accent6"/>
              </a:solidFill>
              <a:round/>
            </a:ln>
            <a:effectLst/>
          </c:spPr>
          <c:marker>
            <c:symbol val="circle"/>
            <c:size val="5"/>
            <c:spPr>
              <a:solidFill>
                <a:schemeClr val="accent6"/>
              </a:solidFill>
              <a:ln w="9525">
                <a:solidFill>
                  <a:schemeClr val="accent6"/>
                </a:solidFill>
              </a:ln>
              <a:effectLst/>
            </c:spPr>
          </c:marker>
          <c:xVal>
            <c:numRef>
              <c:f>SGCS_123!$D$32:$D$36</c:f>
              <c:numCache>
                <c:formatCode>General</c:formatCode>
                <c:ptCount val="5"/>
                <c:pt idx="0">
                  <c:v>64</c:v>
                </c:pt>
                <c:pt idx="1">
                  <c:v>128</c:v>
                </c:pt>
                <c:pt idx="2">
                  <c:v>192</c:v>
                </c:pt>
                <c:pt idx="3">
                  <c:v>256</c:v>
                </c:pt>
                <c:pt idx="4">
                  <c:v>384</c:v>
                </c:pt>
              </c:numCache>
            </c:numRef>
          </c:xVal>
          <c:yVal>
            <c:numRef>
              <c:f>SGCS_123!$I$32:$I$36</c:f>
              <c:numCache>
                <c:formatCode>General</c:formatCode>
                <c:ptCount val="5"/>
                <c:pt idx="0">
                  <c:v>0.43669999999999998</c:v>
                </c:pt>
                <c:pt idx="1">
                  <c:v>0.52139999999999997</c:v>
                </c:pt>
                <c:pt idx="2">
                  <c:v>0.57689999999999997</c:v>
                </c:pt>
                <c:pt idx="3">
                  <c:v>0.621</c:v>
                </c:pt>
                <c:pt idx="4">
                  <c:v>0.69369999999999998</c:v>
                </c:pt>
              </c:numCache>
            </c:numRef>
          </c:yVal>
          <c:smooth val="0"/>
          <c:extLst>
            <c:ext xmlns:c16="http://schemas.microsoft.com/office/drawing/2014/chart" uri="{C3380CC4-5D6E-409C-BE32-E72D297353CC}">
              <c16:uniqueId val="{00000002-A5E0-4D60-9DE2-3DB6A07AC034}"/>
            </c:ext>
          </c:extLst>
        </c:ser>
        <c:dLbls>
          <c:showLegendKey val="0"/>
          <c:showVal val="0"/>
          <c:showCatName val="0"/>
          <c:showSerName val="0"/>
          <c:showPercent val="0"/>
          <c:showBubbleSize val="0"/>
        </c:dLbls>
        <c:axId val="1947208928"/>
        <c:axId val="1947210848"/>
      </c:scatterChart>
      <c:valAx>
        <c:axId val="1947208928"/>
        <c:scaling>
          <c:orientation val="minMax"/>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Payload size</a:t>
                </a:r>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700" b="0" i="0" u="none" strike="noStrike" kern="1200" baseline="0">
                <a:solidFill>
                  <a:schemeClr val="tx1">
                    <a:lumMod val="65000"/>
                    <a:lumOff val="35000"/>
                  </a:schemeClr>
                </a:solidFill>
                <a:latin typeface="+mn-lt"/>
                <a:ea typeface="+mn-ea"/>
                <a:cs typeface="+mn-cs"/>
              </a:defRPr>
            </a:pPr>
            <a:endParaRPr lang="en-US"/>
          </a:p>
        </c:txPr>
        <c:crossAx val="1947210848"/>
        <c:crosses val="autoZero"/>
        <c:crossBetween val="midCat"/>
        <c:majorUnit val="32"/>
      </c:valAx>
      <c:valAx>
        <c:axId val="1947210848"/>
        <c:scaling>
          <c:orientation val="minMax"/>
          <c:min val="0.30000000000000004"/>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SGCS</a:t>
                </a:r>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700" b="0" i="0" u="none" strike="noStrike" kern="1200" baseline="0">
                <a:solidFill>
                  <a:schemeClr val="tx1">
                    <a:lumMod val="65000"/>
                    <a:lumOff val="35000"/>
                  </a:schemeClr>
                </a:solidFill>
                <a:latin typeface="+mn-lt"/>
                <a:ea typeface="+mn-ea"/>
                <a:cs typeface="+mn-cs"/>
              </a:defRPr>
            </a:pPr>
            <a:endParaRPr lang="en-US"/>
          </a:p>
        </c:txPr>
        <c:crossAx val="1947208928"/>
        <c:crosses val="autoZero"/>
        <c:crossBetween val="midCat"/>
      </c:valAx>
      <c:spPr>
        <a:noFill/>
        <a:ln>
          <a:noFill/>
        </a:ln>
        <a:effectLst/>
      </c:spPr>
    </c:plotArea>
    <c:legend>
      <c:legendPos val="r"/>
      <c:layout>
        <c:manualLayout>
          <c:xMode val="edge"/>
          <c:yMode val="edge"/>
          <c:x val="0.60282632899166988"/>
          <c:y val="0.49876057159521725"/>
          <c:w val="0.31661792914727233"/>
          <c:h val="0.23437664041994752"/>
        </c:manualLayout>
      </c:layou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extLst>
      <c:ext xmlns:c16r3="http://schemas.microsoft.com/office/drawing/2017/03/chart" uri="{56B9EC1D-385E-4148-901F-78D8002777C0}">
        <c16r3:dataDisplayOptions16>
          <c16r3:dispNaAsBlank val="1"/>
        </c16r3:dataDisplayOptions16>
      </c:ext>
    </c:extLst>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t>Layer 0</a:t>
            </a:r>
          </a:p>
        </c:rich>
      </c:tx>
      <c:layout>
        <c:manualLayout>
          <c:xMode val="edge"/>
          <c:yMode val="edge"/>
          <c:x val="0.44452334395561738"/>
          <c:y val="5.6203461644829186E-3"/>
        </c:manualLayout>
      </c:layout>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manualLayout>
          <c:layoutTarget val="inner"/>
          <c:xMode val="edge"/>
          <c:yMode val="edge"/>
          <c:x val="0.13119717607013601"/>
          <c:y val="0.13497065928608282"/>
          <c:w val="0.8189554190982965"/>
          <c:h val="0.66595223515003066"/>
        </c:manualLayout>
      </c:layout>
      <c:scatterChart>
        <c:scatterStyle val="lineMarker"/>
        <c:varyColors val="0"/>
        <c:ser>
          <c:idx val="0"/>
          <c:order val="0"/>
          <c:tx>
            <c:v>SQ, Q=1</c:v>
          </c:tx>
          <c:spPr>
            <a:ln w="19050" cap="rnd">
              <a:solidFill>
                <a:schemeClr val="accent1"/>
              </a:solidFill>
              <a:round/>
            </a:ln>
            <a:effectLst/>
          </c:spPr>
          <c:marker>
            <c:symbol val="circle"/>
            <c:size val="5"/>
            <c:spPr>
              <a:solidFill>
                <a:schemeClr val="accent1"/>
              </a:solidFill>
              <a:ln w="9525">
                <a:solidFill>
                  <a:schemeClr val="accent1"/>
                </a:solidFill>
              </a:ln>
              <a:effectLst/>
            </c:spPr>
          </c:marker>
          <c:xVal>
            <c:numRef>
              <c:f>SGCS_123!$D$2:$D$6</c:f>
              <c:numCache>
                <c:formatCode>General</c:formatCode>
                <c:ptCount val="5"/>
                <c:pt idx="0">
                  <c:v>32</c:v>
                </c:pt>
                <c:pt idx="1">
                  <c:v>64</c:v>
                </c:pt>
                <c:pt idx="2">
                  <c:v>96</c:v>
                </c:pt>
                <c:pt idx="3">
                  <c:v>128</c:v>
                </c:pt>
                <c:pt idx="4">
                  <c:v>192</c:v>
                </c:pt>
              </c:numCache>
            </c:numRef>
          </c:xVal>
          <c:yVal>
            <c:numRef>
              <c:f>SGCS_123!$F$2:$F$6</c:f>
              <c:numCache>
                <c:formatCode>General</c:formatCode>
                <c:ptCount val="5"/>
                <c:pt idx="0">
                  <c:v>0.6603</c:v>
                </c:pt>
                <c:pt idx="1">
                  <c:v>0.72499999999999998</c:v>
                </c:pt>
                <c:pt idx="2">
                  <c:v>0.75870000000000004</c:v>
                </c:pt>
                <c:pt idx="3">
                  <c:v>0.78369999999999995</c:v>
                </c:pt>
                <c:pt idx="4">
                  <c:v>0.81840000000000002</c:v>
                </c:pt>
              </c:numCache>
            </c:numRef>
          </c:yVal>
          <c:smooth val="0"/>
          <c:extLst>
            <c:ext xmlns:c16="http://schemas.microsoft.com/office/drawing/2014/chart" uri="{C3380CC4-5D6E-409C-BE32-E72D297353CC}">
              <c16:uniqueId val="{00000000-FD8C-4098-8227-BB9216E15A23}"/>
            </c:ext>
          </c:extLst>
        </c:ser>
        <c:ser>
          <c:idx val="1"/>
          <c:order val="1"/>
          <c:tx>
            <c:v>SQ, Q=2</c:v>
          </c:tx>
          <c:spPr>
            <a:ln w="19050" cap="rnd">
              <a:solidFill>
                <a:schemeClr val="accent2"/>
              </a:solidFill>
              <a:round/>
            </a:ln>
            <a:effectLst/>
          </c:spPr>
          <c:marker>
            <c:symbol val="circle"/>
            <c:size val="5"/>
            <c:spPr>
              <a:solidFill>
                <a:schemeClr val="accent2"/>
              </a:solidFill>
              <a:ln w="9525">
                <a:solidFill>
                  <a:schemeClr val="accent2"/>
                </a:solidFill>
              </a:ln>
              <a:effectLst/>
            </c:spPr>
          </c:marker>
          <c:xVal>
            <c:numRef>
              <c:f>SGCS_123!$D$7:$D$11</c:f>
              <c:numCache>
                <c:formatCode>General</c:formatCode>
                <c:ptCount val="5"/>
                <c:pt idx="0">
                  <c:v>64</c:v>
                </c:pt>
                <c:pt idx="1">
                  <c:v>128</c:v>
                </c:pt>
                <c:pt idx="2">
                  <c:v>192</c:v>
                </c:pt>
                <c:pt idx="3">
                  <c:v>256</c:v>
                </c:pt>
                <c:pt idx="4">
                  <c:v>384</c:v>
                </c:pt>
              </c:numCache>
            </c:numRef>
          </c:xVal>
          <c:yVal>
            <c:numRef>
              <c:f>SGCS_123!$F$7:$F$11</c:f>
              <c:numCache>
                <c:formatCode>General</c:formatCode>
                <c:ptCount val="5"/>
                <c:pt idx="0">
                  <c:v>0.72270000000000001</c:v>
                </c:pt>
                <c:pt idx="1">
                  <c:v>0.78580000000000005</c:v>
                </c:pt>
                <c:pt idx="2">
                  <c:v>0.82320000000000004</c:v>
                </c:pt>
                <c:pt idx="3">
                  <c:v>0.85</c:v>
                </c:pt>
                <c:pt idx="4">
                  <c:v>0.88670000000000004</c:v>
                </c:pt>
              </c:numCache>
            </c:numRef>
          </c:yVal>
          <c:smooth val="0"/>
          <c:extLst>
            <c:ext xmlns:c16="http://schemas.microsoft.com/office/drawing/2014/chart" uri="{C3380CC4-5D6E-409C-BE32-E72D297353CC}">
              <c16:uniqueId val="{00000001-FD8C-4098-8227-BB9216E15A23}"/>
            </c:ext>
          </c:extLst>
        </c:ser>
        <c:ser>
          <c:idx val="2"/>
          <c:order val="2"/>
          <c:tx>
            <c:v>SQ, Q=3</c:v>
          </c:tx>
          <c:spPr>
            <a:ln w="19050" cap="rnd">
              <a:solidFill>
                <a:schemeClr val="accent3"/>
              </a:solidFill>
              <a:round/>
            </a:ln>
            <a:effectLst/>
          </c:spPr>
          <c:marker>
            <c:symbol val="circle"/>
            <c:size val="5"/>
            <c:spPr>
              <a:solidFill>
                <a:schemeClr val="accent3"/>
              </a:solidFill>
              <a:ln w="9525">
                <a:solidFill>
                  <a:schemeClr val="accent3"/>
                </a:solidFill>
              </a:ln>
              <a:effectLst/>
            </c:spPr>
          </c:marker>
          <c:xVal>
            <c:numRef>
              <c:f>SGCS_123!$D$12:$D$16</c:f>
              <c:numCache>
                <c:formatCode>General</c:formatCode>
                <c:ptCount val="5"/>
                <c:pt idx="0">
                  <c:v>96</c:v>
                </c:pt>
                <c:pt idx="1">
                  <c:v>192</c:v>
                </c:pt>
                <c:pt idx="2">
                  <c:v>288</c:v>
                </c:pt>
                <c:pt idx="3">
                  <c:v>384</c:v>
                </c:pt>
                <c:pt idx="4">
                  <c:v>576</c:v>
                </c:pt>
              </c:numCache>
            </c:numRef>
          </c:xVal>
          <c:yVal>
            <c:numRef>
              <c:f>SGCS_123!$F$12:$F$16</c:f>
              <c:numCache>
                <c:formatCode>General</c:formatCode>
                <c:ptCount val="5"/>
                <c:pt idx="0">
                  <c:v>0.75519999999999998</c:v>
                </c:pt>
                <c:pt idx="1">
                  <c:v>0.81569999999999998</c:v>
                </c:pt>
                <c:pt idx="2">
                  <c:v>0.85260000000000002</c:v>
                </c:pt>
                <c:pt idx="3">
                  <c:v>0.87909999999999999</c:v>
                </c:pt>
                <c:pt idx="4">
                  <c:v>0.9153</c:v>
                </c:pt>
              </c:numCache>
            </c:numRef>
          </c:yVal>
          <c:smooth val="0"/>
          <c:extLst>
            <c:ext xmlns:c16="http://schemas.microsoft.com/office/drawing/2014/chart" uri="{C3380CC4-5D6E-409C-BE32-E72D297353CC}">
              <c16:uniqueId val="{00000002-FD8C-4098-8227-BB9216E15A23}"/>
            </c:ext>
          </c:extLst>
        </c:ser>
        <c:ser>
          <c:idx val="3"/>
          <c:order val="3"/>
          <c:tx>
            <c:v>SQ, Q=4</c:v>
          </c:tx>
          <c:spPr>
            <a:ln w="19050" cap="rnd">
              <a:solidFill>
                <a:schemeClr val="accent4"/>
              </a:solidFill>
              <a:round/>
            </a:ln>
            <a:effectLst/>
          </c:spPr>
          <c:marker>
            <c:symbol val="circle"/>
            <c:size val="5"/>
            <c:spPr>
              <a:solidFill>
                <a:schemeClr val="accent4"/>
              </a:solidFill>
              <a:ln w="9525">
                <a:solidFill>
                  <a:schemeClr val="accent4"/>
                </a:solidFill>
              </a:ln>
              <a:effectLst/>
            </c:spPr>
          </c:marker>
          <c:xVal>
            <c:numRef>
              <c:f>SGCS_123!$D$17:$D$21</c:f>
              <c:numCache>
                <c:formatCode>General</c:formatCode>
                <c:ptCount val="5"/>
                <c:pt idx="0">
                  <c:v>128</c:v>
                </c:pt>
                <c:pt idx="1">
                  <c:v>256</c:v>
                </c:pt>
                <c:pt idx="2">
                  <c:v>384</c:v>
                </c:pt>
                <c:pt idx="3">
                  <c:v>512</c:v>
                </c:pt>
                <c:pt idx="4">
                  <c:v>768</c:v>
                </c:pt>
              </c:numCache>
            </c:numRef>
          </c:xVal>
          <c:yVal>
            <c:numRef>
              <c:f>SGCS_123!$F$17:$F$21</c:f>
              <c:numCache>
                <c:formatCode>General</c:formatCode>
                <c:ptCount val="5"/>
                <c:pt idx="0">
                  <c:v>0.76480000000000004</c:v>
                </c:pt>
                <c:pt idx="1">
                  <c:v>0.82579999999999998</c:v>
                </c:pt>
                <c:pt idx="2">
                  <c:v>0.86209999999999998</c:v>
                </c:pt>
                <c:pt idx="3">
                  <c:v>0.88859999999999995</c:v>
                </c:pt>
                <c:pt idx="4">
                  <c:v>0.92549999999999999</c:v>
                </c:pt>
              </c:numCache>
            </c:numRef>
          </c:yVal>
          <c:smooth val="0"/>
          <c:extLst>
            <c:ext xmlns:c16="http://schemas.microsoft.com/office/drawing/2014/chart" uri="{C3380CC4-5D6E-409C-BE32-E72D297353CC}">
              <c16:uniqueId val="{00000003-FD8C-4098-8227-BB9216E15A23}"/>
            </c:ext>
          </c:extLst>
        </c:ser>
        <c:dLbls>
          <c:showLegendKey val="0"/>
          <c:showVal val="0"/>
          <c:showCatName val="0"/>
          <c:showSerName val="0"/>
          <c:showPercent val="0"/>
          <c:showBubbleSize val="0"/>
        </c:dLbls>
        <c:axId val="2042778624"/>
        <c:axId val="2042770464"/>
      </c:scatterChart>
      <c:valAx>
        <c:axId val="2042778624"/>
        <c:scaling>
          <c:orientation val="minMax"/>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Payload size</a:t>
                </a:r>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400" b="0" i="0" u="none" strike="noStrike" kern="1200" baseline="0">
                <a:solidFill>
                  <a:schemeClr val="tx1">
                    <a:lumMod val="65000"/>
                    <a:lumOff val="35000"/>
                  </a:schemeClr>
                </a:solidFill>
                <a:latin typeface="+mn-lt"/>
                <a:ea typeface="+mn-ea"/>
                <a:cs typeface="+mn-cs"/>
              </a:defRPr>
            </a:pPr>
            <a:endParaRPr lang="en-US"/>
          </a:p>
        </c:txPr>
        <c:crossAx val="2042770464"/>
        <c:crosses val="autoZero"/>
        <c:crossBetween val="midCat"/>
        <c:majorUnit val="32"/>
      </c:valAx>
      <c:valAx>
        <c:axId val="2042770464"/>
        <c:scaling>
          <c:orientation val="minMax"/>
          <c:min val="0.60000000000000009"/>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SGCS</a:t>
                </a:r>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600" b="0" i="0" u="none" strike="noStrike" kern="1200" baseline="0">
                <a:solidFill>
                  <a:schemeClr val="tx1">
                    <a:lumMod val="65000"/>
                    <a:lumOff val="35000"/>
                  </a:schemeClr>
                </a:solidFill>
                <a:latin typeface="+mn-lt"/>
                <a:ea typeface="+mn-ea"/>
                <a:cs typeface="+mn-cs"/>
              </a:defRPr>
            </a:pPr>
            <a:endParaRPr lang="en-US"/>
          </a:p>
        </c:txPr>
        <c:crossAx val="2042778624"/>
        <c:crosses val="autoZero"/>
        <c:crossBetween val="midCat"/>
      </c:valAx>
      <c:spPr>
        <a:noFill/>
        <a:ln>
          <a:noFill/>
        </a:ln>
        <a:effectLst/>
      </c:spPr>
    </c:plotArea>
    <c:legend>
      <c:legendPos val="r"/>
      <c:layout>
        <c:manualLayout>
          <c:xMode val="edge"/>
          <c:yMode val="edge"/>
          <c:x val="0.53592788893382992"/>
          <c:y val="0.43654965004374452"/>
          <c:w val="0.33629427492343977"/>
          <c:h val="0.31250218722659673"/>
        </c:manualLayout>
      </c:layou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extLst>
      <c:ext xmlns:c16r3="http://schemas.microsoft.com/office/drawing/2017/03/chart" uri="{56B9EC1D-385E-4148-901F-78D8002777C0}">
        <c16r3:dataDisplayOptions16>
          <c16r3:dispNaAsBlank val="1"/>
        </c16r3:dataDisplayOptions16>
      </c:ext>
    </c:extLst>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t>Layer 1</a:t>
            </a:r>
          </a:p>
        </c:rich>
      </c:tx>
      <c:layout>
        <c:manualLayout>
          <c:xMode val="edge"/>
          <c:yMode val="edge"/>
          <c:x val="0.41797705057373563"/>
          <c:y val="1.3210039630118891E-2"/>
        </c:manualLayout>
      </c:layout>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manualLayout>
          <c:layoutTarget val="inner"/>
          <c:xMode val="edge"/>
          <c:yMode val="edge"/>
          <c:x val="0.14453937007874015"/>
          <c:y val="0.12547769375591591"/>
          <c:w val="0.79727974628171472"/>
          <c:h val="0.66932150324010031"/>
        </c:manualLayout>
      </c:layout>
      <c:scatterChart>
        <c:scatterStyle val="lineMarker"/>
        <c:varyColors val="0"/>
        <c:ser>
          <c:idx val="0"/>
          <c:order val="0"/>
          <c:tx>
            <c:v>SQ, Q=1</c:v>
          </c:tx>
          <c:spPr>
            <a:ln w="19050" cap="rnd">
              <a:solidFill>
                <a:schemeClr val="accent1"/>
              </a:solidFill>
              <a:round/>
            </a:ln>
            <a:effectLst/>
          </c:spPr>
          <c:marker>
            <c:symbol val="circle"/>
            <c:size val="5"/>
            <c:spPr>
              <a:solidFill>
                <a:schemeClr val="accent1"/>
              </a:solidFill>
              <a:ln w="9525">
                <a:solidFill>
                  <a:schemeClr val="accent1"/>
                </a:solidFill>
              </a:ln>
              <a:effectLst/>
            </c:spPr>
          </c:marker>
          <c:xVal>
            <c:numRef>
              <c:f>SGCS_123!$D$2:$D$6</c:f>
              <c:numCache>
                <c:formatCode>General</c:formatCode>
                <c:ptCount val="5"/>
                <c:pt idx="0">
                  <c:v>32</c:v>
                </c:pt>
                <c:pt idx="1">
                  <c:v>64</c:v>
                </c:pt>
                <c:pt idx="2">
                  <c:v>96</c:v>
                </c:pt>
                <c:pt idx="3">
                  <c:v>128</c:v>
                </c:pt>
                <c:pt idx="4">
                  <c:v>192</c:v>
                </c:pt>
              </c:numCache>
            </c:numRef>
          </c:xVal>
          <c:yVal>
            <c:numRef>
              <c:f>SGCS_123!$G$2:$G$6</c:f>
              <c:numCache>
                <c:formatCode>General</c:formatCode>
                <c:ptCount val="5"/>
                <c:pt idx="0">
                  <c:v>0.52790000000000004</c:v>
                </c:pt>
                <c:pt idx="1">
                  <c:v>0.60309999999999997</c:v>
                </c:pt>
                <c:pt idx="2">
                  <c:v>0.64480000000000004</c:v>
                </c:pt>
                <c:pt idx="3">
                  <c:v>0.67700000000000005</c:v>
                </c:pt>
                <c:pt idx="4">
                  <c:v>0.72599999999999998</c:v>
                </c:pt>
              </c:numCache>
            </c:numRef>
          </c:yVal>
          <c:smooth val="0"/>
          <c:extLst>
            <c:ext xmlns:c16="http://schemas.microsoft.com/office/drawing/2014/chart" uri="{C3380CC4-5D6E-409C-BE32-E72D297353CC}">
              <c16:uniqueId val="{00000000-EA48-4737-AAF7-CBACC4761EB3}"/>
            </c:ext>
          </c:extLst>
        </c:ser>
        <c:ser>
          <c:idx val="1"/>
          <c:order val="1"/>
          <c:tx>
            <c:v>SQ, Q=2</c:v>
          </c:tx>
          <c:spPr>
            <a:ln w="19050" cap="rnd">
              <a:solidFill>
                <a:schemeClr val="accent2"/>
              </a:solidFill>
              <a:round/>
            </a:ln>
            <a:effectLst/>
          </c:spPr>
          <c:marker>
            <c:symbol val="circle"/>
            <c:size val="5"/>
            <c:spPr>
              <a:solidFill>
                <a:schemeClr val="accent2"/>
              </a:solidFill>
              <a:ln w="9525">
                <a:solidFill>
                  <a:schemeClr val="accent2"/>
                </a:solidFill>
              </a:ln>
              <a:effectLst/>
            </c:spPr>
          </c:marker>
          <c:xVal>
            <c:numRef>
              <c:f>SGCS_123!$D$7:$D$11</c:f>
              <c:numCache>
                <c:formatCode>General</c:formatCode>
                <c:ptCount val="5"/>
                <c:pt idx="0">
                  <c:v>64</c:v>
                </c:pt>
                <c:pt idx="1">
                  <c:v>128</c:v>
                </c:pt>
                <c:pt idx="2">
                  <c:v>192</c:v>
                </c:pt>
                <c:pt idx="3">
                  <c:v>256</c:v>
                </c:pt>
                <c:pt idx="4">
                  <c:v>384</c:v>
                </c:pt>
              </c:numCache>
            </c:numRef>
          </c:xVal>
          <c:yVal>
            <c:numRef>
              <c:f>SGCS_123!$G$7:$G$11</c:f>
              <c:numCache>
                <c:formatCode>General</c:formatCode>
                <c:ptCount val="5"/>
                <c:pt idx="0">
                  <c:v>0.59809999999999997</c:v>
                </c:pt>
                <c:pt idx="1">
                  <c:v>0.67779999999999996</c:v>
                </c:pt>
                <c:pt idx="2">
                  <c:v>0.72660000000000002</c:v>
                </c:pt>
                <c:pt idx="3">
                  <c:v>0.7641</c:v>
                </c:pt>
                <c:pt idx="4">
                  <c:v>0.8206</c:v>
                </c:pt>
              </c:numCache>
            </c:numRef>
          </c:yVal>
          <c:smooth val="0"/>
          <c:extLst>
            <c:ext xmlns:c16="http://schemas.microsoft.com/office/drawing/2014/chart" uri="{C3380CC4-5D6E-409C-BE32-E72D297353CC}">
              <c16:uniqueId val="{00000001-EA48-4737-AAF7-CBACC4761EB3}"/>
            </c:ext>
          </c:extLst>
        </c:ser>
        <c:ser>
          <c:idx val="2"/>
          <c:order val="2"/>
          <c:tx>
            <c:v>SQ, Q=3</c:v>
          </c:tx>
          <c:spPr>
            <a:ln w="19050" cap="rnd">
              <a:solidFill>
                <a:schemeClr val="accent3"/>
              </a:solidFill>
              <a:round/>
            </a:ln>
            <a:effectLst/>
          </c:spPr>
          <c:marker>
            <c:symbol val="circle"/>
            <c:size val="5"/>
            <c:spPr>
              <a:solidFill>
                <a:schemeClr val="accent3"/>
              </a:solidFill>
              <a:ln w="9525">
                <a:solidFill>
                  <a:schemeClr val="accent3"/>
                </a:solidFill>
              </a:ln>
              <a:effectLst/>
            </c:spPr>
          </c:marker>
          <c:xVal>
            <c:numRef>
              <c:f>SGCS_123!$D$12:$D$16</c:f>
              <c:numCache>
                <c:formatCode>General</c:formatCode>
                <c:ptCount val="5"/>
                <c:pt idx="0">
                  <c:v>96</c:v>
                </c:pt>
                <c:pt idx="1">
                  <c:v>192</c:v>
                </c:pt>
                <c:pt idx="2">
                  <c:v>288</c:v>
                </c:pt>
                <c:pt idx="3">
                  <c:v>384</c:v>
                </c:pt>
                <c:pt idx="4">
                  <c:v>576</c:v>
                </c:pt>
              </c:numCache>
            </c:numRef>
          </c:xVal>
          <c:yVal>
            <c:numRef>
              <c:f>SGCS_123!$G$12:$G$16</c:f>
              <c:numCache>
                <c:formatCode>General</c:formatCode>
                <c:ptCount val="5"/>
                <c:pt idx="0">
                  <c:v>0.63349999999999995</c:v>
                </c:pt>
                <c:pt idx="1">
                  <c:v>0.71309999999999996</c:v>
                </c:pt>
                <c:pt idx="2">
                  <c:v>0.76290000000000002</c:v>
                </c:pt>
                <c:pt idx="3">
                  <c:v>0.8014</c:v>
                </c:pt>
                <c:pt idx="4">
                  <c:v>0.85929999999999995</c:v>
                </c:pt>
              </c:numCache>
            </c:numRef>
          </c:yVal>
          <c:smooth val="0"/>
          <c:extLst>
            <c:ext xmlns:c16="http://schemas.microsoft.com/office/drawing/2014/chart" uri="{C3380CC4-5D6E-409C-BE32-E72D297353CC}">
              <c16:uniqueId val="{00000002-EA48-4737-AAF7-CBACC4761EB3}"/>
            </c:ext>
          </c:extLst>
        </c:ser>
        <c:ser>
          <c:idx val="3"/>
          <c:order val="3"/>
          <c:tx>
            <c:v>SQ, Q=4</c:v>
          </c:tx>
          <c:spPr>
            <a:ln w="19050" cap="rnd">
              <a:solidFill>
                <a:schemeClr val="accent4"/>
              </a:solidFill>
              <a:round/>
            </a:ln>
            <a:effectLst/>
          </c:spPr>
          <c:marker>
            <c:symbol val="circle"/>
            <c:size val="5"/>
            <c:spPr>
              <a:solidFill>
                <a:schemeClr val="accent4"/>
              </a:solidFill>
              <a:ln w="9525">
                <a:solidFill>
                  <a:schemeClr val="accent4"/>
                </a:solidFill>
              </a:ln>
              <a:effectLst/>
            </c:spPr>
          </c:marker>
          <c:xVal>
            <c:numRef>
              <c:f>SGCS_123!$D$17:$D$21</c:f>
              <c:numCache>
                <c:formatCode>General</c:formatCode>
                <c:ptCount val="5"/>
                <c:pt idx="0">
                  <c:v>128</c:v>
                </c:pt>
                <c:pt idx="1">
                  <c:v>256</c:v>
                </c:pt>
                <c:pt idx="2">
                  <c:v>384</c:v>
                </c:pt>
                <c:pt idx="3">
                  <c:v>512</c:v>
                </c:pt>
                <c:pt idx="4">
                  <c:v>768</c:v>
                </c:pt>
              </c:numCache>
            </c:numRef>
          </c:xVal>
          <c:yVal>
            <c:numRef>
              <c:f>SGCS_123!$G$17:$G$21</c:f>
              <c:numCache>
                <c:formatCode>General</c:formatCode>
                <c:ptCount val="5"/>
                <c:pt idx="0">
                  <c:v>0.64400000000000002</c:v>
                </c:pt>
                <c:pt idx="1">
                  <c:v>0.72460000000000002</c:v>
                </c:pt>
                <c:pt idx="2">
                  <c:v>0.77429999999999999</c:v>
                </c:pt>
                <c:pt idx="3">
                  <c:v>0.81289999999999996</c:v>
                </c:pt>
                <c:pt idx="4">
                  <c:v>0.87180000000000002</c:v>
                </c:pt>
              </c:numCache>
            </c:numRef>
          </c:yVal>
          <c:smooth val="0"/>
          <c:extLst>
            <c:ext xmlns:c16="http://schemas.microsoft.com/office/drawing/2014/chart" uri="{C3380CC4-5D6E-409C-BE32-E72D297353CC}">
              <c16:uniqueId val="{00000003-EA48-4737-AAF7-CBACC4761EB3}"/>
            </c:ext>
          </c:extLst>
        </c:ser>
        <c:dLbls>
          <c:showLegendKey val="0"/>
          <c:showVal val="0"/>
          <c:showCatName val="0"/>
          <c:showSerName val="0"/>
          <c:showPercent val="0"/>
          <c:showBubbleSize val="0"/>
        </c:dLbls>
        <c:axId val="1548399696"/>
        <c:axId val="2093532032"/>
      </c:scatterChart>
      <c:valAx>
        <c:axId val="1548399696"/>
        <c:scaling>
          <c:orientation val="minMax"/>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Payload size</a:t>
                </a:r>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400" b="0" i="0" u="none" strike="noStrike" kern="1200" baseline="0">
                <a:solidFill>
                  <a:schemeClr val="tx1">
                    <a:lumMod val="65000"/>
                    <a:lumOff val="35000"/>
                  </a:schemeClr>
                </a:solidFill>
                <a:latin typeface="+mn-lt"/>
                <a:ea typeface="+mn-ea"/>
                <a:cs typeface="+mn-cs"/>
              </a:defRPr>
            </a:pPr>
            <a:endParaRPr lang="en-US"/>
          </a:p>
        </c:txPr>
        <c:crossAx val="2093532032"/>
        <c:crosses val="autoZero"/>
        <c:crossBetween val="midCat"/>
        <c:majorUnit val="32"/>
      </c:valAx>
      <c:valAx>
        <c:axId val="2093532032"/>
        <c:scaling>
          <c:orientation val="minMax"/>
          <c:min val="0.5"/>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SGCS</a:t>
                </a:r>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700" b="0" i="0" u="none" strike="noStrike" kern="1200" baseline="0">
                <a:solidFill>
                  <a:schemeClr val="tx1">
                    <a:lumMod val="65000"/>
                    <a:lumOff val="35000"/>
                  </a:schemeClr>
                </a:solidFill>
                <a:latin typeface="+mn-lt"/>
                <a:ea typeface="+mn-ea"/>
                <a:cs typeface="+mn-cs"/>
              </a:defRPr>
            </a:pPr>
            <a:endParaRPr lang="en-US"/>
          </a:p>
        </c:txPr>
        <c:crossAx val="1548399696"/>
        <c:crosses val="autoZero"/>
        <c:crossBetween val="midCat"/>
      </c:valAx>
      <c:spPr>
        <a:noFill/>
        <a:ln>
          <a:noFill/>
        </a:ln>
        <a:effectLst/>
      </c:spPr>
    </c:plotArea>
    <c:legend>
      <c:legendPos val="r"/>
      <c:layout>
        <c:manualLayout>
          <c:xMode val="edge"/>
          <c:yMode val="edge"/>
          <c:x val="0.53866060488490741"/>
          <c:y val="0.34858668708078161"/>
          <c:w val="0.36411743541532987"/>
          <c:h val="0.35001603966170902"/>
        </c:manualLayout>
      </c:layou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extLst>
      <c:ext xmlns:c16r3="http://schemas.microsoft.com/office/drawing/2017/03/chart" uri="{56B9EC1D-385E-4148-901F-78D8002777C0}">
        <c16r3:dataDisplayOptions16>
          <c16r3:dispNaAsBlank val="1"/>
        </c16r3:dataDisplayOptions16>
      </c:ext>
    </c:extLst>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t>Layer 2</a:t>
            </a:r>
          </a:p>
        </c:rich>
      </c:tx>
      <c:layout>
        <c:manualLayout>
          <c:xMode val="edge"/>
          <c:yMode val="edge"/>
          <c:x val="0.42134090105274558"/>
          <c:y val="0"/>
        </c:manualLayout>
      </c:layout>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manualLayout>
          <c:layoutTarget val="inner"/>
          <c:xMode val="edge"/>
          <c:yMode val="edge"/>
          <c:x val="0.14453937007874015"/>
          <c:y val="0.14401214910463062"/>
          <c:w val="0.79450196850393695"/>
          <c:h val="0.65078740157480297"/>
        </c:manualLayout>
      </c:layout>
      <c:scatterChart>
        <c:scatterStyle val="lineMarker"/>
        <c:varyColors val="0"/>
        <c:ser>
          <c:idx val="0"/>
          <c:order val="0"/>
          <c:tx>
            <c:v>SQ, Q=1</c:v>
          </c:tx>
          <c:spPr>
            <a:ln w="19050" cap="rnd">
              <a:solidFill>
                <a:schemeClr val="accent1"/>
              </a:solidFill>
              <a:round/>
            </a:ln>
            <a:effectLst/>
          </c:spPr>
          <c:marker>
            <c:symbol val="circle"/>
            <c:size val="5"/>
            <c:spPr>
              <a:solidFill>
                <a:schemeClr val="accent1"/>
              </a:solidFill>
              <a:ln w="9525">
                <a:solidFill>
                  <a:schemeClr val="accent1"/>
                </a:solidFill>
              </a:ln>
              <a:effectLst/>
            </c:spPr>
          </c:marker>
          <c:xVal>
            <c:numRef>
              <c:f>SGCS_123!$D$2:$D$6</c:f>
              <c:numCache>
                <c:formatCode>General</c:formatCode>
                <c:ptCount val="5"/>
                <c:pt idx="0">
                  <c:v>32</c:v>
                </c:pt>
                <c:pt idx="1">
                  <c:v>64</c:v>
                </c:pt>
                <c:pt idx="2">
                  <c:v>96</c:v>
                </c:pt>
                <c:pt idx="3">
                  <c:v>128</c:v>
                </c:pt>
                <c:pt idx="4">
                  <c:v>192</c:v>
                </c:pt>
              </c:numCache>
            </c:numRef>
          </c:xVal>
          <c:yVal>
            <c:numRef>
              <c:f>SGCS_123!$H$2:$H$6</c:f>
              <c:numCache>
                <c:formatCode>General</c:formatCode>
                <c:ptCount val="5"/>
                <c:pt idx="0">
                  <c:v>0.43409999999999999</c:v>
                </c:pt>
                <c:pt idx="1">
                  <c:v>0.50409999999999999</c:v>
                </c:pt>
                <c:pt idx="2">
                  <c:v>0.54669999999999996</c:v>
                </c:pt>
                <c:pt idx="3">
                  <c:v>0.58099999999999996</c:v>
                </c:pt>
                <c:pt idx="4">
                  <c:v>0.6361</c:v>
                </c:pt>
              </c:numCache>
            </c:numRef>
          </c:yVal>
          <c:smooth val="0"/>
          <c:extLst>
            <c:ext xmlns:c16="http://schemas.microsoft.com/office/drawing/2014/chart" uri="{C3380CC4-5D6E-409C-BE32-E72D297353CC}">
              <c16:uniqueId val="{00000000-2BDF-453A-A33E-B5BEA2686A5C}"/>
            </c:ext>
          </c:extLst>
        </c:ser>
        <c:ser>
          <c:idx val="1"/>
          <c:order val="1"/>
          <c:tx>
            <c:v>SQ, Q=2</c:v>
          </c:tx>
          <c:spPr>
            <a:ln w="19050" cap="rnd">
              <a:solidFill>
                <a:schemeClr val="accent2"/>
              </a:solidFill>
              <a:round/>
            </a:ln>
            <a:effectLst/>
          </c:spPr>
          <c:marker>
            <c:symbol val="circle"/>
            <c:size val="5"/>
            <c:spPr>
              <a:solidFill>
                <a:schemeClr val="accent2"/>
              </a:solidFill>
              <a:ln w="9525">
                <a:solidFill>
                  <a:schemeClr val="accent2"/>
                </a:solidFill>
              </a:ln>
              <a:effectLst/>
            </c:spPr>
          </c:marker>
          <c:xVal>
            <c:numRef>
              <c:f>SGCS_123!$D$7:$D$11</c:f>
              <c:numCache>
                <c:formatCode>General</c:formatCode>
                <c:ptCount val="5"/>
                <c:pt idx="0">
                  <c:v>64</c:v>
                </c:pt>
                <c:pt idx="1">
                  <c:v>128</c:v>
                </c:pt>
                <c:pt idx="2">
                  <c:v>192</c:v>
                </c:pt>
                <c:pt idx="3">
                  <c:v>256</c:v>
                </c:pt>
                <c:pt idx="4">
                  <c:v>384</c:v>
                </c:pt>
              </c:numCache>
            </c:numRef>
          </c:xVal>
          <c:yVal>
            <c:numRef>
              <c:f>SGCS_123!$H$7:$H$11</c:f>
              <c:numCache>
                <c:formatCode>General</c:formatCode>
                <c:ptCount val="5"/>
                <c:pt idx="0">
                  <c:v>0.50019999999999998</c:v>
                </c:pt>
                <c:pt idx="1">
                  <c:v>0.57809999999999995</c:v>
                </c:pt>
                <c:pt idx="2">
                  <c:v>0.63080000000000003</c:v>
                </c:pt>
                <c:pt idx="3">
                  <c:v>0.67320000000000002</c:v>
                </c:pt>
                <c:pt idx="4">
                  <c:v>0.74129999999999996</c:v>
                </c:pt>
              </c:numCache>
            </c:numRef>
          </c:yVal>
          <c:smooth val="0"/>
          <c:extLst>
            <c:ext xmlns:c16="http://schemas.microsoft.com/office/drawing/2014/chart" uri="{C3380CC4-5D6E-409C-BE32-E72D297353CC}">
              <c16:uniqueId val="{00000001-2BDF-453A-A33E-B5BEA2686A5C}"/>
            </c:ext>
          </c:extLst>
        </c:ser>
        <c:ser>
          <c:idx val="2"/>
          <c:order val="2"/>
          <c:tx>
            <c:v>SQ, Q=3</c:v>
          </c:tx>
          <c:spPr>
            <a:ln w="19050" cap="rnd">
              <a:solidFill>
                <a:schemeClr val="accent3"/>
              </a:solidFill>
              <a:round/>
            </a:ln>
            <a:effectLst/>
          </c:spPr>
          <c:marker>
            <c:symbol val="circle"/>
            <c:size val="5"/>
            <c:spPr>
              <a:solidFill>
                <a:schemeClr val="accent3"/>
              </a:solidFill>
              <a:ln w="9525">
                <a:solidFill>
                  <a:schemeClr val="accent3"/>
                </a:solidFill>
              </a:ln>
              <a:effectLst/>
            </c:spPr>
          </c:marker>
          <c:xVal>
            <c:numRef>
              <c:f>SGCS_123!$D$12:$D$16</c:f>
              <c:numCache>
                <c:formatCode>General</c:formatCode>
                <c:ptCount val="5"/>
                <c:pt idx="0">
                  <c:v>96</c:v>
                </c:pt>
                <c:pt idx="1">
                  <c:v>192</c:v>
                </c:pt>
                <c:pt idx="2">
                  <c:v>288</c:v>
                </c:pt>
                <c:pt idx="3">
                  <c:v>384</c:v>
                </c:pt>
                <c:pt idx="4">
                  <c:v>576</c:v>
                </c:pt>
              </c:numCache>
            </c:numRef>
          </c:xVal>
          <c:yVal>
            <c:numRef>
              <c:f>SGCS_123!$H$12:$H$16</c:f>
              <c:numCache>
                <c:formatCode>General</c:formatCode>
                <c:ptCount val="5"/>
                <c:pt idx="0">
                  <c:v>0.53439999999999999</c:v>
                </c:pt>
                <c:pt idx="1">
                  <c:v>0.61480000000000001</c:v>
                </c:pt>
                <c:pt idx="2">
                  <c:v>0.66990000000000005</c:v>
                </c:pt>
                <c:pt idx="3">
                  <c:v>0.71460000000000001</c:v>
                </c:pt>
                <c:pt idx="4">
                  <c:v>0.78639999999999999</c:v>
                </c:pt>
              </c:numCache>
            </c:numRef>
          </c:yVal>
          <c:smooth val="0"/>
          <c:extLst>
            <c:ext xmlns:c16="http://schemas.microsoft.com/office/drawing/2014/chart" uri="{C3380CC4-5D6E-409C-BE32-E72D297353CC}">
              <c16:uniqueId val="{00000002-2BDF-453A-A33E-B5BEA2686A5C}"/>
            </c:ext>
          </c:extLst>
        </c:ser>
        <c:ser>
          <c:idx val="3"/>
          <c:order val="3"/>
          <c:tx>
            <c:v>SQ, Q=4</c:v>
          </c:tx>
          <c:spPr>
            <a:ln w="19050" cap="rnd">
              <a:solidFill>
                <a:schemeClr val="accent4"/>
              </a:solidFill>
              <a:round/>
            </a:ln>
            <a:effectLst/>
          </c:spPr>
          <c:marker>
            <c:symbol val="circle"/>
            <c:size val="5"/>
            <c:spPr>
              <a:solidFill>
                <a:schemeClr val="accent4"/>
              </a:solidFill>
              <a:ln w="9525">
                <a:solidFill>
                  <a:schemeClr val="accent4"/>
                </a:solidFill>
              </a:ln>
              <a:effectLst/>
            </c:spPr>
          </c:marker>
          <c:xVal>
            <c:numRef>
              <c:f>SGCS_123!$D$17:$D$21</c:f>
              <c:numCache>
                <c:formatCode>General</c:formatCode>
                <c:ptCount val="5"/>
                <c:pt idx="0">
                  <c:v>128</c:v>
                </c:pt>
                <c:pt idx="1">
                  <c:v>256</c:v>
                </c:pt>
                <c:pt idx="2">
                  <c:v>384</c:v>
                </c:pt>
                <c:pt idx="3">
                  <c:v>512</c:v>
                </c:pt>
                <c:pt idx="4">
                  <c:v>768</c:v>
                </c:pt>
              </c:numCache>
            </c:numRef>
          </c:xVal>
          <c:yVal>
            <c:numRef>
              <c:f>SGCS_123!$H$17:$H$21</c:f>
              <c:numCache>
                <c:formatCode>General</c:formatCode>
                <c:ptCount val="5"/>
                <c:pt idx="0">
                  <c:v>0.54500000000000004</c:v>
                </c:pt>
                <c:pt idx="1">
                  <c:v>0.62649999999999995</c:v>
                </c:pt>
                <c:pt idx="2">
                  <c:v>0.68189999999999995</c:v>
                </c:pt>
                <c:pt idx="3">
                  <c:v>0.72709999999999997</c:v>
                </c:pt>
                <c:pt idx="4">
                  <c:v>0.80020000000000002</c:v>
                </c:pt>
              </c:numCache>
            </c:numRef>
          </c:yVal>
          <c:smooth val="0"/>
          <c:extLst>
            <c:ext xmlns:c16="http://schemas.microsoft.com/office/drawing/2014/chart" uri="{C3380CC4-5D6E-409C-BE32-E72D297353CC}">
              <c16:uniqueId val="{00000003-2BDF-453A-A33E-B5BEA2686A5C}"/>
            </c:ext>
          </c:extLst>
        </c:ser>
        <c:dLbls>
          <c:showLegendKey val="0"/>
          <c:showVal val="0"/>
          <c:showCatName val="0"/>
          <c:showSerName val="0"/>
          <c:showPercent val="0"/>
          <c:showBubbleSize val="0"/>
        </c:dLbls>
        <c:axId val="1558735520"/>
        <c:axId val="1558734080"/>
      </c:scatterChart>
      <c:valAx>
        <c:axId val="1558735520"/>
        <c:scaling>
          <c:orientation val="minMax"/>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Payload size</a:t>
                </a:r>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400" b="0" i="0" u="none" strike="noStrike" kern="1200" baseline="0">
                <a:solidFill>
                  <a:schemeClr val="tx1">
                    <a:lumMod val="65000"/>
                    <a:lumOff val="35000"/>
                  </a:schemeClr>
                </a:solidFill>
                <a:latin typeface="+mn-lt"/>
                <a:ea typeface="+mn-ea"/>
                <a:cs typeface="+mn-cs"/>
              </a:defRPr>
            </a:pPr>
            <a:endParaRPr lang="en-US"/>
          </a:p>
        </c:txPr>
        <c:crossAx val="1558734080"/>
        <c:crosses val="autoZero"/>
        <c:crossBetween val="midCat"/>
        <c:majorUnit val="32"/>
      </c:valAx>
      <c:valAx>
        <c:axId val="1558734080"/>
        <c:scaling>
          <c:orientation val="minMax"/>
          <c:min val="0.4"/>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SGCS</a:t>
                </a:r>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700" b="0" i="0" u="none" strike="noStrike" kern="1200" baseline="0">
                <a:solidFill>
                  <a:schemeClr val="tx1">
                    <a:lumMod val="65000"/>
                    <a:lumOff val="35000"/>
                  </a:schemeClr>
                </a:solidFill>
                <a:latin typeface="+mn-lt"/>
                <a:ea typeface="+mn-ea"/>
                <a:cs typeface="+mn-cs"/>
              </a:defRPr>
            </a:pPr>
            <a:endParaRPr lang="en-US"/>
          </a:p>
        </c:txPr>
        <c:crossAx val="1558735520"/>
        <c:crosses val="autoZero"/>
        <c:crossBetween val="midCat"/>
      </c:valAx>
      <c:spPr>
        <a:noFill/>
        <a:ln>
          <a:noFill/>
        </a:ln>
        <a:effectLst/>
      </c:spPr>
    </c:plotArea>
    <c:legend>
      <c:legendPos val="r"/>
      <c:layout>
        <c:manualLayout>
          <c:xMode val="edge"/>
          <c:yMode val="edge"/>
          <c:x val="0.66604019758652022"/>
          <c:y val="0.42729039078448527"/>
          <c:w val="0.24784856438399747"/>
          <c:h val="0.31250218722659673"/>
        </c:manualLayout>
      </c:layou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extLst>
      <c:ext xmlns:c16r3="http://schemas.microsoft.com/office/drawing/2017/03/chart" uri="{56B9EC1D-385E-4148-901F-78D8002777C0}">
        <c16r3:dataDisplayOptions16>
          <c16r3:dispNaAsBlank val="1"/>
        </c16r3:dataDisplayOptions16>
      </c:ext>
    </c:extLst>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8.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t>Layer 3</a:t>
            </a:r>
          </a:p>
        </c:rich>
      </c:tx>
      <c:layout>
        <c:manualLayout>
          <c:xMode val="edge"/>
          <c:yMode val="edge"/>
          <c:x val="0.41193058568329716"/>
          <c:y val="0"/>
        </c:manualLayout>
      </c:layout>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manualLayout>
          <c:layoutTarget val="inner"/>
          <c:xMode val="edge"/>
          <c:yMode val="edge"/>
          <c:x val="0.14453937007874015"/>
          <c:y val="0.14402171691155427"/>
          <c:w val="0.79450196850393695"/>
          <c:h val="0.65077799854457441"/>
        </c:manualLayout>
      </c:layout>
      <c:scatterChart>
        <c:scatterStyle val="lineMarker"/>
        <c:varyColors val="0"/>
        <c:ser>
          <c:idx val="0"/>
          <c:order val="0"/>
          <c:tx>
            <c:v>SQ, Q=1</c:v>
          </c:tx>
          <c:spPr>
            <a:ln w="19050" cap="rnd">
              <a:solidFill>
                <a:schemeClr val="accent1"/>
              </a:solidFill>
              <a:round/>
            </a:ln>
            <a:effectLst/>
          </c:spPr>
          <c:marker>
            <c:symbol val="circle"/>
            <c:size val="5"/>
            <c:spPr>
              <a:solidFill>
                <a:schemeClr val="accent1"/>
              </a:solidFill>
              <a:ln w="9525">
                <a:solidFill>
                  <a:schemeClr val="accent1"/>
                </a:solidFill>
              </a:ln>
              <a:effectLst/>
            </c:spPr>
          </c:marker>
          <c:xVal>
            <c:numRef>
              <c:f>SGCS_123!$D$2:$D$6</c:f>
              <c:numCache>
                <c:formatCode>General</c:formatCode>
                <c:ptCount val="5"/>
                <c:pt idx="0">
                  <c:v>32</c:v>
                </c:pt>
                <c:pt idx="1">
                  <c:v>64</c:v>
                </c:pt>
                <c:pt idx="2">
                  <c:v>96</c:v>
                </c:pt>
                <c:pt idx="3">
                  <c:v>128</c:v>
                </c:pt>
                <c:pt idx="4">
                  <c:v>192</c:v>
                </c:pt>
              </c:numCache>
            </c:numRef>
          </c:xVal>
          <c:yVal>
            <c:numRef>
              <c:f>SGCS_123!$I$2:$I$6</c:f>
              <c:numCache>
                <c:formatCode>General</c:formatCode>
                <c:ptCount val="5"/>
                <c:pt idx="0">
                  <c:v>0.36049999999999999</c:v>
                </c:pt>
                <c:pt idx="1">
                  <c:v>0.4284</c:v>
                </c:pt>
                <c:pt idx="2">
                  <c:v>0.4708</c:v>
                </c:pt>
                <c:pt idx="3">
                  <c:v>0.505</c:v>
                </c:pt>
                <c:pt idx="4">
                  <c:v>0.56169999999999998</c:v>
                </c:pt>
              </c:numCache>
            </c:numRef>
          </c:yVal>
          <c:smooth val="0"/>
          <c:extLst>
            <c:ext xmlns:c16="http://schemas.microsoft.com/office/drawing/2014/chart" uri="{C3380CC4-5D6E-409C-BE32-E72D297353CC}">
              <c16:uniqueId val="{00000000-037E-490B-BDBA-5F05C2C4E296}"/>
            </c:ext>
          </c:extLst>
        </c:ser>
        <c:ser>
          <c:idx val="1"/>
          <c:order val="1"/>
          <c:tx>
            <c:v>SQ, Q=2</c:v>
          </c:tx>
          <c:spPr>
            <a:ln w="19050" cap="rnd">
              <a:solidFill>
                <a:schemeClr val="accent2"/>
              </a:solidFill>
              <a:round/>
            </a:ln>
            <a:effectLst/>
          </c:spPr>
          <c:marker>
            <c:symbol val="circle"/>
            <c:size val="5"/>
            <c:spPr>
              <a:solidFill>
                <a:schemeClr val="accent2"/>
              </a:solidFill>
              <a:ln w="9525">
                <a:solidFill>
                  <a:schemeClr val="accent2"/>
                </a:solidFill>
              </a:ln>
              <a:effectLst/>
            </c:spPr>
          </c:marker>
          <c:xVal>
            <c:numRef>
              <c:f>SGCS_123!$D$7:$D$11</c:f>
              <c:numCache>
                <c:formatCode>General</c:formatCode>
                <c:ptCount val="5"/>
                <c:pt idx="0">
                  <c:v>64</c:v>
                </c:pt>
                <c:pt idx="1">
                  <c:v>128</c:v>
                </c:pt>
                <c:pt idx="2">
                  <c:v>192</c:v>
                </c:pt>
                <c:pt idx="3">
                  <c:v>256</c:v>
                </c:pt>
                <c:pt idx="4">
                  <c:v>384</c:v>
                </c:pt>
              </c:numCache>
            </c:numRef>
          </c:xVal>
          <c:yVal>
            <c:numRef>
              <c:f>SGCS_123!$I$7:$I$11</c:f>
              <c:numCache>
                <c:formatCode>General</c:formatCode>
                <c:ptCount val="5"/>
                <c:pt idx="0">
                  <c:v>0.42949999999999999</c:v>
                </c:pt>
                <c:pt idx="1">
                  <c:v>0.50839999999999996</c:v>
                </c:pt>
                <c:pt idx="2">
                  <c:v>0.56189999999999996</c:v>
                </c:pt>
                <c:pt idx="3">
                  <c:v>0.60550000000000004</c:v>
                </c:pt>
                <c:pt idx="4">
                  <c:v>0.67789999999999995</c:v>
                </c:pt>
              </c:numCache>
            </c:numRef>
          </c:yVal>
          <c:smooth val="0"/>
          <c:extLst>
            <c:ext xmlns:c16="http://schemas.microsoft.com/office/drawing/2014/chart" uri="{C3380CC4-5D6E-409C-BE32-E72D297353CC}">
              <c16:uniqueId val="{00000001-037E-490B-BDBA-5F05C2C4E296}"/>
            </c:ext>
          </c:extLst>
        </c:ser>
        <c:ser>
          <c:idx val="2"/>
          <c:order val="2"/>
          <c:tx>
            <c:v>SQ, Q=3</c:v>
          </c:tx>
          <c:spPr>
            <a:ln w="19050" cap="rnd">
              <a:solidFill>
                <a:schemeClr val="accent3"/>
              </a:solidFill>
              <a:round/>
            </a:ln>
            <a:effectLst/>
          </c:spPr>
          <c:marker>
            <c:symbol val="circle"/>
            <c:size val="5"/>
            <c:spPr>
              <a:solidFill>
                <a:schemeClr val="accent3"/>
              </a:solidFill>
              <a:ln w="9525">
                <a:solidFill>
                  <a:schemeClr val="accent3"/>
                </a:solidFill>
              </a:ln>
              <a:effectLst/>
            </c:spPr>
          </c:marker>
          <c:xVal>
            <c:numRef>
              <c:f>SGCS_123!$D$12:$D$16</c:f>
              <c:numCache>
                <c:formatCode>General</c:formatCode>
                <c:ptCount val="5"/>
                <c:pt idx="0">
                  <c:v>96</c:v>
                </c:pt>
                <c:pt idx="1">
                  <c:v>192</c:v>
                </c:pt>
                <c:pt idx="2">
                  <c:v>288</c:v>
                </c:pt>
                <c:pt idx="3">
                  <c:v>384</c:v>
                </c:pt>
                <c:pt idx="4">
                  <c:v>576</c:v>
                </c:pt>
              </c:numCache>
            </c:numRef>
          </c:xVal>
          <c:yVal>
            <c:numRef>
              <c:f>SGCS_123!$I$12:$I$16</c:f>
              <c:numCache>
                <c:formatCode>General</c:formatCode>
                <c:ptCount val="5"/>
                <c:pt idx="0">
                  <c:v>0.46329999999999999</c:v>
                </c:pt>
                <c:pt idx="1">
                  <c:v>0.54520000000000002</c:v>
                </c:pt>
                <c:pt idx="2">
                  <c:v>0.60099999999999998</c:v>
                </c:pt>
                <c:pt idx="3">
                  <c:v>0.64710000000000001</c:v>
                </c:pt>
                <c:pt idx="4">
                  <c:v>0.72430000000000005</c:v>
                </c:pt>
              </c:numCache>
            </c:numRef>
          </c:yVal>
          <c:smooth val="0"/>
          <c:extLst>
            <c:ext xmlns:c16="http://schemas.microsoft.com/office/drawing/2014/chart" uri="{C3380CC4-5D6E-409C-BE32-E72D297353CC}">
              <c16:uniqueId val="{00000002-037E-490B-BDBA-5F05C2C4E296}"/>
            </c:ext>
          </c:extLst>
        </c:ser>
        <c:ser>
          <c:idx val="3"/>
          <c:order val="3"/>
          <c:tx>
            <c:v>SQ, Q=4</c:v>
          </c:tx>
          <c:spPr>
            <a:ln w="19050" cap="rnd">
              <a:solidFill>
                <a:schemeClr val="accent4"/>
              </a:solidFill>
              <a:round/>
            </a:ln>
            <a:effectLst/>
          </c:spPr>
          <c:marker>
            <c:symbol val="circle"/>
            <c:size val="5"/>
            <c:spPr>
              <a:solidFill>
                <a:schemeClr val="accent4"/>
              </a:solidFill>
              <a:ln w="9525">
                <a:solidFill>
                  <a:schemeClr val="accent4"/>
                </a:solidFill>
              </a:ln>
              <a:effectLst/>
            </c:spPr>
          </c:marker>
          <c:xVal>
            <c:numRef>
              <c:f>SGCS_123!$D$17:$D$21</c:f>
              <c:numCache>
                <c:formatCode>General</c:formatCode>
                <c:ptCount val="5"/>
                <c:pt idx="0">
                  <c:v>128</c:v>
                </c:pt>
                <c:pt idx="1">
                  <c:v>256</c:v>
                </c:pt>
                <c:pt idx="2">
                  <c:v>384</c:v>
                </c:pt>
                <c:pt idx="3">
                  <c:v>512</c:v>
                </c:pt>
                <c:pt idx="4">
                  <c:v>768</c:v>
                </c:pt>
              </c:numCache>
            </c:numRef>
          </c:xVal>
          <c:yVal>
            <c:numRef>
              <c:f>SGCS_123!$I$17:$I$21</c:f>
              <c:numCache>
                <c:formatCode>General</c:formatCode>
                <c:ptCount val="5"/>
                <c:pt idx="0">
                  <c:v>0.47720000000000001</c:v>
                </c:pt>
                <c:pt idx="1">
                  <c:v>0.55730000000000002</c:v>
                </c:pt>
                <c:pt idx="2">
                  <c:v>0.61350000000000005</c:v>
                </c:pt>
                <c:pt idx="3">
                  <c:v>0.66039999999999999</c:v>
                </c:pt>
                <c:pt idx="4">
                  <c:v>0.73870000000000002</c:v>
                </c:pt>
              </c:numCache>
            </c:numRef>
          </c:yVal>
          <c:smooth val="0"/>
          <c:extLst>
            <c:ext xmlns:c16="http://schemas.microsoft.com/office/drawing/2014/chart" uri="{C3380CC4-5D6E-409C-BE32-E72D297353CC}">
              <c16:uniqueId val="{00000003-037E-490B-BDBA-5F05C2C4E296}"/>
            </c:ext>
          </c:extLst>
        </c:ser>
        <c:dLbls>
          <c:showLegendKey val="0"/>
          <c:showVal val="0"/>
          <c:showCatName val="0"/>
          <c:showSerName val="0"/>
          <c:showPercent val="0"/>
          <c:showBubbleSize val="0"/>
        </c:dLbls>
        <c:axId val="72921408"/>
        <c:axId val="72921888"/>
      </c:scatterChart>
      <c:valAx>
        <c:axId val="72921408"/>
        <c:scaling>
          <c:orientation val="minMax"/>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Payload size</a:t>
                </a:r>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400" b="0" i="0" u="none" strike="noStrike" kern="1200" baseline="0">
                <a:solidFill>
                  <a:schemeClr val="tx1">
                    <a:lumMod val="65000"/>
                    <a:lumOff val="35000"/>
                  </a:schemeClr>
                </a:solidFill>
                <a:latin typeface="+mn-lt"/>
                <a:ea typeface="+mn-ea"/>
                <a:cs typeface="+mn-cs"/>
              </a:defRPr>
            </a:pPr>
            <a:endParaRPr lang="en-US"/>
          </a:p>
        </c:txPr>
        <c:crossAx val="72921888"/>
        <c:crosses val="autoZero"/>
        <c:crossBetween val="midCat"/>
        <c:majorUnit val="32"/>
      </c:valAx>
      <c:valAx>
        <c:axId val="72921888"/>
        <c:scaling>
          <c:orientation val="minMax"/>
          <c:min val="0.30000000000000004"/>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SGCS</a:t>
                </a:r>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700" b="0" i="0" u="none" strike="noStrike" kern="1200" baseline="0">
                <a:solidFill>
                  <a:schemeClr val="tx1">
                    <a:lumMod val="65000"/>
                    <a:lumOff val="35000"/>
                  </a:schemeClr>
                </a:solidFill>
                <a:latin typeface="+mn-lt"/>
                <a:ea typeface="+mn-ea"/>
                <a:cs typeface="+mn-cs"/>
              </a:defRPr>
            </a:pPr>
            <a:endParaRPr lang="en-US"/>
          </a:p>
        </c:txPr>
        <c:crossAx val="72921408"/>
        <c:crosses val="autoZero"/>
        <c:crossBetween val="midCat"/>
      </c:valAx>
      <c:spPr>
        <a:noFill/>
        <a:ln>
          <a:noFill/>
        </a:ln>
        <a:effectLst/>
      </c:spPr>
    </c:plotArea>
    <c:legend>
      <c:legendPos val="r"/>
      <c:layout>
        <c:manualLayout>
          <c:xMode val="edge"/>
          <c:yMode val="edge"/>
          <c:x val="0.61736929304661214"/>
          <c:y val="0.36160836452820444"/>
          <c:w val="0.26596409722103609"/>
          <c:h val="0.33923915248298875"/>
        </c:manualLayout>
      </c:layou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extLst>
      <c:ext xmlns:c16r3="http://schemas.microsoft.com/office/drawing/2017/03/chart" uri="{56B9EC1D-385E-4148-901F-78D8002777C0}">
        <c16r3:dataDisplayOptions16>
          <c16r3:dispNaAsBlank val="1"/>
        </c16r3:dataDisplayOptions16>
      </c:ext>
    </c:extLst>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9.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t>Layer 0</a:t>
            </a:r>
          </a:p>
        </c:rich>
      </c:tx>
      <c:layout>
        <c:manualLayout>
          <c:xMode val="edge"/>
          <c:yMode val="edge"/>
          <c:x val="0.41129543644274091"/>
          <c:y val="2.3474178403755867E-2"/>
        </c:manualLayout>
      </c:layout>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manualLayout>
          <c:layoutTarget val="inner"/>
          <c:xMode val="edge"/>
          <c:yMode val="edge"/>
          <c:x val="0.14453937007874015"/>
          <c:y val="0.17171296296296296"/>
          <c:w val="0.80539063867016625"/>
          <c:h val="0.62308654126567509"/>
        </c:manualLayout>
      </c:layout>
      <c:scatterChart>
        <c:scatterStyle val="lineMarker"/>
        <c:varyColors val="0"/>
        <c:ser>
          <c:idx val="0"/>
          <c:order val="0"/>
          <c:tx>
            <c:v>SQ, Q=2</c:v>
          </c:tx>
          <c:spPr>
            <a:ln w="19050" cap="rnd">
              <a:solidFill>
                <a:schemeClr val="accent1"/>
              </a:solidFill>
              <a:round/>
            </a:ln>
            <a:effectLst/>
          </c:spPr>
          <c:marker>
            <c:symbol val="circle"/>
            <c:size val="5"/>
            <c:spPr>
              <a:solidFill>
                <a:schemeClr val="accent1"/>
              </a:solidFill>
              <a:ln w="9525">
                <a:solidFill>
                  <a:schemeClr val="accent1"/>
                </a:solidFill>
              </a:ln>
              <a:effectLst/>
            </c:spPr>
          </c:marker>
          <c:xVal>
            <c:numRef>
              <c:f>SGCS_123!$D$7:$D$11</c:f>
              <c:numCache>
                <c:formatCode>General</c:formatCode>
                <c:ptCount val="5"/>
                <c:pt idx="0">
                  <c:v>64</c:v>
                </c:pt>
                <c:pt idx="1">
                  <c:v>128</c:v>
                </c:pt>
                <c:pt idx="2">
                  <c:v>192</c:v>
                </c:pt>
                <c:pt idx="3">
                  <c:v>256</c:v>
                </c:pt>
                <c:pt idx="4">
                  <c:v>384</c:v>
                </c:pt>
              </c:numCache>
            </c:numRef>
          </c:xVal>
          <c:yVal>
            <c:numRef>
              <c:f>SGCS_123!$F$7:$F$11</c:f>
              <c:numCache>
                <c:formatCode>General</c:formatCode>
                <c:ptCount val="5"/>
                <c:pt idx="0">
                  <c:v>0.72270000000000001</c:v>
                </c:pt>
                <c:pt idx="1">
                  <c:v>0.78580000000000005</c:v>
                </c:pt>
                <c:pt idx="2">
                  <c:v>0.82320000000000004</c:v>
                </c:pt>
                <c:pt idx="3">
                  <c:v>0.85</c:v>
                </c:pt>
                <c:pt idx="4">
                  <c:v>0.88670000000000004</c:v>
                </c:pt>
              </c:numCache>
            </c:numRef>
          </c:yVal>
          <c:smooth val="0"/>
          <c:extLst>
            <c:ext xmlns:c16="http://schemas.microsoft.com/office/drawing/2014/chart" uri="{C3380CC4-5D6E-409C-BE32-E72D297353CC}">
              <c16:uniqueId val="{00000000-8EDC-497F-9910-2810546F25BB}"/>
            </c:ext>
          </c:extLst>
        </c:ser>
        <c:ser>
          <c:idx val="1"/>
          <c:order val="1"/>
          <c:tx>
            <c:v>VQ, L=2, Q=4</c:v>
          </c:tx>
          <c:spPr>
            <a:ln w="19050" cap="rnd">
              <a:solidFill>
                <a:schemeClr val="accent2"/>
              </a:solidFill>
              <a:round/>
            </a:ln>
            <a:effectLst/>
          </c:spPr>
          <c:marker>
            <c:symbol val="circle"/>
            <c:size val="5"/>
            <c:spPr>
              <a:solidFill>
                <a:schemeClr val="accent2"/>
              </a:solidFill>
              <a:ln w="9525">
                <a:solidFill>
                  <a:schemeClr val="accent2"/>
                </a:solidFill>
              </a:ln>
              <a:effectLst/>
            </c:spPr>
          </c:marker>
          <c:xVal>
            <c:numRef>
              <c:f>SGCS_123!$D$27:$D$31</c:f>
              <c:numCache>
                <c:formatCode>General</c:formatCode>
                <c:ptCount val="5"/>
                <c:pt idx="0">
                  <c:v>64</c:v>
                </c:pt>
                <c:pt idx="1">
                  <c:v>128</c:v>
                </c:pt>
                <c:pt idx="2">
                  <c:v>192</c:v>
                </c:pt>
                <c:pt idx="3">
                  <c:v>256</c:v>
                </c:pt>
                <c:pt idx="4">
                  <c:v>384</c:v>
                </c:pt>
              </c:numCache>
            </c:numRef>
          </c:xVal>
          <c:yVal>
            <c:numRef>
              <c:f>SGCS_123!$F$27:$F$31</c:f>
              <c:numCache>
                <c:formatCode>General</c:formatCode>
                <c:ptCount val="5"/>
                <c:pt idx="0">
                  <c:v>0.72899999999999998</c:v>
                </c:pt>
                <c:pt idx="1">
                  <c:v>0.79669999999999996</c:v>
                </c:pt>
                <c:pt idx="2">
                  <c:v>0.83389999999999997</c:v>
                </c:pt>
                <c:pt idx="3">
                  <c:v>0.86040000000000005</c:v>
                </c:pt>
                <c:pt idx="4">
                  <c:v>0.8901</c:v>
                </c:pt>
              </c:numCache>
            </c:numRef>
          </c:yVal>
          <c:smooth val="0"/>
          <c:extLst>
            <c:ext xmlns:c16="http://schemas.microsoft.com/office/drawing/2014/chart" uri="{C3380CC4-5D6E-409C-BE32-E72D297353CC}">
              <c16:uniqueId val="{00000001-8EDC-497F-9910-2810546F25BB}"/>
            </c:ext>
          </c:extLst>
        </c:ser>
        <c:dLbls>
          <c:showLegendKey val="0"/>
          <c:showVal val="0"/>
          <c:showCatName val="0"/>
          <c:showSerName val="0"/>
          <c:showPercent val="0"/>
          <c:showBubbleSize val="0"/>
        </c:dLbls>
        <c:axId val="63598064"/>
        <c:axId val="63592784"/>
      </c:scatterChart>
      <c:valAx>
        <c:axId val="63598064"/>
        <c:scaling>
          <c:orientation val="minMax"/>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Payload size</a:t>
                </a:r>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700" b="0" i="0" u="none" strike="noStrike" kern="1200" baseline="0">
                <a:solidFill>
                  <a:schemeClr val="tx1">
                    <a:lumMod val="65000"/>
                    <a:lumOff val="35000"/>
                  </a:schemeClr>
                </a:solidFill>
                <a:latin typeface="+mn-lt"/>
                <a:ea typeface="+mn-ea"/>
                <a:cs typeface="+mn-cs"/>
              </a:defRPr>
            </a:pPr>
            <a:endParaRPr lang="en-US"/>
          </a:p>
        </c:txPr>
        <c:crossAx val="63592784"/>
        <c:crosses val="autoZero"/>
        <c:crossBetween val="midCat"/>
        <c:majorUnit val="32"/>
      </c:valAx>
      <c:valAx>
        <c:axId val="63592784"/>
        <c:scaling>
          <c:orientation val="minMax"/>
          <c:min val="0.70000000000000007"/>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SGCS</a:t>
                </a:r>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700" b="0" i="0" u="none" strike="noStrike" kern="1200" baseline="0">
                <a:solidFill>
                  <a:schemeClr val="tx1">
                    <a:lumMod val="65000"/>
                    <a:lumOff val="35000"/>
                  </a:schemeClr>
                </a:solidFill>
                <a:latin typeface="+mn-lt"/>
                <a:ea typeface="+mn-ea"/>
                <a:cs typeface="+mn-cs"/>
              </a:defRPr>
            </a:pPr>
            <a:endParaRPr lang="en-US"/>
          </a:p>
        </c:txPr>
        <c:crossAx val="63598064"/>
        <c:crosses val="autoZero"/>
        <c:crossBetween val="midCat"/>
      </c:valAx>
      <c:spPr>
        <a:noFill/>
        <a:ln>
          <a:noFill/>
        </a:ln>
        <a:effectLst/>
      </c:spPr>
    </c:plotArea>
    <c:legend>
      <c:legendPos val="r"/>
      <c:layout>
        <c:manualLayout>
          <c:xMode val="edge"/>
          <c:yMode val="edge"/>
          <c:x val="0.56541075800089113"/>
          <c:y val="0.53559606069649457"/>
          <c:w val="0.37084016453372648"/>
          <c:h val="0.19679438029429996"/>
        </c:manualLayout>
      </c:layou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extLst>
      <c:ext xmlns:c16r3="http://schemas.microsoft.com/office/drawing/2017/03/chart" uri="{56B9EC1D-385E-4148-901F-78D8002777C0}">
        <c16r3:dataDisplayOptions16>
          <c16r3:dispNaAsBlank val="1"/>
        </c16r3:dataDisplayOptions16>
      </c:ext>
    </c:extLst>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olors1.xml><?xml version="1.0" encoding="utf-8"?>
<cs:colorStyle xmlns:cs="http://schemas.microsoft.com/office/drawing/2012/chartStyle" xmlns:a="http://schemas.openxmlformats.org/drawingml/2006/main" meth="cycle" id="12">
  <a:schemeClr val="accent2"/>
  <a:schemeClr val="accent4"/>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0.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5.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6.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7.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8.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2">
  <a:schemeClr val="accent2"/>
  <a:schemeClr val="accent4"/>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2">
  <a:schemeClr val="accent2"/>
  <a:schemeClr val="accent4"/>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2">
  <a:schemeClr val="accent2"/>
  <a:schemeClr val="accent4"/>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5.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6.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7.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8.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9.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10.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11.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12.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13.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14.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15.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16.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17.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18.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4.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5.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6.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7.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8.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9.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drawings/drawing1.xml><?xml version="1.0" encoding="utf-8"?>
<c:userShapes xmlns:c="http://schemas.openxmlformats.org/drawingml/2006/chart">
  <cdr:relSizeAnchor xmlns:cdr="http://schemas.openxmlformats.org/drawingml/2006/chartDrawing">
    <cdr:from>
      <cdr:x>0.16597</cdr:x>
      <cdr:y>0.65046</cdr:y>
    </cdr:from>
    <cdr:to>
      <cdr:x>0.27083</cdr:x>
      <cdr:y>0.73843</cdr:y>
    </cdr:to>
    <cdr:sp macro="" textlink="">
      <cdr:nvSpPr>
        <cdr:cNvPr id="2" name="TextBox 1">
          <a:extLst xmlns:a="http://schemas.openxmlformats.org/drawingml/2006/main">
            <a:ext uri="{FF2B5EF4-FFF2-40B4-BE49-F238E27FC236}">
              <a16:creationId xmlns:a16="http://schemas.microsoft.com/office/drawing/2014/main" id="{08E7E79C-1EE6-CA01-1026-0CDBF64857D8}"/>
            </a:ext>
          </a:extLst>
        </cdr:cNvPr>
        <cdr:cNvSpPr txBox="1"/>
      </cdr:nvSpPr>
      <cdr:spPr>
        <a:xfrm xmlns:a="http://schemas.openxmlformats.org/drawingml/2006/main">
          <a:off x="758824" y="1784350"/>
          <a:ext cx="479425" cy="241300"/>
        </a:xfrm>
        <a:prstGeom xmlns:a="http://schemas.openxmlformats.org/drawingml/2006/main" prst="rect">
          <a:avLst/>
        </a:prstGeom>
      </cdr:spPr>
      <cdr:txBody>
        <a:bodyPr xmlns:a="http://schemas.openxmlformats.org/drawingml/2006/main" wrap="square" rtlCol="0" anchor="ctr"/>
        <a:lstStyle xmlns:a="http://schemas.openxmlformats.org/drawingml/2006/main">
          <a:lvl1pPr marL="0" indent="0">
            <a:defRPr sz="1100">
              <a:latin typeface="+mn-lt"/>
              <a:ea typeface="+mn-ea"/>
              <a:cs typeface="+mn-cs"/>
            </a:defRPr>
          </a:lvl1pPr>
          <a:lvl2pPr marL="457200" indent="0">
            <a:defRPr sz="1100">
              <a:latin typeface="+mn-lt"/>
              <a:ea typeface="+mn-ea"/>
              <a:cs typeface="+mn-cs"/>
            </a:defRPr>
          </a:lvl2pPr>
          <a:lvl3pPr marL="914400" indent="0">
            <a:defRPr sz="1100">
              <a:latin typeface="+mn-lt"/>
              <a:ea typeface="+mn-ea"/>
              <a:cs typeface="+mn-cs"/>
            </a:defRPr>
          </a:lvl3pPr>
          <a:lvl4pPr marL="1371600" indent="0">
            <a:defRPr sz="1100">
              <a:latin typeface="+mn-lt"/>
              <a:ea typeface="+mn-ea"/>
              <a:cs typeface="+mn-cs"/>
            </a:defRPr>
          </a:lvl4pPr>
          <a:lvl5pPr marL="1828800" indent="0">
            <a:defRPr sz="1100">
              <a:latin typeface="+mn-lt"/>
              <a:ea typeface="+mn-ea"/>
              <a:cs typeface="+mn-cs"/>
            </a:defRPr>
          </a:lvl5pPr>
          <a:lvl6pPr marL="2286000" indent="0">
            <a:defRPr sz="1100">
              <a:latin typeface="+mn-lt"/>
              <a:ea typeface="+mn-ea"/>
              <a:cs typeface="+mn-cs"/>
            </a:defRPr>
          </a:lvl6pPr>
          <a:lvl7pPr marL="2743200" indent="0">
            <a:defRPr sz="1100">
              <a:latin typeface="+mn-lt"/>
              <a:ea typeface="+mn-ea"/>
              <a:cs typeface="+mn-cs"/>
            </a:defRPr>
          </a:lvl7pPr>
          <a:lvl8pPr marL="3200400" indent="0">
            <a:defRPr sz="1100">
              <a:latin typeface="+mn-lt"/>
              <a:ea typeface="+mn-ea"/>
              <a:cs typeface="+mn-cs"/>
            </a:defRPr>
          </a:lvl8pPr>
          <a:lvl9pPr marL="3657600" indent="0">
            <a:defRPr sz="1100">
              <a:latin typeface="+mn-lt"/>
              <a:ea typeface="+mn-ea"/>
              <a:cs typeface="+mn-cs"/>
            </a:defRPr>
          </a:lvl9pPr>
        </a:lstStyle>
        <a:p xmlns:a="http://schemas.openxmlformats.org/drawingml/2006/main">
          <a:pPr algn="ctr"/>
          <a:r>
            <a:rPr lang="en-US" sz="800" kern="1200">
              <a:solidFill>
                <a:srgbClr val="FF0000"/>
              </a:solidFill>
            </a:rPr>
            <a:t>3x PC1</a:t>
          </a:r>
        </a:p>
      </cdr:txBody>
    </cdr:sp>
  </cdr:relSizeAnchor>
  <cdr:relSizeAnchor xmlns:cdr="http://schemas.openxmlformats.org/drawingml/2006/chartDrawing">
    <cdr:from>
      <cdr:x>0.27778</cdr:x>
      <cdr:y>0.64815</cdr:y>
    </cdr:from>
    <cdr:to>
      <cdr:x>0.38264</cdr:x>
      <cdr:y>0.73611</cdr:y>
    </cdr:to>
    <cdr:sp macro="" textlink="">
      <cdr:nvSpPr>
        <cdr:cNvPr id="3" name="TextBox 1">
          <a:extLst xmlns:a="http://schemas.openxmlformats.org/drawingml/2006/main">
            <a:ext uri="{FF2B5EF4-FFF2-40B4-BE49-F238E27FC236}">
              <a16:creationId xmlns:a16="http://schemas.microsoft.com/office/drawing/2014/main" id="{4D46C1F0-EA4D-F2F0-0020-6D1CAA07C0D1}"/>
            </a:ext>
          </a:extLst>
        </cdr:cNvPr>
        <cdr:cNvSpPr txBox="1"/>
      </cdr:nvSpPr>
      <cdr:spPr>
        <a:xfrm xmlns:a="http://schemas.openxmlformats.org/drawingml/2006/main">
          <a:off x="1270000" y="1778000"/>
          <a:ext cx="479425" cy="241300"/>
        </a:xfrm>
        <a:prstGeom xmlns:a="http://schemas.openxmlformats.org/drawingml/2006/main" prst="rect">
          <a:avLst/>
        </a:prstGeom>
      </cdr:spPr>
      <cdr:txBody>
        <a:bodyPr xmlns:a="http://schemas.openxmlformats.org/drawingml/2006/main" wrap="square" rtlCol="0" anchor="ctr"/>
        <a:lstStyle xmlns:a="http://schemas.openxmlformats.org/drawingml/2006/main">
          <a:lvl1pPr marL="0" indent="0">
            <a:defRPr sz="1100">
              <a:latin typeface="+mn-lt"/>
              <a:ea typeface="+mn-ea"/>
              <a:cs typeface="+mn-cs"/>
            </a:defRPr>
          </a:lvl1pPr>
          <a:lvl2pPr marL="457200" indent="0">
            <a:defRPr sz="1100">
              <a:latin typeface="+mn-lt"/>
              <a:ea typeface="+mn-ea"/>
              <a:cs typeface="+mn-cs"/>
            </a:defRPr>
          </a:lvl2pPr>
          <a:lvl3pPr marL="914400" indent="0">
            <a:defRPr sz="1100">
              <a:latin typeface="+mn-lt"/>
              <a:ea typeface="+mn-ea"/>
              <a:cs typeface="+mn-cs"/>
            </a:defRPr>
          </a:lvl3pPr>
          <a:lvl4pPr marL="1371600" indent="0">
            <a:defRPr sz="1100">
              <a:latin typeface="+mn-lt"/>
              <a:ea typeface="+mn-ea"/>
              <a:cs typeface="+mn-cs"/>
            </a:defRPr>
          </a:lvl4pPr>
          <a:lvl5pPr marL="1828800" indent="0">
            <a:defRPr sz="1100">
              <a:latin typeface="+mn-lt"/>
              <a:ea typeface="+mn-ea"/>
              <a:cs typeface="+mn-cs"/>
            </a:defRPr>
          </a:lvl5pPr>
          <a:lvl6pPr marL="2286000" indent="0">
            <a:defRPr sz="1100">
              <a:latin typeface="+mn-lt"/>
              <a:ea typeface="+mn-ea"/>
              <a:cs typeface="+mn-cs"/>
            </a:defRPr>
          </a:lvl6pPr>
          <a:lvl7pPr marL="2743200" indent="0">
            <a:defRPr sz="1100">
              <a:latin typeface="+mn-lt"/>
              <a:ea typeface="+mn-ea"/>
              <a:cs typeface="+mn-cs"/>
            </a:defRPr>
          </a:lvl7pPr>
          <a:lvl8pPr marL="3200400" indent="0">
            <a:defRPr sz="1100">
              <a:latin typeface="+mn-lt"/>
              <a:ea typeface="+mn-ea"/>
              <a:cs typeface="+mn-cs"/>
            </a:defRPr>
          </a:lvl8pPr>
          <a:lvl9pPr marL="3657600" indent="0">
            <a:defRPr sz="1100">
              <a:latin typeface="+mn-lt"/>
              <a:ea typeface="+mn-ea"/>
              <a:cs typeface="+mn-cs"/>
            </a:defRPr>
          </a:lvl9pPr>
        </a:lstStyle>
        <a:p xmlns:a="http://schemas.openxmlformats.org/drawingml/2006/main">
          <a:pPr algn="ctr"/>
          <a:r>
            <a:rPr lang="en-US" sz="800" kern="1200">
              <a:solidFill>
                <a:srgbClr val="FF0000"/>
              </a:solidFill>
            </a:rPr>
            <a:t>2x PC2</a:t>
          </a:r>
        </a:p>
      </cdr:txBody>
    </cdr:sp>
  </cdr:relSizeAnchor>
  <cdr:relSizeAnchor xmlns:cdr="http://schemas.openxmlformats.org/drawingml/2006/chartDrawing">
    <cdr:from>
      <cdr:x>0.41181</cdr:x>
      <cdr:y>0.49074</cdr:y>
    </cdr:from>
    <cdr:to>
      <cdr:x>0.56597</cdr:x>
      <cdr:y>0.59259</cdr:y>
    </cdr:to>
    <cdr:sp macro="" textlink="">
      <cdr:nvSpPr>
        <cdr:cNvPr id="5" name="TextBox 1">
          <a:extLst xmlns:a="http://schemas.openxmlformats.org/drawingml/2006/main">
            <a:ext uri="{FF2B5EF4-FFF2-40B4-BE49-F238E27FC236}">
              <a16:creationId xmlns:a16="http://schemas.microsoft.com/office/drawing/2014/main" id="{0B915E62-3ACE-B2A6-96BF-0461093D4AF1}"/>
            </a:ext>
          </a:extLst>
        </cdr:cNvPr>
        <cdr:cNvSpPr txBox="1"/>
      </cdr:nvSpPr>
      <cdr:spPr>
        <a:xfrm xmlns:a="http://schemas.openxmlformats.org/drawingml/2006/main">
          <a:off x="1882776" y="1346200"/>
          <a:ext cx="704850" cy="279400"/>
        </a:xfrm>
        <a:prstGeom xmlns:a="http://schemas.openxmlformats.org/drawingml/2006/main" prst="rect">
          <a:avLst/>
        </a:prstGeom>
      </cdr:spPr>
      <cdr:txBody>
        <a:bodyPr xmlns:a="http://schemas.openxmlformats.org/drawingml/2006/main" wrap="square" rtlCol="0" anchor="ctr"/>
        <a:lstStyle xmlns:a="http://schemas.openxmlformats.org/drawingml/2006/main">
          <a:lvl1pPr marL="0" indent="0">
            <a:defRPr sz="1100">
              <a:latin typeface="+mn-lt"/>
              <a:ea typeface="+mn-ea"/>
              <a:cs typeface="+mn-cs"/>
            </a:defRPr>
          </a:lvl1pPr>
          <a:lvl2pPr marL="457200" indent="0">
            <a:defRPr sz="1100">
              <a:latin typeface="+mn-lt"/>
              <a:ea typeface="+mn-ea"/>
              <a:cs typeface="+mn-cs"/>
            </a:defRPr>
          </a:lvl2pPr>
          <a:lvl3pPr marL="914400" indent="0">
            <a:defRPr sz="1100">
              <a:latin typeface="+mn-lt"/>
              <a:ea typeface="+mn-ea"/>
              <a:cs typeface="+mn-cs"/>
            </a:defRPr>
          </a:lvl3pPr>
          <a:lvl4pPr marL="1371600" indent="0">
            <a:defRPr sz="1100">
              <a:latin typeface="+mn-lt"/>
              <a:ea typeface="+mn-ea"/>
              <a:cs typeface="+mn-cs"/>
            </a:defRPr>
          </a:lvl4pPr>
          <a:lvl5pPr marL="1828800" indent="0">
            <a:defRPr sz="1100">
              <a:latin typeface="+mn-lt"/>
              <a:ea typeface="+mn-ea"/>
              <a:cs typeface="+mn-cs"/>
            </a:defRPr>
          </a:lvl5pPr>
          <a:lvl6pPr marL="2286000" indent="0">
            <a:defRPr sz="1100">
              <a:latin typeface="+mn-lt"/>
              <a:ea typeface="+mn-ea"/>
              <a:cs typeface="+mn-cs"/>
            </a:defRPr>
          </a:lvl6pPr>
          <a:lvl7pPr marL="2743200" indent="0">
            <a:defRPr sz="1100">
              <a:latin typeface="+mn-lt"/>
              <a:ea typeface="+mn-ea"/>
              <a:cs typeface="+mn-cs"/>
            </a:defRPr>
          </a:lvl7pPr>
          <a:lvl8pPr marL="3200400" indent="0">
            <a:defRPr sz="1100">
              <a:latin typeface="+mn-lt"/>
              <a:ea typeface="+mn-ea"/>
              <a:cs typeface="+mn-cs"/>
            </a:defRPr>
          </a:lvl8pPr>
          <a:lvl9pPr marL="3657600" indent="0">
            <a:defRPr sz="1100">
              <a:latin typeface="+mn-lt"/>
              <a:ea typeface="+mn-ea"/>
              <a:cs typeface="+mn-cs"/>
            </a:defRPr>
          </a:lvl9pPr>
        </a:lstStyle>
        <a:p xmlns:a="http://schemas.openxmlformats.org/drawingml/2006/main">
          <a:pPr algn="ctr"/>
          <a:r>
            <a:rPr lang="en-US" sz="800" kern="1200">
              <a:solidFill>
                <a:srgbClr val="FF0000"/>
              </a:solidFill>
            </a:rPr>
            <a:t>2x and 2.33x PC3</a:t>
          </a:r>
        </a:p>
      </cdr:txBody>
    </cdr:sp>
  </cdr:relSizeAnchor>
  <cdr:relSizeAnchor xmlns:cdr="http://schemas.openxmlformats.org/drawingml/2006/chartDrawing">
    <cdr:from>
      <cdr:x>0.27431</cdr:x>
      <cdr:y>0.5</cdr:y>
    </cdr:from>
    <cdr:to>
      <cdr:x>0.31042</cdr:x>
      <cdr:y>0.67824</cdr:y>
    </cdr:to>
    <cdr:sp macro="" textlink="">
      <cdr:nvSpPr>
        <cdr:cNvPr id="6" name="Oval 5">
          <a:extLst xmlns:a="http://schemas.openxmlformats.org/drawingml/2006/main">
            <a:ext uri="{FF2B5EF4-FFF2-40B4-BE49-F238E27FC236}">
              <a16:creationId xmlns:a16="http://schemas.microsoft.com/office/drawing/2014/main" id="{79CA13E7-8A27-B3A8-AB97-988BA475D560}"/>
            </a:ext>
          </a:extLst>
        </cdr:cNvPr>
        <cdr:cNvSpPr/>
      </cdr:nvSpPr>
      <cdr:spPr>
        <a:xfrm xmlns:a="http://schemas.openxmlformats.org/drawingml/2006/main">
          <a:off x="1254125" y="1371600"/>
          <a:ext cx="165100" cy="488950"/>
        </a:xfrm>
        <a:prstGeom xmlns:a="http://schemas.openxmlformats.org/drawingml/2006/main" prst="ellipse">
          <a:avLst/>
        </a:prstGeom>
        <a:noFill xmlns:a="http://schemas.openxmlformats.org/drawingml/2006/main"/>
        <a:ln xmlns:a="http://schemas.openxmlformats.org/drawingml/2006/main">
          <a:solidFill>
            <a:srgbClr val="FF0000"/>
          </a:solidFill>
        </a:ln>
      </cdr:spPr>
      <cdr:style>
        <a:lnRef xmlns:a="http://schemas.openxmlformats.org/drawingml/2006/main" idx="2">
          <a:schemeClr val="accent1">
            <a:shade val="15000"/>
          </a:schemeClr>
        </a:lnRef>
        <a:fillRef xmlns:a="http://schemas.openxmlformats.org/drawingml/2006/main" idx="1">
          <a:schemeClr val="accent1"/>
        </a:fillRef>
        <a:effectRef xmlns:a="http://schemas.openxmlformats.org/drawingml/2006/main" idx="0">
          <a:schemeClr val="accent1"/>
        </a:effectRef>
        <a:fontRef xmlns:a="http://schemas.openxmlformats.org/drawingml/2006/main" idx="minor">
          <a:schemeClr val="lt1"/>
        </a:fontRef>
      </cdr:style>
      <cdr:txBody>
        <a:bodyPr xmlns:a="http://schemas.openxmlformats.org/drawingml/2006/main" vertOverflow="clip"/>
        <a:lstStyle xmlns:a="http://schemas.openxmlformats.org/drawingml/2006/main"/>
        <a:p xmlns:a="http://schemas.openxmlformats.org/drawingml/2006/main">
          <a:endParaRPr lang="en-US" kern="1200"/>
        </a:p>
      </cdr:txBody>
    </cdr:sp>
  </cdr:relSizeAnchor>
  <cdr:relSizeAnchor xmlns:cdr="http://schemas.openxmlformats.org/drawingml/2006/chartDrawing">
    <cdr:from>
      <cdr:x>0.41736</cdr:x>
      <cdr:y>0.31944</cdr:y>
    </cdr:from>
    <cdr:to>
      <cdr:x>0.53819</cdr:x>
      <cdr:y>0.4838</cdr:y>
    </cdr:to>
    <cdr:sp macro="" textlink="">
      <cdr:nvSpPr>
        <cdr:cNvPr id="7" name="Oval 6">
          <a:extLst xmlns:a="http://schemas.openxmlformats.org/drawingml/2006/main">
            <a:ext uri="{FF2B5EF4-FFF2-40B4-BE49-F238E27FC236}">
              <a16:creationId xmlns:a16="http://schemas.microsoft.com/office/drawing/2014/main" id="{A1265675-EE1A-55D1-5937-BF1CFA49C3EC}"/>
            </a:ext>
          </a:extLst>
        </cdr:cNvPr>
        <cdr:cNvSpPr/>
      </cdr:nvSpPr>
      <cdr:spPr>
        <a:xfrm xmlns:a="http://schemas.openxmlformats.org/drawingml/2006/main">
          <a:off x="1908175" y="876300"/>
          <a:ext cx="552450" cy="450850"/>
        </a:xfrm>
        <a:prstGeom xmlns:a="http://schemas.openxmlformats.org/drawingml/2006/main" prst="ellipse">
          <a:avLst/>
        </a:prstGeom>
        <a:noFill xmlns:a="http://schemas.openxmlformats.org/drawingml/2006/main"/>
        <a:ln xmlns:a="http://schemas.openxmlformats.org/drawingml/2006/main">
          <a:solidFill>
            <a:srgbClr val="FF0000"/>
          </a:solidFill>
        </a:ln>
      </cdr:spPr>
      <cdr:style>
        <a:lnRef xmlns:a="http://schemas.openxmlformats.org/drawingml/2006/main" idx="2">
          <a:schemeClr val="accent1">
            <a:shade val="15000"/>
          </a:schemeClr>
        </a:lnRef>
        <a:fillRef xmlns:a="http://schemas.openxmlformats.org/drawingml/2006/main" idx="1">
          <a:schemeClr val="accent1"/>
        </a:fillRef>
        <a:effectRef xmlns:a="http://schemas.openxmlformats.org/drawingml/2006/main" idx="0">
          <a:schemeClr val="accent1"/>
        </a:effectRef>
        <a:fontRef xmlns:a="http://schemas.openxmlformats.org/drawingml/2006/main" idx="minor">
          <a:schemeClr val="lt1"/>
        </a:fontRef>
      </cdr:style>
      <cdr:txBody>
        <a:bodyPr xmlns:a="http://schemas.openxmlformats.org/drawingml/2006/main"/>
        <a:lstStyle xmlns:a="http://schemas.openxmlformats.org/drawingml/2006/main">
          <a:lvl1pPr marL="0" indent="0">
            <a:defRPr sz="1100">
              <a:solidFill>
                <a:schemeClr val="lt1"/>
              </a:solidFill>
              <a:latin typeface="+mn-lt"/>
              <a:ea typeface="+mn-ea"/>
              <a:cs typeface="+mn-cs"/>
            </a:defRPr>
          </a:lvl1pPr>
          <a:lvl2pPr marL="457200" indent="0">
            <a:defRPr sz="1100">
              <a:solidFill>
                <a:schemeClr val="lt1"/>
              </a:solidFill>
              <a:latin typeface="+mn-lt"/>
              <a:ea typeface="+mn-ea"/>
              <a:cs typeface="+mn-cs"/>
            </a:defRPr>
          </a:lvl2pPr>
          <a:lvl3pPr marL="914400" indent="0">
            <a:defRPr sz="1100">
              <a:solidFill>
                <a:schemeClr val="lt1"/>
              </a:solidFill>
              <a:latin typeface="+mn-lt"/>
              <a:ea typeface="+mn-ea"/>
              <a:cs typeface="+mn-cs"/>
            </a:defRPr>
          </a:lvl3pPr>
          <a:lvl4pPr marL="1371600" indent="0">
            <a:defRPr sz="1100">
              <a:solidFill>
                <a:schemeClr val="lt1"/>
              </a:solidFill>
              <a:latin typeface="+mn-lt"/>
              <a:ea typeface="+mn-ea"/>
              <a:cs typeface="+mn-cs"/>
            </a:defRPr>
          </a:lvl4pPr>
          <a:lvl5pPr marL="1828800" indent="0">
            <a:defRPr sz="1100">
              <a:solidFill>
                <a:schemeClr val="lt1"/>
              </a:solidFill>
              <a:latin typeface="+mn-lt"/>
              <a:ea typeface="+mn-ea"/>
              <a:cs typeface="+mn-cs"/>
            </a:defRPr>
          </a:lvl5pPr>
          <a:lvl6pPr marL="2286000" indent="0">
            <a:defRPr sz="1100">
              <a:solidFill>
                <a:schemeClr val="lt1"/>
              </a:solidFill>
              <a:latin typeface="+mn-lt"/>
              <a:ea typeface="+mn-ea"/>
              <a:cs typeface="+mn-cs"/>
            </a:defRPr>
          </a:lvl6pPr>
          <a:lvl7pPr marL="2743200" indent="0">
            <a:defRPr sz="1100">
              <a:solidFill>
                <a:schemeClr val="lt1"/>
              </a:solidFill>
              <a:latin typeface="+mn-lt"/>
              <a:ea typeface="+mn-ea"/>
              <a:cs typeface="+mn-cs"/>
            </a:defRPr>
          </a:lvl7pPr>
          <a:lvl8pPr marL="3200400" indent="0">
            <a:defRPr sz="1100">
              <a:solidFill>
                <a:schemeClr val="lt1"/>
              </a:solidFill>
              <a:latin typeface="+mn-lt"/>
              <a:ea typeface="+mn-ea"/>
              <a:cs typeface="+mn-cs"/>
            </a:defRPr>
          </a:lvl8pPr>
          <a:lvl9pPr marL="3657600" indent="0">
            <a:defRPr sz="1100">
              <a:solidFill>
                <a:schemeClr val="lt1"/>
              </a:solidFill>
              <a:latin typeface="+mn-lt"/>
              <a:ea typeface="+mn-ea"/>
              <a:cs typeface="+mn-cs"/>
            </a:defRPr>
          </a:lvl9pPr>
        </a:lstStyle>
        <a:p xmlns:a="http://schemas.openxmlformats.org/drawingml/2006/main">
          <a:endParaRPr lang="en-US" kern="1200"/>
        </a:p>
      </cdr:txBody>
    </cdr:sp>
  </cdr:relSizeAnchor>
  <cdr:relSizeAnchor xmlns:cdr="http://schemas.openxmlformats.org/drawingml/2006/chartDrawing">
    <cdr:from>
      <cdr:x>0.85833</cdr:x>
      <cdr:y>0.16435</cdr:y>
    </cdr:from>
    <cdr:to>
      <cdr:x>0.89444</cdr:x>
      <cdr:y>0.34259</cdr:y>
    </cdr:to>
    <cdr:sp macro="" textlink="">
      <cdr:nvSpPr>
        <cdr:cNvPr id="10" name="Oval 9">
          <a:extLst xmlns:a="http://schemas.openxmlformats.org/drawingml/2006/main">
            <a:ext uri="{FF2B5EF4-FFF2-40B4-BE49-F238E27FC236}">
              <a16:creationId xmlns:a16="http://schemas.microsoft.com/office/drawing/2014/main" id="{65C115FC-3253-9E8D-1338-9D017AC3054A}"/>
            </a:ext>
          </a:extLst>
        </cdr:cNvPr>
        <cdr:cNvSpPr/>
      </cdr:nvSpPr>
      <cdr:spPr>
        <a:xfrm xmlns:a="http://schemas.openxmlformats.org/drawingml/2006/main">
          <a:off x="3924300" y="450850"/>
          <a:ext cx="165100" cy="488950"/>
        </a:xfrm>
        <a:prstGeom xmlns:a="http://schemas.openxmlformats.org/drawingml/2006/main" prst="ellipse">
          <a:avLst/>
        </a:prstGeom>
        <a:noFill xmlns:a="http://schemas.openxmlformats.org/drawingml/2006/main"/>
        <a:ln xmlns:a="http://schemas.openxmlformats.org/drawingml/2006/main">
          <a:solidFill>
            <a:srgbClr val="FF0000"/>
          </a:solidFill>
        </a:ln>
      </cdr:spPr>
      <cdr:style>
        <a:lnRef xmlns:a="http://schemas.openxmlformats.org/drawingml/2006/main" idx="2">
          <a:schemeClr val="accent1">
            <a:shade val="15000"/>
          </a:schemeClr>
        </a:lnRef>
        <a:fillRef xmlns:a="http://schemas.openxmlformats.org/drawingml/2006/main" idx="1">
          <a:schemeClr val="accent1"/>
        </a:fillRef>
        <a:effectRef xmlns:a="http://schemas.openxmlformats.org/drawingml/2006/main" idx="0">
          <a:schemeClr val="accent1"/>
        </a:effectRef>
        <a:fontRef xmlns:a="http://schemas.openxmlformats.org/drawingml/2006/main" idx="minor">
          <a:schemeClr val="lt1"/>
        </a:fontRef>
      </cdr:style>
      <cdr:txBody>
        <a:bodyPr xmlns:a="http://schemas.openxmlformats.org/drawingml/2006/main"/>
        <a:lstStyle xmlns:a="http://schemas.openxmlformats.org/drawingml/2006/main">
          <a:lvl1pPr marL="0" indent="0">
            <a:defRPr sz="1100">
              <a:solidFill>
                <a:schemeClr val="lt1"/>
              </a:solidFill>
              <a:latin typeface="+mn-lt"/>
              <a:ea typeface="+mn-ea"/>
              <a:cs typeface="+mn-cs"/>
            </a:defRPr>
          </a:lvl1pPr>
          <a:lvl2pPr marL="457200" indent="0">
            <a:defRPr sz="1100">
              <a:solidFill>
                <a:schemeClr val="lt1"/>
              </a:solidFill>
              <a:latin typeface="+mn-lt"/>
              <a:ea typeface="+mn-ea"/>
              <a:cs typeface="+mn-cs"/>
            </a:defRPr>
          </a:lvl2pPr>
          <a:lvl3pPr marL="914400" indent="0">
            <a:defRPr sz="1100">
              <a:solidFill>
                <a:schemeClr val="lt1"/>
              </a:solidFill>
              <a:latin typeface="+mn-lt"/>
              <a:ea typeface="+mn-ea"/>
              <a:cs typeface="+mn-cs"/>
            </a:defRPr>
          </a:lvl3pPr>
          <a:lvl4pPr marL="1371600" indent="0">
            <a:defRPr sz="1100">
              <a:solidFill>
                <a:schemeClr val="lt1"/>
              </a:solidFill>
              <a:latin typeface="+mn-lt"/>
              <a:ea typeface="+mn-ea"/>
              <a:cs typeface="+mn-cs"/>
            </a:defRPr>
          </a:lvl4pPr>
          <a:lvl5pPr marL="1828800" indent="0">
            <a:defRPr sz="1100">
              <a:solidFill>
                <a:schemeClr val="lt1"/>
              </a:solidFill>
              <a:latin typeface="+mn-lt"/>
              <a:ea typeface="+mn-ea"/>
              <a:cs typeface="+mn-cs"/>
            </a:defRPr>
          </a:lvl5pPr>
          <a:lvl6pPr marL="2286000" indent="0">
            <a:defRPr sz="1100">
              <a:solidFill>
                <a:schemeClr val="lt1"/>
              </a:solidFill>
              <a:latin typeface="+mn-lt"/>
              <a:ea typeface="+mn-ea"/>
              <a:cs typeface="+mn-cs"/>
            </a:defRPr>
          </a:lvl6pPr>
          <a:lvl7pPr marL="2743200" indent="0">
            <a:defRPr sz="1100">
              <a:solidFill>
                <a:schemeClr val="lt1"/>
              </a:solidFill>
              <a:latin typeface="+mn-lt"/>
              <a:ea typeface="+mn-ea"/>
              <a:cs typeface="+mn-cs"/>
            </a:defRPr>
          </a:lvl7pPr>
          <a:lvl8pPr marL="3200400" indent="0">
            <a:defRPr sz="1100">
              <a:solidFill>
                <a:schemeClr val="lt1"/>
              </a:solidFill>
              <a:latin typeface="+mn-lt"/>
              <a:ea typeface="+mn-ea"/>
              <a:cs typeface="+mn-cs"/>
            </a:defRPr>
          </a:lvl8pPr>
          <a:lvl9pPr marL="3657600" indent="0">
            <a:defRPr sz="1100">
              <a:solidFill>
                <a:schemeClr val="lt1"/>
              </a:solidFill>
              <a:latin typeface="+mn-lt"/>
              <a:ea typeface="+mn-ea"/>
              <a:cs typeface="+mn-cs"/>
            </a:defRPr>
          </a:lvl9pPr>
        </a:lstStyle>
        <a:p xmlns:a="http://schemas.openxmlformats.org/drawingml/2006/main">
          <a:endParaRPr lang="en-US" kern="1200"/>
        </a:p>
      </cdr:txBody>
    </cdr:sp>
  </cdr:relSizeAnchor>
  <cdr:relSizeAnchor xmlns:cdr="http://schemas.openxmlformats.org/drawingml/2006/chartDrawing">
    <cdr:from>
      <cdr:x>0.82361</cdr:x>
      <cdr:y>0.33102</cdr:y>
    </cdr:from>
    <cdr:to>
      <cdr:x>0.92847</cdr:x>
      <cdr:y>0.41898</cdr:y>
    </cdr:to>
    <cdr:sp macro="" textlink="">
      <cdr:nvSpPr>
        <cdr:cNvPr id="11" name="TextBox 1">
          <a:extLst xmlns:a="http://schemas.openxmlformats.org/drawingml/2006/main">
            <a:ext uri="{FF2B5EF4-FFF2-40B4-BE49-F238E27FC236}">
              <a16:creationId xmlns:a16="http://schemas.microsoft.com/office/drawing/2014/main" id="{ECD6C8DF-07D9-DBA1-6704-2C3A17E21819}"/>
            </a:ext>
          </a:extLst>
        </cdr:cNvPr>
        <cdr:cNvSpPr txBox="1"/>
      </cdr:nvSpPr>
      <cdr:spPr>
        <a:xfrm xmlns:a="http://schemas.openxmlformats.org/drawingml/2006/main">
          <a:off x="3765550" y="908050"/>
          <a:ext cx="479425" cy="241300"/>
        </a:xfrm>
        <a:prstGeom xmlns:a="http://schemas.openxmlformats.org/drawingml/2006/main" prst="rect">
          <a:avLst/>
        </a:prstGeom>
      </cdr:spPr>
      <cdr:txBody>
        <a:bodyPr xmlns:a="http://schemas.openxmlformats.org/drawingml/2006/main" wrap="square" rtlCol="0" anchor="ctr"/>
        <a:lstStyle xmlns:a="http://schemas.openxmlformats.org/drawingml/2006/main">
          <a:lvl1pPr marL="0" indent="0">
            <a:defRPr sz="1100">
              <a:latin typeface="+mn-lt"/>
              <a:ea typeface="+mn-ea"/>
              <a:cs typeface="+mn-cs"/>
            </a:defRPr>
          </a:lvl1pPr>
          <a:lvl2pPr marL="457200" indent="0">
            <a:defRPr sz="1100">
              <a:latin typeface="+mn-lt"/>
              <a:ea typeface="+mn-ea"/>
              <a:cs typeface="+mn-cs"/>
            </a:defRPr>
          </a:lvl2pPr>
          <a:lvl3pPr marL="914400" indent="0">
            <a:defRPr sz="1100">
              <a:latin typeface="+mn-lt"/>
              <a:ea typeface="+mn-ea"/>
              <a:cs typeface="+mn-cs"/>
            </a:defRPr>
          </a:lvl3pPr>
          <a:lvl4pPr marL="1371600" indent="0">
            <a:defRPr sz="1100">
              <a:latin typeface="+mn-lt"/>
              <a:ea typeface="+mn-ea"/>
              <a:cs typeface="+mn-cs"/>
            </a:defRPr>
          </a:lvl4pPr>
          <a:lvl5pPr marL="1828800" indent="0">
            <a:defRPr sz="1100">
              <a:latin typeface="+mn-lt"/>
              <a:ea typeface="+mn-ea"/>
              <a:cs typeface="+mn-cs"/>
            </a:defRPr>
          </a:lvl5pPr>
          <a:lvl6pPr marL="2286000" indent="0">
            <a:defRPr sz="1100">
              <a:latin typeface="+mn-lt"/>
              <a:ea typeface="+mn-ea"/>
              <a:cs typeface="+mn-cs"/>
            </a:defRPr>
          </a:lvl6pPr>
          <a:lvl7pPr marL="2743200" indent="0">
            <a:defRPr sz="1100">
              <a:latin typeface="+mn-lt"/>
              <a:ea typeface="+mn-ea"/>
              <a:cs typeface="+mn-cs"/>
            </a:defRPr>
          </a:lvl7pPr>
          <a:lvl8pPr marL="3200400" indent="0">
            <a:defRPr sz="1100">
              <a:latin typeface="+mn-lt"/>
              <a:ea typeface="+mn-ea"/>
              <a:cs typeface="+mn-cs"/>
            </a:defRPr>
          </a:lvl8pPr>
          <a:lvl9pPr marL="3657600" indent="0">
            <a:defRPr sz="1100">
              <a:latin typeface="+mn-lt"/>
              <a:ea typeface="+mn-ea"/>
              <a:cs typeface="+mn-cs"/>
            </a:defRPr>
          </a:lvl9pPr>
        </a:lstStyle>
        <a:p xmlns:a="http://schemas.openxmlformats.org/drawingml/2006/main">
          <a:pPr algn="ctr"/>
          <a:r>
            <a:rPr lang="en-US" sz="800" kern="1200">
              <a:solidFill>
                <a:srgbClr val="FF0000"/>
              </a:solidFill>
            </a:rPr>
            <a:t>2x PC5</a:t>
          </a:r>
        </a:p>
      </cdr:txBody>
    </cdr:sp>
  </cdr:relSizeAnchor>
  <cdr:relSizeAnchor xmlns:cdr="http://schemas.openxmlformats.org/drawingml/2006/chartDrawing">
    <cdr:from>
      <cdr:x>0.64306</cdr:x>
      <cdr:y>0.22222</cdr:y>
    </cdr:from>
    <cdr:to>
      <cdr:x>0.77708</cdr:x>
      <cdr:y>0.31019</cdr:y>
    </cdr:to>
    <cdr:sp macro="" textlink="">
      <cdr:nvSpPr>
        <cdr:cNvPr id="12" name="TextBox 1">
          <a:extLst xmlns:a="http://schemas.openxmlformats.org/drawingml/2006/main">
            <a:ext uri="{FF2B5EF4-FFF2-40B4-BE49-F238E27FC236}">
              <a16:creationId xmlns:a16="http://schemas.microsoft.com/office/drawing/2014/main" id="{ECD6C8DF-07D9-DBA1-6704-2C3A17E21819}"/>
            </a:ext>
          </a:extLst>
        </cdr:cNvPr>
        <cdr:cNvSpPr txBox="1"/>
      </cdr:nvSpPr>
      <cdr:spPr>
        <a:xfrm xmlns:a="http://schemas.openxmlformats.org/drawingml/2006/main">
          <a:off x="2940050" y="609600"/>
          <a:ext cx="612775" cy="241300"/>
        </a:xfrm>
        <a:prstGeom xmlns:a="http://schemas.openxmlformats.org/drawingml/2006/main" prst="rect">
          <a:avLst/>
        </a:prstGeom>
      </cdr:spPr>
      <cdr:txBody>
        <a:bodyPr xmlns:a="http://schemas.openxmlformats.org/drawingml/2006/main" wrap="square" rtlCol="0" anchor="ctr"/>
        <a:lstStyle xmlns:a="http://schemas.openxmlformats.org/drawingml/2006/main">
          <a:lvl1pPr marL="0" indent="0">
            <a:defRPr sz="1100">
              <a:latin typeface="+mn-lt"/>
              <a:ea typeface="+mn-ea"/>
              <a:cs typeface="+mn-cs"/>
            </a:defRPr>
          </a:lvl1pPr>
          <a:lvl2pPr marL="457200" indent="0">
            <a:defRPr sz="1100">
              <a:latin typeface="+mn-lt"/>
              <a:ea typeface="+mn-ea"/>
              <a:cs typeface="+mn-cs"/>
            </a:defRPr>
          </a:lvl2pPr>
          <a:lvl3pPr marL="914400" indent="0">
            <a:defRPr sz="1100">
              <a:latin typeface="+mn-lt"/>
              <a:ea typeface="+mn-ea"/>
              <a:cs typeface="+mn-cs"/>
            </a:defRPr>
          </a:lvl3pPr>
          <a:lvl4pPr marL="1371600" indent="0">
            <a:defRPr sz="1100">
              <a:latin typeface="+mn-lt"/>
              <a:ea typeface="+mn-ea"/>
              <a:cs typeface="+mn-cs"/>
            </a:defRPr>
          </a:lvl4pPr>
          <a:lvl5pPr marL="1828800" indent="0">
            <a:defRPr sz="1100">
              <a:latin typeface="+mn-lt"/>
              <a:ea typeface="+mn-ea"/>
              <a:cs typeface="+mn-cs"/>
            </a:defRPr>
          </a:lvl5pPr>
          <a:lvl6pPr marL="2286000" indent="0">
            <a:defRPr sz="1100">
              <a:latin typeface="+mn-lt"/>
              <a:ea typeface="+mn-ea"/>
              <a:cs typeface="+mn-cs"/>
            </a:defRPr>
          </a:lvl6pPr>
          <a:lvl7pPr marL="2743200" indent="0">
            <a:defRPr sz="1100">
              <a:latin typeface="+mn-lt"/>
              <a:ea typeface="+mn-ea"/>
              <a:cs typeface="+mn-cs"/>
            </a:defRPr>
          </a:lvl7pPr>
          <a:lvl8pPr marL="3200400" indent="0">
            <a:defRPr sz="1100">
              <a:latin typeface="+mn-lt"/>
              <a:ea typeface="+mn-ea"/>
              <a:cs typeface="+mn-cs"/>
            </a:defRPr>
          </a:lvl8pPr>
          <a:lvl9pPr marL="3657600" indent="0">
            <a:defRPr sz="1100">
              <a:latin typeface="+mn-lt"/>
              <a:ea typeface="+mn-ea"/>
              <a:cs typeface="+mn-cs"/>
            </a:defRPr>
          </a:lvl9pPr>
        </a:lstStyle>
        <a:p xmlns:a="http://schemas.openxmlformats.org/drawingml/2006/main">
          <a:pPr algn="ctr"/>
          <a:r>
            <a:rPr lang="en-US" sz="800" kern="1200">
              <a:solidFill>
                <a:srgbClr val="FF0000"/>
              </a:solidFill>
            </a:rPr>
            <a:t>2x and</a:t>
          </a:r>
          <a:r>
            <a:rPr lang="en-US" sz="800" kern="1200" baseline="0">
              <a:solidFill>
                <a:srgbClr val="FF0000"/>
              </a:solidFill>
            </a:rPr>
            <a:t> </a:t>
          </a:r>
          <a:r>
            <a:rPr lang="en-US" sz="800" kern="1200">
              <a:solidFill>
                <a:srgbClr val="FF0000"/>
              </a:solidFill>
            </a:rPr>
            <a:t>2.25x PC4</a:t>
          </a:r>
        </a:p>
      </cdr:txBody>
    </cdr:sp>
  </cdr:relSizeAnchor>
  <cdr:relSizeAnchor xmlns:cdr="http://schemas.openxmlformats.org/drawingml/2006/chartDrawing">
    <cdr:from>
      <cdr:x>0.55972</cdr:x>
      <cdr:y>0.26157</cdr:y>
    </cdr:from>
    <cdr:to>
      <cdr:x>0.68056</cdr:x>
      <cdr:y>0.49074</cdr:y>
    </cdr:to>
    <cdr:sp macro="" textlink="">
      <cdr:nvSpPr>
        <cdr:cNvPr id="13" name="Oval 12">
          <a:extLst xmlns:a="http://schemas.openxmlformats.org/drawingml/2006/main">
            <a:ext uri="{FF2B5EF4-FFF2-40B4-BE49-F238E27FC236}">
              <a16:creationId xmlns:a16="http://schemas.microsoft.com/office/drawing/2014/main" id="{1F717E5E-CCCE-EAC8-96F6-58E918203343}"/>
            </a:ext>
          </a:extLst>
        </cdr:cNvPr>
        <cdr:cNvSpPr/>
      </cdr:nvSpPr>
      <cdr:spPr>
        <a:xfrm xmlns:a="http://schemas.openxmlformats.org/drawingml/2006/main">
          <a:off x="2559050" y="717550"/>
          <a:ext cx="552450" cy="628650"/>
        </a:xfrm>
        <a:prstGeom xmlns:a="http://schemas.openxmlformats.org/drawingml/2006/main" prst="ellipse">
          <a:avLst/>
        </a:prstGeom>
        <a:noFill xmlns:a="http://schemas.openxmlformats.org/drawingml/2006/main"/>
        <a:ln xmlns:a="http://schemas.openxmlformats.org/drawingml/2006/main">
          <a:solidFill>
            <a:srgbClr val="FF0000"/>
          </a:solidFill>
        </a:ln>
      </cdr:spPr>
      <cdr:style>
        <a:lnRef xmlns:a="http://schemas.openxmlformats.org/drawingml/2006/main" idx="2">
          <a:schemeClr val="accent1">
            <a:shade val="15000"/>
          </a:schemeClr>
        </a:lnRef>
        <a:fillRef xmlns:a="http://schemas.openxmlformats.org/drawingml/2006/main" idx="1">
          <a:schemeClr val="accent1"/>
        </a:fillRef>
        <a:effectRef xmlns:a="http://schemas.openxmlformats.org/drawingml/2006/main" idx="0">
          <a:schemeClr val="accent1"/>
        </a:effectRef>
        <a:fontRef xmlns:a="http://schemas.openxmlformats.org/drawingml/2006/main" idx="minor">
          <a:schemeClr val="lt1"/>
        </a:fontRef>
      </cdr:style>
      <cdr:txBody>
        <a:bodyPr xmlns:a="http://schemas.openxmlformats.org/drawingml/2006/main"/>
        <a:lstStyle xmlns:a="http://schemas.openxmlformats.org/drawingml/2006/main">
          <a:lvl1pPr marL="0" indent="0">
            <a:defRPr sz="1100">
              <a:solidFill>
                <a:schemeClr val="lt1"/>
              </a:solidFill>
              <a:latin typeface="+mn-lt"/>
              <a:ea typeface="+mn-ea"/>
              <a:cs typeface="+mn-cs"/>
            </a:defRPr>
          </a:lvl1pPr>
          <a:lvl2pPr marL="457200" indent="0">
            <a:defRPr sz="1100">
              <a:solidFill>
                <a:schemeClr val="lt1"/>
              </a:solidFill>
              <a:latin typeface="+mn-lt"/>
              <a:ea typeface="+mn-ea"/>
              <a:cs typeface="+mn-cs"/>
            </a:defRPr>
          </a:lvl2pPr>
          <a:lvl3pPr marL="914400" indent="0">
            <a:defRPr sz="1100">
              <a:solidFill>
                <a:schemeClr val="lt1"/>
              </a:solidFill>
              <a:latin typeface="+mn-lt"/>
              <a:ea typeface="+mn-ea"/>
              <a:cs typeface="+mn-cs"/>
            </a:defRPr>
          </a:lvl3pPr>
          <a:lvl4pPr marL="1371600" indent="0">
            <a:defRPr sz="1100">
              <a:solidFill>
                <a:schemeClr val="lt1"/>
              </a:solidFill>
              <a:latin typeface="+mn-lt"/>
              <a:ea typeface="+mn-ea"/>
              <a:cs typeface="+mn-cs"/>
            </a:defRPr>
          </a:lvl4pPr>
          <a:lvl5pPr marL="1828800" indent="0">
            <a:defRPr sz="1100">
              <a:solidFill>
                <a:schemeClr val="lt1"/>
              </a:solidFill>
              <a:latin typeface="+mn-lt"/>
              <a:ea typeface="+mn-ea"/>
              <a:cs typeface="+mn-cs"/>
            </a:defRPr>
          </a:lvl5pPr>
          <a:lvl6pPr marL="2286000" indent="0">
            <a:defRPr sz="1100">
              <a:solidFill>
                <a:schemeClr val="lt1"/>
              </a:solidFill>
              <a:latin typeface="+mn-lt"/>
              <a:ea typeface="+mn-ea"/>
              <a:cs typeface="+mn-cs"/>
            </a:defRPr>
          </a:lvl6pPr>
          <a:lvl7pPr marL="2743200" indent="0">
            <a:defRPr sz="1100">
              <a:solidFill>
                <a:schemeClr val="lt1"/>
              </a:solidFill>
              <a:latin typeface="+mn-lt"/>
              <a:ea typeface="+mn-ea"/>
              <a:cs typeface="+mn-cs"/>
            </a:defRPr>
          </a:lvl7pPr>
          <a:lvl8pPr marL="3200400" indent="0">
            <a:defRPr sz="1100">
              <a:solidFill>
                <a:schemeClr val="lt1"/>
              </a:solidFill>
              <a:latin typeface="+mn-lt"/>
              <a:ea typeface="+mn-ea"/>
              <a:cs typeface="+mn-cs"/>
            </a:defRPr>
          </a:lvl8pPr>
          <a:lvl9pPr marL="3657600" indent="0">
            <a:defRPr sz="1100">
              <a:solidFill>
                <a:schemeClr val="lt1"/>
              </a:solidFill>
              <a:latin typeface="+mn-lt"/>
              <a:ea typeface="+mn-ea"/>
              <a:cs typeface="+mn-cs"/>
            </a:defRPr>
          </a:lvl9pPr>
        </a:lstStyle>
        <a:p xmlns:a="http://schemas.openxmlformats.org/drawingml/2006/main">
          <a:endParaRPr lang="en-US" kern="1200"/>
        </a:p>
      </cdr:txBody>
    </cdr:sp>
  </cdr:relSizeAnchor>
  <cdr:relSizeAnchor xmlns:cdr="http://schemas.openxmlformats.org/drawingml/2006/chartDrawing">
    <cdr:from>
      <cdr:x>0.28743</cdr:x>
      <cdr:y>0.59954</cdr:y>
    </cdr:from>
    <cdr:to>
      <cdr:x>0.38168</cdr:x>
      <cdr:y>0.68287</cdr:y>
    </cdr:to>
    <cdr:sp macro="" textlink="">
      <cdr:nvSpPr>
        <cdr:cNvPr id="4" name="TextBox 1">
          <a:extLst xmlns:a="http://schemas.openxmlformats.org/drawingml/2006/main">
            <a:ext uri="{FF2B5EF4-FFF2-40B4-BE49-F238E27FC236}">
              <a16:creationId xmlns:a16="http://schemas.microsoft.com/office/drawing/2014/main" id="{53938D21-E6ED-F089-07A7-CA08604EC9DE}"/>
            </a:ext>
          </a:extLst>
        </cdr:cNvPr>
        <cdr:cNvSpPr txBox="1"/>
      </cdr:nvSpPr>
      <cdr:spPr>
        <a:xfrm xmlns:a="http://schemas.openxmlformats.org/drawingml/2006/main">
          <a:off x="1365250" y="1644650"/>
          <a:ext cx="447675" cy="228600"/>
        </a:xfrm>
        <a:prstGeom xmlns:a="http://schemas.openxmlformats.org/drawingml/2006/main" prst="rect">
          <a:avLst/>
        </a:prstGeom>
      </cdr:spPr>
      <cdr:txBody>
        <a:bodyPr xmlns:a="http://schemas.openxmlformats.org/drawingml/2006/main" wrap="square" rtlCol="0" anchor="ctr"/>
        <a:lstStyle xmlns:a="http://schemas.openxmlformats.org/drawingml/2006/main">
          <a:lvl1pPr marL="0" indent="0">
            <a:defRPr sz="1100">
              <a:latin typeface="+mn-lt"/>
              <a:ea typeface="+mn-ea"/>
              <a:cs typeface="+mn-cs"/>
            </a:defRPr>
          </a:lvl1pPr>
          <a:lvl2pPr marL="457200" indent="0">
            <a:defRPr sz="1100">
              <a:latin typeface="+mn-lt"/>
              <a:ea typeface="+mn-ea"/>
              <a:cs typeface="+mn-cs"/>
            </a:defRPr>
          </a:lvl2pPr>
          <a:lvl3pPr marL="914400" indent="0">
            <a:defRPr sz="1100">
              <a:latin typeface="+mn-lt"/>
              <a:ea typeface="+mn-ea"/>
              <a:cs typeface="+mn-cs"/>
            </a:defRPr>
          </a:lvl3pPr>
          <a:lvl4pPr marL="1371600" indent="0">
            <a:defRPr sz="1100">
              <a:latin typeface="+mn-lt"/>
              <a:ea typeface="+mn-ea"/>
              <a:cs typeface="+mn-cs"/>
            </a:defRPr>
          </a:lvl4pPr>
          <a:lvl5pPr marL="1828800" indent="0">
            <a:defRPr sz="1100">
              <a:latin typeface="+mn-lt"/>
              <a:ea typeface="+mn-ea"/>
              <a:cs typeface="+mn-cs"/>
            </a:defRPr>
          </a:lvl5pPr>
          <a:lvl6pPr marL="2286000" indent="0">
            <a:defRPr sz="1100">
              <a:latin typeface="+mn-lt"/>
              <a:ea typeface="+mn-ea"/>
              <a:cs typeface="+mn-cs"/>
            </a:defRPr>
          </a:lvl6pPr>
          <a:lvl7pPr marL="2743200" indent="0">
            <a:defRPr sz="1100">
              <a:latin typeface="+mn-lt"/>
              <a:ea typeface="+mn-ea"/>
              <a:cs typeface="+mn-cs"/>
            </a:defRPr>
          </a:lvl7pPr>
          <a:lvl8pPr marL="3200400" indent="0">
            <a:defRPr sz="1100">
              <a:latin typeface="+mn-lt"/>
              <a:ea typeface="+mn-ea"/>
              <a:cs typeface="+mn-cs"/>
            </a:defRPr>
          </a:lvl8pPr>
          <a:lvl9pPr marL="3657600" indent="0">
            <a:defRPr sz="1100">
              <a:latin typeface="+mn-lt"/>
              <a:ea typeface="+mn-ea"/>
              <a:cs typeface="+mn-cs"/>
            </a:defRPr>
          </a:lvl9pPr>
        </a:lstStyle>
        <a:p xmlns:a="http://schemas.openxmlformats.org/drawingml/2006/main">
          <a:pPr algn="ctr"/>
          <a:r>
            <a:rPr lang="en-US" sz="800" kern="1200"/>
            <a:t>PC2.1</a:t>
          </a:r>
        </a:p>
      </cdr:txBody>
    </cdr:sp>
  </cdr:relSizeAnchor>
  <cdr:relSizeAnchor xmlns:cdr="http://schemas.openxmlformats.org/drawingml/2006/chartDrawing">
    <cdr:from>
      <cdr:x>0.28342</cdr:x>
      <cdr:y>0.5</cdr:y>
    </cdr:from>
    <cdr:to>
      <cdr:x>0.37767</cdr:x>
      <cdr:y>0.58333</cdr:y>
    </cdr:to>
    <cdr:sp macro="" textlink="">
      <cdr:nvSpPr>
        <cdr:cNvPr id="8" name="TextBox 1">
          <a:extLst xmlns:a="http://schemas.openxmlformats.org/drawingml/2006/main">
            <a:ext uri="{FF2B5EF4-FFF2-40B4-BE49-F238E27FC236}">
              <a16:creationId xmlns:a16="http://schemas.microsoft.com/office/drawing/2014/main" id="{A1F0F7DF-39E9-EBB7-DE4D-7584E602ED06}"/>
            </a:ext>
          </a:extLst>
        </cdr:cNvPr>
        <cdr:cNvSpPr txBox="1"/>
      </cdr:nvSpPr>
      <cdr:spPr>
        <a:xfrm xmlns:a="http://schemas.openxmlformats.org/drawingml/2006/main">
          <a:off x="1346200" y="1371600"/>
          <a:ext cx="447675" cy="228600"/>
        </a:xfrm>
        <a:prstGeom xmlns:a="http://schemas.openxmlformats.org/drawingml/2006/main" prst="rect">
          <a:avLst/>
        </a:prstGeom>
      </cdr:spPr>
      <cdr:txBody>
        <a:bodyPr xmlns:a="http://schemas.openxmlformats.org/drawingml/2006/main" wrap="square" rtlCol="0" anchor="ctr"/>
        <a:lstStyle xmlns:a="http://schemas.openxmlformats.org/drawingml/2006/main">
          <a:lvl1pPr marL="0" indent="0">
            <a:defRPr sz="1100">
              <a:latin typeface="+mn-lt"/>
              <a:ea typeface="+mn-ea"/>
              <a:cs typeface="+mn-cs"/>
            </a:defRPr>
          </a:lvl1pPr>
          <a:lvl2pPr marL="457200" indent="0">
            <a:defRPr sz="1100">
              <a:latin typeface="+mn-lt"/>
              <a:ea typeface="+mn-ea"/>
              <a:cs typeface="+mn-cs"/>
            </a:defRPr>
          </a:lvl2pPr>
          <a:lvl3pPr marL="914400" indent="0">
            <a:defRPr sz="1100">
              <a:latin typeface="+mn-lt"/>
              <a:ea typeface="+mn-ea"/>
              <a:cs typeface="+mn-cs"/>
            </a:defRPr>
          </a:lvl3pPr>
          <a:lvl4pPr marL="1371600" indent="0">
            <a:defRPr sz="1100">
              <a:latin typeface="+mn-lt"/>
              <a:ea typeface="+mn-ea"/>
              <a:cs typeface="+mn-cs"/>
            </a:defRPr>
          </a:lvl4pPr>
          <a:lvl5pPr marL="1828800" indent="0">
            <a:defRPr sz="1100">
              <a:latin typeface="+mn-lt"/>
              <a:ea typeface="+mn-ea"/>
              <a:cs typeface="+mn-cs"/>
            </a:defRPr>
          </a:lvl5pPr>
          <a:lvl6pPr marL="2286000" indent="0">
            <a:defRPr sz="1100">
              <a:latin typeface="+mn-lt"/>
              <a:ea typeface="+mn-ea"/>
              <a:cs typeface="+mn-cs"/>
            </a:defRPr>
          </a:lvl6pPr>
          <a:lvl7pPr marL="2743200" indent="0">
            <a:defRPr sz="1100">
              <a:latin typeface="+mn-lt"/>
              <a:ea typeface="+mn-ea"/>
              <a:cs typeface="+mn-cs"/>
            </a:defRPr>
          </a:lvl7pPr>
          <a:lvl8pPr marL="3200400" indent="0">
            <a:defRPr sz="1100">
              <a:latin typeface="+mn-lt"/>
              <a:ea typeface="+mn-ea"/>
              <a:cs typeface="+mn-cs"/>
            </a:defRPr>
          </a:lvl8pPr>
          <a:lvl9pPr marL="3657600" indent="0">
            <a:defRPr sz="1100">
              <a:latin typeface="+mn-lt"/>
              <a:ea typeface="+mn-ea"/>
              <a:cs typeface="+mn-cs"/>
            </a:defRPr>
          </a:lvl9pPr>
        </a:lstStyle>
        <a:p xmlns:a="http://schemas.openxmlformats.org/drawingml/2006/main">
          <a:pPr algn="ctr"/>
          <a:r>
            <a:rPr lang="en-US" sz="800" kern="1200"/>
            <a:t>PC2.2</a:t>
          </a:r>
        </a:p>
      </cdr:txBody>
    </cdr:sp>
  </cdr:relSizeAnchor>
  <cdr:relSizeAnchor xmlns:cdr="http://schemas.openxmlformats.org/drawingml/2006/chartDrawing">
    <cdr:from>
      <cdr:x>0.36364</cdr:x>
      <cdr:y>0.42361</cdr:y>
    </cdr:from>
    <cdr:to>
      <cdr:x>0.45789</cdr:x>
      <cdr:y>0.50694</cdr:y>
    </cdr:to>
    <cdr:sp macro="" textlink="">
      <cdr:nvSpPr>
        <cdr:cNvPr id="9" name="TextBox 1">
          <a:extLst xmlns:a="http://schemas.openxmlformats.org/drawingml/2006/main">
            <a:ext uri="{FF2B5EF4-FFF2-40B4-BE49-F238E27FC236}">
              <a16:creationId xmlns:a16="http://schemas.microsoft.com/office/drawing/2014/main" id="{CBFFFE45-EA61-5808-BB93-7EE3DB253DB3}"/>
            </a:ext>
          </a:extLst>
        </cdr:cNvPr>
        <cdr:cNvSpPr txBox="1"/>
      </cdr:nvSpPr>
      <cdr:spPr>
        <a:xfrm xmlns:a="http://schemas.openxmlformats.org/drawingml/2006/main">
          <a:off x="1727200" y="1162050"/>
          <a:ext cx="447675" cy="228600"/>
        </a:xfrm>
        <a:prstGeom xmlns:a="http://schemas.openxmlformats.org/drawingml/2006/main" prst="rect">
          <a:avLst/>
        </a:prstGeom>
      </cdr:spPr>
      <cdr:txBody>
        <a:bodyPr xmlns:a="http://schemas.openxmlformats.org/drawingml/2006/main" wrap="square" rtlCol="0" anchor="ctr"/>
        <a:lstStyle xmlns:a="http://schemas.openxmlformats.org/drawingml/2006/main">
          <a:lvl1pPr marL="0" indent="0">
            <a:defRPr sz="1100">
              <a:latin typeface="+mn-lt"/>
              <a:ea typeface="+mn-ea"/>
              <a:cs typeface="+mn-cs"/>
            </a:defRPr>
          </a:lvl1pPr>
          <a:lvl2pPr marL="457200" indent="0">
            <a:defRPr sz="1100">
              <a:latin typeface="+mn-lt"/>
              <a:ea typeface="+mn-ea"/>
              <a:cs typeface="+mn-cs"/>
            </a:defRPr>
          </a:lvl2pPr>
          <a:lvl3pPr marL="914400" indent="0">
            <a:defRPr sz="1100">
              <a:latin typeface="+mn-lt"/>
              <a:ea typeface="+mn-ea"/>
              <a:cs typeface="+mn-cs"/>
            </a:defRPr>
          </a:lvl3pPr>
          <a:lvl4pPr marL="1371600" indent="0">
            <a:defRPr sz="1100">
              <a:latin typeface="+mn-lt"/>
              <a:ea typeface="+mn-ea"/>
              <a:cs typeface="+mn-cs"/>
            </a:defRPr>
          </a:lvl4pPr>
          <a:lvl5pPr marL="1828800" indent="0">
            <a:defRPr sz="1100">
              <a:latin typeface="+mn-lt"/>
              <a:ea typeface="+mn-ea"/>
              <a:cs typeface="+mn-cs"/>
            </a:defRPr>
          </a:lvl5pPr>
          <a:lvl6pPr marL="2286000" indent="0">
            <a:defRPr sz="1100">
              <a:latin typeface="+mn-lt"/>
              <a:ea typeface="+mn-ea"/>
              <a:cs typeface="+mn-cs"/>
            </a:defRPr>
          </a:lvl6pPr>
          <a:lvl7pPr marL="2743200" indent="0">
            <a:defRPr sz="1100">
              <a:latin typeface="+mn-lt"/>
              <a:ea typeface="+mn-ea"/>
              <a:cs typeface="+mn-cs"/>
            </a:defRPr>
          </a:lvl7pPr>
          <a:lvl8pPr marL="3200400" indent="0">
            <a:defRPr sz="1100">
              <a:latin typeface="+mn-lt"/>
              <a:ea typeface="+mn-ea"/>
              <a:cs typeface="+mn-cs"/>
            </a:defRPr>
          </a:lvl8pPr>
          <a:lvl9pPr marL="3657600" indent="0">
            <a:defRPr sz="1100">
              <a:latin typeface="+mn-lt"/>
              <a:ea typeface="+mn-ea"/>
              <a:cs typeface="+mn-cs"/>
            </a:defRPr>
          </a:lvl9pPr>
        </a:lstStyle>
        <a:p xmlns:a="http://schemas.openxmlformats.org/drawingml/2006/main">
          <a:pPr algn="ctr"/>
          <a:r>
            <a:rPr lang="en-US" sz="800" kern="1200"/>
            <a:t>PC3.1</a:t>
          </a:r>
        </a:p>
      </cdr:txBody>
    </cdr:sp>
  </cdr:relSizeAnchor>
  <cdr:relSizeAnchor xmlns:cdr="http://schemas.openxmlformats.org/drawingml/2006/chartDrawing">
    <cdr:from>
      <cdr:x>0.42647</cdr:x>
      <cdr:y>0.32407</cdr:y>
    </cdr:from>
    <cdr:to>
      <cdr:x>0.52072</cdr:x>
      <cdr:y>0.40741</cdr:y>
    </cdr:to>
    <cdr:sp macro="" textlink="">
      <cdr:nvSpPr>
        <cdr:cNvPr id="14" name="TextBox 1">
          <a:extLst xmlns:a="http://schemas.openxmlformats.org/drawingml/2006/main">
            <a:ext uri="{FF2B5EF4-FFF2-40B4-BE49-F238E27FC236}">
              <a16:creationId xmlns:a16="http://schemas.microsoft.com/office/drawing/2014/main" id="{3ABD5D8A-D059-71D8-08DA-637F2546FF1A}"/>
            </a:ext>
          </a:extLst>
        </cdr:cNvPr>
        <cdr:cNvSpPr txBox="1"/>
      </cdr:nvSpPr>
      <cdr:spPr>
        <a:xfrm xmlns:a="http://schemas.openxmlformats.org/drawingml/2006/main">
          <a:off x="2025650" y="889000"/>
          <a:ext cx="447675" cy="228600"/>
        </a:xfrm>
        <a:prstGeom xmlns:a="http://schemas.openxmlformats.org/drawingml/2006/main" prst="rect">
          <a:avLst/>
        </a:prstGeom>
      </cdr:spPr>
      <cdr:txBody>
        <a:bodyPr xmlns:a="http://schemas.openxmlformats.org/drawingml/2006/main" wrap="square" rtlCol="0" anchor="ctr"/>
        <a:lstStyle xmlns:a="http://schemas.openxmlformats.org/drawingml/2006/main">
          <a:lvl1pPr marL="0" indent="0">
            <a:defRPr sz="1100">
              <a:latin typeface="+mn-lt"/>
              <a:ea typeface="+mn-ea"/>
              <a:cs typeface="+mn-cs"/>
            </a:defRPr>
          </a:lvl1pPr>
          <a:lvl2pPr marL="457200" indent="0">
            <a:defRPr sz="1100">
              <a:latin typeface="+mn-lt"/>
              <a:ea typeface="+mn-ea"/>
              <a:cs typeface="+mn-cs"/>
            </a:defRPr>
          </a:lvl2pPr>
          <a:lvl3pPr marL="914400" indent="0">
            <a:defRPr sz="1100">
              <a:latin typeface="+mn-lt"/>
              <a:ea typeface="+mn-ea"/>
              <a:cs typeface="+mn-cs"/>
            </a:defRPr>
          </a:lvl3pPr>
          <a:lvl4pPr marL="1371600" indent="0">
            <a:defRPr sz="1100">
              <a:latin typeface="+mn-lt"/>
              <a:ea typeface="+mn-ea"/>
              <a:cs typeface="+mn-cs"/>
            </a:defRPr>
          </a:lvl4pPr>
          <a:lvl5pPr marL="1828800" indent="0">
            <a:defRPr sz="1100">
              <a:latin typeface="+mn-lt"/>
              <a:ea typeface="+mn-ea"/>
              <a:cs typeface="+mn-cs"/>
            </a:defRPr>
          </a:lvl5pPr>
          <a:lvl6pPr marL="2286000" indent="0">
            <a:defRPr sz="1100">
              <a:latin typeface="+mn-lt"/>
              <a:ea typeface="+mn-ea"/>
              <a:cs typeface="+mn-cs"/>
            </a:defRPr>
          </a:lvl6pPr>
          <a:lvl7pPr marL="2743200" indent="0">
            <a:defRPr sz="1100">
              <a:latin typeface="+mn-lt"/>
              <a:ea typeface="+mn-ea"/>
              <a:cs typeface="+mn-cs"/>
            </a:defRPr>
          </a:lvl7pPr>
          <a:lvl8pPr marL="3200400" indent="0">
            <a:defRPr sz="1100">
              <a:latin typeface="+mn-lt"/>
              <a:ea typeface="+mn-ea"/>
              <a:cs typeface="+mn-cs"/>
            </a:defRPr>
          </a:lvl8pPr>
          <a:lvl9pPr marL="3657600" indent="0">
            <a:defRPr sz="1100">
              <a:latin typeface="+mn-lt"/>
              <a:ea typeface="+mn-ea"/>
              <a:cs typeface="+mn-cs"/>
            </a:defRPr>
          </a:lvl9pPr>
        </a:lstStyle>
        <a:p xmlns:a="http://schemas.openxmlformats.org/drawingml/2006/main">
          <a:pPr algn="ctr"/>
          <a:r>
            <a:rPr lang="en-US" sz="800" kern="1200"/>
            <a:t>PC3.3</a:t>
          </a:r>
        </a:p>
      </cdr:txBody>
    </cdr:sp>
  </cdr:relSizeAnchor>
  <cdr:relSizeAnchor xmlns:cdr="http://schemas.openxmlformats.org/drawingml/2006/chartDrawing">
    <cdr:from>
      <cdr:x>0.43583</cdr:x>
      <cdr:y>0.41435</cdr:y>
    </cdr:from>
    <cdr:to>
      <cdr:x>0.53008</cdr:x>
      <cdr:y>0.49769</cdr:y>
    </cdr:to>
    <cdr:sp macro="" textlink="">
      <cdr:nvSpPr>
        <cdr:cNvPr id="15" name="TextBox 1">
          <a:extLst xmlns:a="http://schemas.openxmlformats.org/drawingml/2006/main">
            <a:ext uri="{FF2B5EF4-FFF2-40B4-BE49-F238E27FC236}">
              <a16:creationId xmlns:a16="http://schemas.microsoft.com/office/drawing/2014/main" id="{3ABD5D8A-D059-71D8-08DA-637F2546FF1A}"/>
            </a:ext>
          </a:extLst>
        </cdr:cNvPr>
        <cdr:cNvSpPr txBox="1"/>
      </cdr:nvSpPr>
      <cdr:spPr>
        <a:xfrm xmlns:a="http://schemas.openxmlformats.org/drawingml/2006/main">
          <a:off x="2070100" y="1136650"/>
          <a:ext cx="447675" cy="228600"/>
        </a:xfrm>
        <a:prstGeom xmlns:a="http://schemas.openxmlformats.org/drawingml/2006/main" prst="rect">
          <a:avLst/>
        </a:prstGeom>
      </cdr:spPr>
      <cdr:txBody>
        <a:bodyPr xmlns:a="http://schemas.openxmlformats.org/drawingml/2006/main" wrap="square" rtlCol="0" anchor="ctr"/>
        <a:lstStyle xmlns:a="http://schemas.openxmlformats.org/drawingml/2006/main">
          <a:lvl1pPr marL="0" indent="0">
            <a:defRPr sz="1100">
              <a:latin typeface="+mn-lt"/>
              <a:ea typeface="+mn-ea"/>
              <a:cs typeface="+mn-cs"/>
            </a:defRPr>
          </a:lvl1pPr>
          <a:lvl2pPr marL="457200" indent="0">
            <a:defRPr sz="1100">
              <a:latin typeface="+mn-lt"/>
              <a:ea typeface="+mn-ea"/>
              <a:cs typeface="+mn-cs"/>
            </a:defRPr>
          </a:lvl2pPr>
          <a:lvl3pPr marL="914400" indent="0">
            <a:defRPr sz="1100">
              <a:latin typeface="+mn-lt"/>
              <a:ea typeface="+mn-ea"/>
              <a:cs typeface="+mn-cs"/>
            </a:defRPr>
          </a:lvl3pPr>
          <a:lvl4pPr marL="1371600" indent="0">
            <a:defRPr sz="1100">
              <a:latin typeface="+mn-lt"/>
              <a:ea typeface="+mn-ea"/>
              <a:cs typeface="+mn-cs"/>
            </a:defRPr>
          </a:lvl4pPr>
          <a:lvl5pPr marL="1828800" indent="0">
            <a:defRPr sz="1100">
              <a:latin typeface="+mn-lt"/>
              <a:ea typeface="+mn-ea"/>
              <a:cs typeface="+mn-cs"/>
            </a:defRPr>
          </a:lvl5pPr>
          <a:lvl6pPr marL="2286000" indent="0">
            <a:defRPr sz="1100">
              <a:latin typeface="+mn-lt"/>
              <a:ea typeface="+mn-ea"/>
              <a:cs typeface="+mn-cs"/>
            </a:defRPr>
          </a:lvl6pPr>
          <a:lvl7pPr marL="2743200" indent="0">
            <a:defRPr sz="1100">
              <a:latin typeface="+mn-lt"/>
              <a:ea typeface="+mn-ea"/>
              <a:cs typeface="+mn-cs"/>
            </a:defRPr>
          </a:lvl7pPr>
          <a:lvl8pPr marL="3200400" indent="0">
            <a:defRPr sz="1100">
              <a:latin typeface="+mn-lt"/>
              <a:ea typeface="+mn-ea"/>
              <a:cs typeface="+mn-cs"/>
            </a:defRPr>
          </a:lvl8pPr>
          <a:lvl9pPr marL="3657600" indent="0">
            <a:defRPr sz="1100">
              <a:latin typeface="+mn-lt"/>
              <a:ea typeface="+mn-ea"/>
              <a:cs typeface="+mn-cs"/>
            </a:defRPr>
          </a:lvl9pPr>
        </a:lstStyle>
        <a:p xmlns:a="http://schemas.openxmlformats.org/drawingml/2006/main">
          <a:pPr algn="ctr"/>
          <a:r>
            <a:rPr lang="en-US" sz="800" kern="1200"/>
            <a:t>PC3.2</a:t>
          </a:r>
        </a:p>
      </cdr:txBody>
    </cdr:sp>
  </cdr:relSizeAnchor>
  <cdr:relSizeAnchor xmlns:cdr="http://schemas.openxmlformats.org/drawingml/2006/chartDrawing">
    <cdr:from>
      <cdr:x>0.56684</cdr:x>
      <cdr:y>0.41204</cdr:y>
    </cdr:from>
    <cdr:to>
      <cdr:x>0.6611</cdr:x>
      <cdr:y>0.49537</cdr:y>
    </cdr:to>
    <cdr:sp macro="" textlink="">
      <cdr:nvSpPr>
        <cdr:cNvPr id="16" name="TextBox 1">
          <a:extLst xmlns:a="http://schemas.openxmlformats.org/drawingml/2006/main">
            <a:ext uri="{FF2B5EF4-FFF2-40B4-BE49-F238E27FC236}">
              <a16:creationId xmlns:a16="http://schemas.microsoft.com/office/drawing/2014/main" id="{3ABD5D8A-D059-71D8-08DA-637F2546FF1A}"/>
            </a:ext>
          </a:extLst>
        </cdr:cNvPr>
        <cdr:cNvSpPr txBox="1"/>
      </cdr:nvSpPr>
      <cdr:spPr>
        <a:xfrm xmlns:a="http://schemas.openxmlformats.org/drawingml/2006/main">
          <a:off x="2692400" y="1130300"/>
          <a:ext cx="447675" cy="228600"/>
        </a:xfrm>
        <a:prstGeom xmlns:a="http://schemas.openxmlformats.org/drawingml/2006/main" prst="rect">
          <a:avLst/>
        </a:prstGeom>
      </cdr:spPr>
      <cdr:txBody>
        <a:bodyPr xmlns:a="http://schemas.openxmlformats.org/drawingml/2006/main" wrap="square" rtlCol="0" anchor="ctr"/>
        <a:lstStyle xmlns:a="http://schemas.openxmlformats.org/drawingml/2006/main">
          <a:lvl1pPr marL="0" indent="0">
            <a:defRPr sz="1100">
              <a:latin typeface="+mn-lt"/>
              <a:ea typeface="+mn-ea"/>
              <a:cs typeface="+mn-cs"/>
            </a:defRPr>
          </a:lvl1pPr>
          <a:lvl2pPr marL="457200" indent="0">
            <a:defRPr sz="1100">
              <a:latin typeface="+mn-lt"/>
              <a:ea typeface="+mn-ea"/>
              <a:cs typeface="+mn-cs"/>
            </a:defRPr>
          </a:lvl2pPr>
          <a:lvl3pPr marL="914400" indent="0">
            <a:defRPr sz="1100">
              <a:latin typeface="+mn-lt"/>
              <a:ea typeface="+mn-ea"/>
              <a:cs typeface="+mn-cs"/>
            </a:defRPr>
          </a:lvl3pPr>
          <a:lvl4pPr marL="1371600" indent="0">
            <a:defRPr sz="1100">
              <a:latin typeface="+mn-lt"/>
              <a:ea typeface="+mn-ea"/>
              <a:cs typeface="+mn-cs"/>
            </a:defRPr>
          </a:lvl4pPr>
          <a:lvl5pPr marL="1828800" indent="0">
            <a:defRPr sz="1100">
              <a:latin typeface="+mn-lt"/>
              <a:ea typeface="+mn-ea"/>
              <a:cs typeface="+mn-cs"/>
            </a:defRPr>
          </a:lvl5pPr>
          <a:lvl6pPr marL="2286000" indent="0">
            <a:defRPr sz="1100">
              <a:latin typeface="+mn-lt"/>
              <a:ea typeface="+mn-ea"/>
              <a:cs typeface="+mn-cs"/>
            </a:defRPr>
          </a:lvl6pPr>
          <a:lvl7pPr marL="2743200" indent="0">
            <a:defRPr sz="1100">
              <a:latin typeface="+mn-lt"/>
              <a:ea typeface="+mn-ea"/>
              <a:cs typeface="+mn-cs"/>
            </a:defRPr>
          </a:lvl7pPr>
          <a:lvl8pPr marL="3200400" indent="0">
            <a:defRPr sz="1100">
              <a:latin typeface="+mn-lt"/>
              <a:ea typeface="+mn-ea"/>
              <a:cs typeface="+mn-cs"/>
            </a:defRPr>
          </a:lvl8pPr>
          <a:lvl9pPr marL="3657600" indent="0">
            <a:defRPr sz="1100">
              <a:latin typeface="+mn-lt"/>
              <a:ea typeface="+mn-ea"/>
              <a:cs typeface="+mn-cs"/>
            </a:defRPr>
          </a:lvl9pPr>
        </a:lstStyle>
        <a:p xmlns:a="http://schemas.openxmlformats.org/drawingml/2006/main">
          <a:pPr algn="ctr"/>
          <a:r>
            <a:rPr lang="en-US" sz="800" kern="1200"/>
            <a:t>PC4.1</a:t>
          </a:r>
        </a:p>
      </cdr:txBody>
    </cdr:sp>
  </cdr:relSizeAnchor>
  <cdr:relSizeAnchor xmlns:cdr="http://schemas.openxmlformats.org/drawingml/2006/chartDrawing">
    <cdr:from>
      <cdr:x>0.5107</cdr:x>
      <cdr:y>0.25926</cdr:y>
    </cdr:from>
    <cdr:to>
      <cdr:x>0.60495</cdr:x>
      <cdr:y>0.34259</cdr:y>
    </cdr:to>
    <cdr:sp macro="" textlink="">
      <cdr:nvSpPr>
        <cdr:cNvPr id="17" name="TextBox 1">
          <a:extLst xmlns:a="http://schemas.openxmlformats.org/drawingml/2006/main">
            <a:ext uri="{FF2B5EF4-FFF2-40B4-BE49-F238E27FC236}">
              <a16:creationId xmlns:a16="http://schemas.microsoft.com/office/drawing/2014/main" id="{DA2A6640-79BA-4190-24A4-BDE1B1450EC3}"/>
            </a:ext>
          </a:extLst>
        </cdr:cNvPr>
        <cdr:cNvSpPr txBox="1"/>
      </cdr:nvSpPr>
      <cdr:spPr>
        <a:xfrm xmlns:a="http://schemas.openxmlformats.org/drawingml/2006/main">
          <a:off x="2425700" y="711200"/>
          <a:ext cx="447675" cy="228600"/>
        </a:xfrm>
        <a:prstGeom xmlns:a="http://schemas.openxmlformats.org/drawingml/2006/main" prst="rect">
          <a:avLst/>
        </a:prstGeom>
      </cdr:spPr>
      <cdr:txBody>
        <a:bodyPr xmlns:a="http://schemas.openxmlformats.org/drawingml/2006/main" wrap="square" rtlCol="0" anchor="ctr"/>
        <a:lstStyle xmlns:a="http://schemas.openxmlformats.org/drawingml/2006/main">
          <a:lvl1pPr marL="0" indent="0">
            <a:defRPr sz="1100">
              <a:latin typeface="+mn-lt"/>
              <a:ea typeface="+mn-ea"/>
              <a:cs typeface="+mn-cs"/>
            </a:defRPr>
          </a:lvl1pPr>
          <a:lvl2pPr marL="457200" indent="0">
            <a:defRPr sz="1100">
              <a:latin typeface="+mn-lt"/>
              <a:ea typeface="+mn-ea"/>
              <a:cs typeface="+mn-cs"/>
            </a:defRPr>
          </a:lvl2pPr>
          <a:lvl3pPr marL="914400" indent="0">
            <a:defRPr sz="1100">
              <a:latin typeface="+mn-lt"/>
              <a:ea typeface="+mn-ea"/>
              <a:cs typeface="+mn-cs"/>
            </a:defRPr>
          </a:lvl3pPr>
          <a:lvl4pPr marL="1371600" indent="0">
            <a:defRPr sz="1100">
              <a:latin typeface="+mn-lt"/>
              <a:ea typeface="+mn-ea"/>
              <a:cs typeface="+mn-cs"/>
            </a:defRPr>
          </a:lvl4pPr>
          <a:lvl5pPr marL="1828800" indent="0">
            <a:defRPr sz="1100">
              <a:latin typeface="+mn-lt"/>
              <a:ea typeface="+mn-ea"/>
              <a:cs typeface="+mn-cs"/>
            </a:defRPr>
          </a:lvl5pPr>
          <a:lvl6pPr marL="2286000" indent="0">
            <a:defRPr sz="1100">
              <a:latin typeface="+mn-lt"/>
              <a:ea typeface="+mn-ea"/>
              <a:cs typeface="+mn-cs"/>
            </a:defRPr>
          </a:lvl6pPr>
          <a:lvl7pPr marL="2743200" indent="0">
            <a:defRPr sz="1100">
              <a:latin typeface="+mn-lt"/>
              <a:ea typeface="+mn-ea"/>
              <a:cs typeface="+mn-cs"/>
            </a:defRPr>
          </a:lvl7pPr>
          <a:lvl8pPr marL="3200400" indent="0">
            <a:defRPr sz="1100">
              <a:latin typeface="+mn-lt"/>
              <a:ea typeface="+mn-ea"/>
              <a:cs typeface="+mn-cs"/>
            </a:defRPr>
          </a:lvl8pPr>
          <a:lvl9pPr marL="3657600" indent="0">
            <a:defRPr sz="1100">
              <a:latin typeface="+mn-lt"/>
              <a:ea typeface="+mn-ea"/>
              <a:cs typeface="+mn-cs"/>
            </a:defRPr>
          </a:lvl9pPr>
        </a:lstStyle>
        <a:p xmlns:a="http://schemas.openxmlformats.org/drawingml/2006/main">
          <a:pPr algn="ctr"/>
          <a:r>
            <a:rPr lang="en-US" sz="800" kern="1200"/>
            <a:t>PC4.2</a:t>
          </a:r>
        </a:p>
      </cdr:txBody>
    </cdr:sp>
  </cdr:relSizeAnchor>
  <cdr:relSizeAnchor xmlns:cdr="http://schemas.openxmlformats.org/drawingml/2006/chartDrawing">
    <cdr:from>
      <cdr:x>0.57086</cdr:x>
      <cdr:y>0.36806</cdr:y>
    </cdr:from>
    <cdr:to>
      <cdr:x>0.66511</cdr:x>
      <cdr:y>0.45139</cdr:y>
    </cdr:to>
    <cdr:sp macro="" textlink="">
      <cdr:nvSpPr>
        <cdr:cNvPr id="18" name="TextBox 1">
          <a:extLst xmlns:a="http://schemas.openxmlformats.org/drawingml/2006/main">
            <a:ext uri="{FF2B5EF4-FFF2-40B4-BE49-F238E27FC236}">
              <a16:creationId xmlns:a16="http://schemas.microsoft.com/office/drawing/2014/main" id="{DA2A6640-79BA-4190-24A4-BDE1B1450EC3}"/>
            </a:ext>
          </a:extLst>
        </cdr:cNvPr>
        <cdr:cNvSpPr txBox="1"/>
      </cdr:nvSpPr>
      <cdr:spPr>
        <a:xfrm xmlns:a="http://schemas.openxmlformats.org/drawingml/2006/main">
          <a:off x="2711450" y="1009650"/>
          <a:ext cx="447675" cy="228600"/>
        </a:xfrm>
        <a:prstGeom xmlns:a="http://schemas.openxmlformats.org/drawingml/2006/main" prst="rect">
          <a:avLst/>
        </a:prstGeom>
      </cdr:spPr>
      <cdr:txBody>
        <a:bodyPr xmlns:a="http://schemas.openxmlformats.org/drawingml/2006/main" wrap="square" rtlCol="0" anchor="ctr"/>
        <a:lstStyle xmlns:a="http://schemas.openxmlformats.org/drawingml/2006/main">
          <a:lvl1pPr marL="0" indent="0">
            <a:defRPr sz="1100">
              <a:latin typeface="+mn-lt"/>
              <a:ea typeface="+mn-ea"/>
              <a:cs typeface="+mn-cs"/>
            </a:defRPr>
          </a:lvl1pPr>
          <a:lvl2pPr marL="457200" indent="0">
            <a:defRPr sz="1100">
              <a:latin typeface="+mn-lt"/>
              <a:ea typeface="+mn-ea"/>
              <a:cs typeface="+mn-cs"/>
            </a:defRPr>
          </a:lvl2pPr>
          <a:lvl3pPr marL="914400" indent="0">
            <a:defRPr sz="1100">
              <a:latin typeface="+mn-lt"/>
              <a:ea typeface="+mn-ea"/>
              <a:cs typeface="+mn-cs"/>
            </a:defRPr>
          </a:lvl3pPr>
          <a:lvl4pPr marL="1371600" indent="0">
            <a:defRPr sz="1100">
              <a:latin typeface="+mn-lt"/>
              <a:ea typeface="+mn-ea"/>
              <a:cs typeface="+mn-cs"/>
            </a:defRPr>
          </a:lvl4pPr>
          <a:lvl5pPr marL="1828800" indent="0">
            <a:defRPr sz="1100">
              <a:latin typeface="+mn-lt"/>
              <a:ea typeface="+mn-ea"/>
              <a:cs typeface="+mn-cs"/>
            </a:defRPr>
          </a:lvl5pPr>
          <a:lvl6pPr marL="2286000" indent="0">
            <a:defRPr sz="1100">
              <a:latin typeface="+mn-lt"/>
              <a:ea typeface="+mn-ea"/>
              <a:cs typeface="+mn-cs"/>
            </a:defRPr>
          </a:lvl6pPr>
          <a:lvl7pPr marL="2743200" indent="0">
            <a:defRPr sz="1100">
              <a:latin typeface="+mn-lt"/>
              <a:ea typeface="+mn-ea"/>
              <a:cs typeface="+mn-cs"/>
            </a:defRPr>
          </a:lvl7pPr>
          <a:lvl8pPr marL="3200400" indent="0">
            <a:defRPr sz="1100">
              <a:latin typeface="+mn-lt"/>
              <a:ea typeface="+mn-ea"/>
              <a:cs typeface="+mn-cs"/>
            </a:defRPr>
          </a:lvl8pPr>
          <a:lvl9pPr marL="3657600" indent="0">
            <a:defRPr sz="1100">
              <a:latin typeface="+mn-lt"/>
              <a:ea typeface="+mn-ea"/>
              <a:cs typeface="+mn-cs"/>
            </a:defRPr>
          </a:lvl9pPr>
        </a:lstStyle>
        <a:p xmlns:a="http://schemas.openxmlformats.org/drawingml/2006/main">
          <a:pPr algn="ctr"/>
          <a:r>
            <a:rPr lang="en-US" sz="800" kern="1200"/>
            <a:t>PC4.3</a:t>
          </a:r>
        </a:p>
      </cdr:txBody>
    </cdr:sp>
  </cdr:relSizeAnchor>
  <cdr:relSizeAnchor xmlns:cdr="http://schemas.openxmlformats.org/drawingml/2006/chartDrawing">
    <cdr:from>
      <cdr:x>0.50134</cdr:x>
      <cdr:y>0.2963</cdr:y>
    </cdr:from>
    <cdr:to>
      <cdr:x>0.59559</cdr:x>
      <cdr:y>0.37963</cdr:y>
    </cdr:to>
    <cdr:sp macro="" textlink="">
      <cdr:nvSpPr>
        <cdr:cNvPr id="19" name="TextBox 1">
          <a:extLst xmlns:a="http://schemas.openxmlformats.org/drawingml/2006/main">
            <a:ext uri="{FF2B5EF4-FFF2-40B4-BE49-F238E27FC236}">
              <a16:creationId xmlns:a16="http://schemas.microsoft.com/office/drawing/2014/main" id="{EB71D243-5905-DA73-738B-0F11A477EB04}"/>
            </a:ext>
          </a:extLst>
        </cdr:cNvPr>
        <cdr:cNvSpPr txBox="1"/>
      </cdr:nvSpPr>
      <cdr:spPr>
        <a:xfrm xmlns:a="http://schemas.openxmlformats.org/drawingml/2006/main">
          <a:off x="2381250" y="812800"/>
          <a:ext cx="447675" cy="228600"/>
        </a:xfrm>
        <a:prstGeom xmlns:a="http://schemas.openxmlformats.org/drawingml/2006/main" prst="rect">
          <a:avLst/>
        </a:prstGeom>
      </cdr:spPr>
      <cdr:txBody>
        <a:bodyPr xmlns:a="http://schemas.openxmlformats.org/drawingml/2006/main" wrap="square" rtlCol="0" anchor="ctr"/>
        <a:lstStyle xmlns:a="http://schemas.openxmlformats.org/drawingml/2006/main">
          <a:lvl1pPr marL="0" indent="0">
            <a:defRPr sz="1100">
              <a:latin typeface="+mn-lt"/>
              <a:ea typeface="+mn-ea"/>
              <a:cs typeface="+mn-cs"/>
            </a:defRPr>
          </a:lvl1pPr>
          <a:lvl2pPr marL="457200" indent="0">
            <a:defRPr sz="1100">
              <a:latin typeface="+mn-lt"/>
              <a:ea typeface="+mn-ea"/>
              <a:cs typeface="+mn-cs"/>
            </a:defRPr>
          </a:lvl2pPr>
          <a:lvl3pPr marL="914400" indent="0">
            <a:defRPr sz="1100">
              <a:latin typeface="+mn-lt"/>
              <a:ea typeface="+mn-ea"/>
              <a:cs typeface="+mn-cs"/>
            </a:defRPr>
          </a:lvl3pPr>
          <a:lvl4pPr marL="1371600" indent="0">
            <a:defRPr sz="1100">
              <a:latin typeface="+mn-lt"/>
              <a:ea typeface="+mn-ea"/>
              <a:cs typeface="+mn-cs"/>
            </a:defRPr>
          </a:lvl4pPr>
          <a:lvl5pPr marL="1828800" indent="0">
            <a:defRPr sz="1100">
              <a:latin typeface="+mn-lt"/>
              <a:ea typeface="+mn-ea"/>
              <a:cs typeface="+mn-cs"/>
            </a:defRPr>
          </a:lvl5pPr>
          <a:lvl6pPr marL="2286000" indent="0">
            <a:defRPr sz="1100">
              <a:latin typeface="+mn-lt"/>
              <a:ea typeface="+mn-ea"/>
              <a:cs typeface="+mn-cs"/>
            </a:defRPr>
          </a:lvl6pPr>
          <a:lvl7pPr marL="2743200" indent="0">
            <a:defRPr sz="1100">
              <a:latin typeface="+mn-lt"/>
              <a:ea typeface="+mn-ea"/>
              <a:cs typeface="+mn-cs"/>
            </a:defRPr>
          </a:lvl7pPr>
          <a:lvl8pPr marL="3200400" indent="0">
            <a:defRPr sz="1100">
              <a:latin typeface="+mn-lt"/>
              <a:ea typeface="+mn-ea"/>
              <a:cs typeface="+mn-cs"/>
            </a:defRPr>
          </a:lvl8pPr>
          <a:lvl9pPr marL="3657600" indent="0">
            <a:defRPr sz="1100">
              <a:latin typeface="+mn-lt"/>
              <a:ea typeface="+mn-ea"/>
              <a:cs typeface="+mn-cs"/>
            </a:defRPr>
          </a:lvl9pPr>
        </a:lstStyle>
        <a:p xmlns:a="http://schemas.openxmlformats.org/drawingml/2006/main">
          <a:pPr algn="ctr"/>
          <a:r>
            <a:rPr lang="en-US" sz="800" kern="1200"/>
            <a:t>PC4.4</a:t>
          </a:r>
        </a:p>
      </cdr:txBody>
    </cdr:sp>
  </cdr:relSizeAnchor>
  <cdr:relSizeAnchor xmlns:cdr="http://schemas.openxmlformats.org/drawingml/2006/chartDrawing">
    <cdr:from>
      <cdr:x>0.64706</cdr:x>
      <cdr:y>0.30324</cdr:y>
    </cdr:from>
    <cdr:to>
      <cdr:x>0.74131</cdr:x>
      <cdr:y>0.38657</cdr:y>
    </cdr:to>
    <cdr:sp macro="" textlink="">
      <cdr:nvSpPr>
        <cdr:cNvPr id="20" name="TextBox 1">
          <a:extLst xmlns:a="http://schemas.openxmlformats.org/drawingml/2006/main">
            <a:ext uri="{FF2B5EF4-FFF2-40B4-BE49-F238E27FC236}">
              <a16:creationId xmlns:a16="http://schemas.microsoft.com/office/drawing/2014/main" id="{EB71D243-5905-DA73-738B-0F11A477EB04}"/>
            </a:ext>
          </a:extLst>
        </cdr:cNvPr>
        <cdr:cNvSpPr txBox="1"/>
      </cdr:nvSpPr>
      <cdr:spPr>
        <a:xfrm xmlns:a="http://schemas.openxmlformats.org/drawingml/2006/main">
          <a:off x="3073400" y="831850"/>
          <a:ext cx="447675" cy="228600"/>
        </a:xfrm>
        <a:prstGeom xmlns:a="http://schemas.openxmlformats.org/drawingml/2006/main" prst="rect">
          <a:avLst/>
        </a:prstGeom>
      </cdr:spPr>
      <cdr:txBody>
        <a:bodyPr xmlns:a="http://schemas.openxmlformats.org/drawingml/2006/main" wrap="square" rtlCol="0" anchor="ctr"/>
        <a:lstStyle xmlns:a="http://schemas.openxmlformats.org/drawingml/2006/main">
          <a:lvl1pPr marL="0" indent="0">
            <a:defRPr sz="1100">
              <a:latin typeface="+mn-lt"/>
              <a:ea typeface="+mn-ea"/>
              <a:cs typeface="+mn-cs"/>
            </a:defRPr>
          </a:lvl1pPr>
          <a:lvl2pPr marL="457200" indent="0">
            <a:defRPr sz="1100">
              <a:latin typeface="+mn-lt"/>
              <a:ea typeface="+mn-ea"/>
              <a:cs typeface="+mn-cs"/>
            </a:defRPr>
          </a:lvl2pPr>
          <a:lvl3pPr marL="914400" indent="0">
            <a:defRPr sz="1100">
              <a:latin typeface="+mn-lt"/>
              <a:ea typeface="+mn-ea"/>
              <a:cs typeface="+mn-cs"/>
            </a:defRPr>
          </a:lvl3pPr>
          <a:lvl4pPr marL="1371600" indent="0">
            <a:defRPr sz="1100">
              <a:latin typeface="+mn-lt"/>
              <a:ea typeface="+mn-ea"/>
              <a:cs typeface="+mn-cs"/>
            </a:defRPr>
          </a:lvl4pPr>
          <a:lvl5pPr marL="1828800" indent="0">
            <a:defRPr sz="1100">
              <a:latin typeface="+mn-lt"/>
              <a:ea typeface="+mn-ea"/>
              <a:cs typeface="+mn-cs"/>
            </a:defRPr>
          </a:lvl5pPr>
          <a:lvl6pPr marL="2286000" indent="0">
            <a:defRPr sz="1100">
              <a:latin typeface="+mn-lt"/>
              <a:ea typeface="+mn-ea"/>
              <a:cs typeface="+mn-cs"/>
            </a:defRPr>
          </a:lvl6pPr>
          <a:lvl7pPr marL="2743200" indent="0">
            <a:defRPr sz="1100">
              <a:latin typeface="+mn-lt"/>
              <a:ea typeface="+mn-ea"/>
              <a:cs typeface="+mn-cs"/>
            </a:defRPr>
          </a:lvl7pPr>
          <a:lvl8pPr marL="3200400" indent="0">
            <a:defRPr sz="1100">
              <a:latin typeface="+mn-lt"/>
              <a:ea typeface="+mn-ea"/>
              <a:cs typeface="+mn-cs"/>
            </a:defRPr>
          </a:lvl8pPr>
          <a:lvl9pPr marL="3657600" indent="0">
            <a:defRPr sz="1100">
              <a:latin typeface="+mn-lt"/>
              <a:ea typeface="+mn-ea"/>
              <a:cs typeface="+mn-cs"/>
            </a:defRPr>
          </a:lvl9pPr>
        </a:lstStyle>
        <a:p xmlns:a="http://schemas.openxmlformats.org/drawingml/2006/main">
          <a:pPr algn="ctr"/>
          <a:r>
            <a:rPr lang="en-US" sz="800" kern="1200"/>
            <a:t>PC4.5</a:t>
          </a:r>
        </a:p>
      </cdr:txBody>
    </cdr:sp>
  </cdr:relSizeAnchor>
  <cdr:relSizeAnchor xmlns:cdr="http://schemas.openxmlformats.org/drawingml/2006/chartDrawing">
    <cdr:from>
      <cdr:x>0.79412</cdr:x>
      <cdr:y>0.1412</cdr:y>
    </cdr:from>
    <cdr:to>
      <cdr:x>0.88837</cdr:x>
      <cdr:y>0.22454</cdr:y>
    </cdr:to>
    <cdr:sp macro="" textlink="">
      <cdr:nvSpPr>
        <cdr:cNvPr id="21" name="TextBox 1">
          <a:extLst xmlns:a="http://schemas.openxmlformats.org/drawingml/2006/main">
            <a:ext uri="{FF2B5EF4-FFF2-40B4-BE49-F238E27FC236}">
              <a16:creationId xmlns:a16="http://schemas.microsoft.com/office/drawing/2014/main" id="{EB71D243-5905-DA73-738B-0F11A477EB04}"/>
            </a:ext>
          </a:extLst>
        </cdr:cNvPr>
        <cdr:cNvSpPr txBox="1"/>
      </cdr:nvSpPr>
      <cdr:spPr>
        <a:xfrm xmlns:a="http://schemas.openxmlformats.org/drawingml/2006/main">
          <a:off x="3771900" y="387350"/>
          <a:ext cx="447675" cy="228600"/>
        </a:xfrm>
        <a:prstGeom xmlns:a="http://schemas.openxmlformats.org/drawingml/2006/main" prst="rect">
          <a:avLst/>
        </a:prstGeom>
      </cdr:spPr>
      <cdr:txBody>
        <a:bodyPr xmlns:a="http://schemas.openxmlformats.org/drawingml/2006/main" wrap="square" rtlCol="0" anchor="ctr"/>
        <a:lstStyle xmlns:a="http://schemas.openxmlformats.org/drawingml/2006/main">
          <a:lvl1pPr marL="0" indent="0">
            <a:defRPr sz="1100">
              <a:latin typeface="+mn-lt"/>
              <a:ea typeface="+mn-ea"/>
              <a:cs typeface="+mn-cs"/>
            </a:defRPr>
          </a:lvl1pPr>
          <a:lvl2pPr marL="457200" indent="0">
            <a:defRPr sz="1100">
              <a:latin typeface="+mn-lt"/>
              <a:ea typeface="+mn-ea"/>
              <a:cs typeface="+mn-cs"/>
            </a:defRPr>
          </a:lvl2pPr>
          <a:lvl3pPr marL="914400" indent="0">
            <a:defRPr sz="1100">
              <a:latin typeface="+mn-lt"/>
              <a:ea typeface="+mn-ea"/>
              <a:cs typeface="+mn-cs"/>
            </a:defRPr>
          </a:lvl3pPr>
          <a:lvl4pPr marL="1371600" indent="0">
            <a:defRPr sz="1100">
              <a:latin typeface="+mn-lt"/>
              <a:ea typeface="+mn-ea"/>
              <a:cs typeface="+mn-cs"/>
            </a:defRPr>
          </a:lvl4pPr>
          <a:lvl5pPr marL="1828800" indent="0">
            <a:defRPr sz="1100">
              <a:latin typeface="+mn-lt"/>
              <a:ea typeface="+mn-ea"/>
              <a:cs typeface="+mn-cs"/>
            </a:defRPr>
          </a:lvl5pPr>
          <a:lvl6pPr marL="2286000" indent="0">
            <a:defRPr sz="1100">
              <a:latin typeface="+mn-lt"/>
              <a:ea typeface="+mn-ea"/>
              <a:cs typeface="+mn-cs"/>
            </a:defRPr>
          </a:lvl6pPr>
          <a:lvl7pPr marL="2743200" indent="0">
            <a:defRPr sz="1100">
              <a:latin typeface="+mn-lt"/>
              <a:ea typeface="+mn-ea"/>
              <a:cs typeface="+mn-cs"/>
            </a:defRPr>
          </a:lvl7pPr>
          <a:lvl8pPr marL="3200400" indent="0">
            <a:defRPr sz="1100">
              <a:latin typeface="+mn-lt"/>
              <a:ea typeface="+mn-ea"/>
              <a:cs typeface="+mn-cs"/>
            </a:defRPr>
          </a:lvl8pPr>
          <a:lvl9pPr marL="3657600" indent="0">
            <a:defRPr sz="1100">
              <a:latin typeface="+mn-lt"/>
              <a:ea typeface="+mn-ea"/>
              <a:cs typeface="+mn-cs"/>
            </a:defRPr>
          </a:lvl9pPr>
        </a:lstStyle>
        <a:p xmlns:a="http://schemas.openxmlformats.org/drawingml/2006/main">
          <a:pPr algn="ctr"/>
          <a:r>
            <a:rPr lang="en-US" sz="800" kern="1200"/>
            <a:t>PC5.3</a:t>
          </a:r>
        </a:p>
      </cdr:txBody>
    </cdr:sp>
  </cdr:relSizeAnchor>
  <cdr:relSizeAnchor xmlns:cdr="http://schemas.openxmlformats.org/drawingml/2006/chartDrawing">
    <cdr:from>
      <cdr:x>0.79144</cdr:x>
      <cdr:y>0.18981</cdr:y>
    </cdr:from>
    <cdr:to>
      <cdr:x>0.8857</cdr:x>
      <cdr:y>0.27315</cdr:y>
    </cdr:to>
    <cdr:sp macro="" textlink="">
      <cdr:nvSpPr>
        <cdr:cNvPr id="22" name="TextBox 1">
          <a:extLst xmlns:a="http://schemas.openxmlformats.org/drawingml/2006/main">
            <a:ext uri="{FF2B5EF4-FFF2-40B4-BE49-F238E27FC236}">
              <a16:creationId xmlns:a16="http://schemas.microsoft.com/office/drawing/2014/main" id="{BBECC385-50E4-6C5F-A237-6654C073E36F}"/>
            </a:ext>
          </a:extLst>
        </cdr:cNvPr>
        <cdr:cNvSpPr txBox="1"/>
      </cdr:nvSpPr>
      <cdr:spPr>
        <a:xfrm xmlns:a="http://schemas.openxmlformats.org/drawingml/2006/main">
          <a:off x="3759200" y="520700"/>
          <a:ext cx="447675" cy="228600"/>
        </a:xfrm>
        <a:prstGeom xmlns:a="http://schemas.openxmlformats.org/drawingml/2006/main" prst="rect">
          <a:avLst/>
        </a:prstGeom>
      </cdr:spPr>
      <cdr:txBody>
        <a:bodyPr xmlns:a="http://schemas.openxmlformats.org/drawingml/2006/main" wrap="square" rtlCol="0" anchor="ctr"/>
        <a:lstStyle xmlns:a="http://schemas.openxmlformats.org/drawingml/2006/main">
          <a:lvl1pPr marL="0" indent="0">
            <a:defRPr sz="1100">
              <a:latin typeface="+mn-lt"/>
              <a:ea typeface="+mn-ea"/>
              <a:cs typeface="+mn-cs"/>
            </a:defRPr>
          </a:lvl1pPr>
          <a:lvl2pPr marL="457200" indent="0">
            <a:defRPr sz="1100">
              <a:latin typeface="+mn-lt"/>
              <a:ea typeface="+mn-ea"/>
              <a:cs typeface="+mn-cs"/>
            </a:defRPr>
          </a:lvl2pPr>
          <a:lvl3pPr marL="914400" indent="0">
            <a:defRPr sz="1100">
              <a:latin typeface="+mn-lt"/>
              <a:ea typeface="+mn-ea"/>
              <a:cs typeface="+mn-cs"/>
            </a:defRPr>
          </a:lvl3pPr>
          <a:lvl4pPr marL="1371600" indent="0">
            <a:defRPr sz="1100">
              <a:latin typeface="+mn-lt"/>
              <a:ea typeface="+mn-ea"/>
              <a:cs typeface="+mn-cs"/>
            </a:defRPr>
          </a:lvl4pPr>
          <a:lvl5pPr marL="1828800" indent="0">
            <a:defRPr sz="1100">
              <a:latin typeface="+mn-lt"/>
              <a:ea typeface="+mn-ea"/>
              <a:cs typeface="+mn-cs"/>
            </a:defRPr>
          </a:lvl5pPr>
          <a:lvl6pPr marL="2286000" indent="0">
            <a:defRPr sz="1100">
              <a:latin typeface="+mn-lt"/>
              <a:ea typeface="+mn-ea"/>
              <a:cs typeface="+mn-cs"/>
            </a:defRPr>
          </a:lvl6pPr>
          <a:lvl7pPr marL="2743200" indent="0">
            <a:defRPr sz="1100">
              <a:latin typeface="+mn-lt"/>
              <a:ea typeface="+mn-ea"/>
              <a:cs typeface="+mn-cs"/>
            </a:defRPr>
          </a:lvl7pPr>
          <a:lvl8pPr marL="3200400" indent="0">
            <a:defRPr sz="1100">
              <a:latin typeface="+mn-lt"/>
              <a:ea typeface="+mn-ea"/>
              <a:cs typeface="+mn-cs"/>
            </a:defRPr>
          </a:lvl8pPr>
          <a:lvl9pPr marL="3657600" indent="0">
            <a:defRPr sz="1100">
              <a:latin typeface="+mn-lt"/>
              <a:ea typeface="+mn-ea"/>
              <a:cs typeface="+mn-cs"/>
            </a:defRPr>
          </a:lvl9pPr>
        </a:lstStyle>
        <a:p xmlns:a="http://schemas.openxmlformats.org/drawingml/2006/main">
          <a:pPr algn="ctr"/>
          <a:r>
            <a:rPr lang="en-US" sz="800" kern="1200"/>
            <a:t>PC5.2</a:t>
          </a:r>
        </a:p>
      </cdr:txBody>
    </cdr:sp>
  </cdr:relSizeAnchor>
  <cdr:relSizeAnchor xmlns:cdr="http://schemas.openxmlformats.org/drawingml/2006/chartDrawing">
    <cdr:from>
      <cdr:x>0.87032</cdr:x>
      <cdr:y>0.27315</cdr:y>
    </cdr:from>
    <cdr:to>
      <cdr:x>0.96457</cdr:x>
      <cdr:y>0.35648</cdr:y>
    </cdr:to>
    <cdr:sp macro="" textlink="">
      <cdr:nvSpPr>
        <cdr:cNvPr id="23" name="TextBox 1">
          <a:extLst xmlns:a="http://schemas.openxmlformats.org/drawingml/2006/main">
            <a:ext uri="{FF2B5EF4-FFF2-40B4-BE49-F238E27FC236}">
              <a16:creationId xmlns:a16="http://schemas.microsoft.com/office/drawing/2014/main" id="{CBAA6EBC-4FE8-6F43-4CE1-ED328974A17F}"/>
            </a:ext>
          </a:extLst>
        </cdr:cNvPr>
        <cdr:cNvSpPr txBox="1"/>
      </cdr:nvSpPr>
      <cdr:spPr>
        <a:xfrm xmlns:a="http://schemas.openxmlformats.org/drawingml/2006/main">
          <a:off x="4133850" y="749300"/>
          <a:ext cx="447675" cy="228600"/>
        </a:xfrm>
        <a:prstGeom xmlns:a="http://schemas.openxmlformats.org/drawingml/2006/main" prst="rect">
          <a:avLst/>
        </a:prstGeom>
      </cdr:spPr>
      <cdr:txBody>
        <a:bodyPr xmlns:a="http://schemas.openxmlformats.org/drawingml/2006/main" wrap="square" rtlCol="0" anchor="ctr"/>
        <a:lstStyle xmlns:a="http://schemas.openxmlformats.org/drawingml/2006/main">
          <a:lvl1pPr marL="0" indent="0">
            <a:defRPr sz="1100">
              <a:latin typeface="+mn-lt"/>
              <a:ea typeface="+mn-ea"/>
              <a:cs typeface="+mn-cs"/>
            </a:defRPr>
          </a:lvl1pPr>
          <a:lvl2pPr marL="457200" indent="0">
            <a:defRPr sz="1100">
              <a:latin typeface="+mn-lt"/>
              <a:ea typeface="+mn-ea"/>
              <a:cs typeface="+mn-cs"/>
            </a:defRPr>
          </a:lvl2pPr>
          <a:lvl3pPr marL="914400" indent="0">
            <a:defRPr sz="1100">
              <a:latin typeface="+mn-lt"/>
              <a:ea typeface="+mn-ea"/>
              <a:cs typeface="+mn-cs"/>
            </a:defRPr>
          </a:lvl3pPr>
          <a:lvl4pPr marL="1371600" indent="0">
            <a:defRPr sz="1100">
              <a:latin typeface="+mn-lt"/>
              <a:ea typeface="+mn-ea"/>
              <a:cs typeface="+mn-cs"/>
            </a:defRPr>
          </a:lvl4pPr>
          <a:lvl5pPr marL="1828800" indent="0">
            <a:defRPr sz="1100">
              <a:latin typeface="+mn-lt"/>
              <a:ea typeface="+mn-ea"/>
              <a:cs typeface="+mn-cs"/>
            </a:defRPr>
          </a:lvl5pPr>
          <a:lvl6pPr marL="2286000" indent="0">
            <a:defRPr sz="1100">
              <a:latin typeface="+mn-lt"/>
              <a:ea typeface="+mn-ea"/>
              <a:cs typeface="+mn-cs"/>
            </a:defRPr>
          </a:lvl6pPr>
          <a:lvl7pPr marL="2743200" indent="0">
            <a:defRPr sz="1100">
              <a:latin typeface="+mn-lt"/>
              <a:ea typeface="+mn-ea"/>
              <a:cs typeface="+mn-cs"/>
            </a:defRPr>
          </a:lvl7pPr>
          <a:lvl8pPr marL="3200400" indent="0">
            <a:defRPr sz="1100">
              <a:latin typeface="+mn-lt"/>
              <a:ea typeface="+mn-ea"/>
              <a:cs typeface="+mn-cs"/>
            </a:defRPr>
          </a:lvl8pPr>
          <a:lvl9pPr marL="3657600" indent="0">
            <a:defRPr sz="1100">
              <a:latin typeface="+mn-lt"/>
              <a:ea typeface="+mn-ea"/>
              <a:cs typeface="+mn-cs"/>
            </a:defRPr>
          </a:lvl9pPr>
        </a:lstStyle>
        <a:p xmlns:a="http://schemas.openxmlformats.org/drawingml/2006/main">
          <a:pPr algn="ctr"/>
          <a:r>
            <a:rPr lang="en-US" sz="800" kern="1200"/>
            <a:t>PC5.1</a:t>
          </a:r>
        </a:p>
      </cdr:txBody>
    </cdr:sp>
  </cdr:relSizeAnchor>
</c:userShapes>
</file>

<file path=word/drawings/drawing2.xml><?xml version="1.0" encoding="utf-8"?>
<c:userShapes xmlns:c="http://schemas.openxmlformats.org/drawingml/2006/chart">
  <cdr:relSizeAnchor xmlns:cdr="http://schemas.openxmlformats.org/drawingml/2006/chartDrawing">
    <cdr:from>
      <cdr:x>0.21389</cdr:x>
      <cdr:y>0.68056</cdr:y>
    </cdr:from>
    <cdr:to>
      <cdr:x>0.31875</cdr:x>
      <cdr:y>0.76852</cdr:y>
    </cdr:to>
    <cdr:sp macro="" textlink="">
      <cdr:nvSpPr>
        <cdr:cNvPr id="2" name="TextBox 1">
          <a:extLst xmlns:a="http://schemas.openxmlformats.org/drawingml/2006/main">
            <a:ext uri="{FF2B5EF4-FFF2-40B4-BE49-F238E27FC236}">
              <a16:creationId xmlns:a16="http://schemas.microsoft.com/office/drawing/2014/main" id="{9BE2A01A-BF66-EEC6-4614-C5407B7B3D55}"/>
            </a:ext>
          </a:extLst>
        </cdr:cNvPr>
        <cdr:cNvSpPr txBox="1"/>
      </cdr:nvSpPr>
      <cdr:spPr>
        <a:xfrm xmlns:a="http://schemas.openxmlformats.org/drawingml/2006/main">
          <a:off x="977900" y="1866900"/>
          <a:ext cx="479425" cy="241300"/>
        </a:xfrm>
        <a:prstGeom xmlns:a="http://schemas.openxmlformats.org/drawingml/2006/main" prst="rect">
          <a:avLst/>
        </a:prstGeom>
      </cdr:spPr>
      <cdr:txBody>
        <a:bodyPr xmlns:a="http://schemas.openxmlformats.org/drawingml/2006/main" wrap="square" rtlCol="0" anchor="ctr"/>
        <a:lstStyle xmlns:a="http://schemas.openxmlformats.org/drawingml/2006/main">
          <a:lvl1pPr marL="0" indent="0">
            <a:defRPr sz="1100">
              <a:latin typeface="+mn-lt"/>
              <a:ea typeface="+mn-ea"/>
              <a:cs typeface="+mn-cs"/>
            </a:defRPr>
          </a:lvl1pPr>
          <a:lvl2pPr marL="457200" indent="0">
            <a:defRPr sz="1100">
              <a:latin typeface="+mn-lt"/>
              <a:ea typeface="+mn-ea"/>
              <a:cs typeface="+mn-cs"/>
            </a:defRPr>
          </a:lvl2pPr>
          <a:lvl3pPr marL="914400" indent="0">
            <a:defRPr sz="1100">
              <a:latin typeface="+mn-lt"/>
              <a:ea typeface="+mn-ea"/>
              <a:cs typeface="+mn-cs"/>
            </a:defRPr>
          </a:lvl3pPr>
          <a:lvl4pPr marL="1371600" indent="0">
            <a:defRPr sz="1100">
              <a:latin typeface="+mn-lt"/>
              <a:ea typeface="+mn-ea"/>
              <a:cs typeface="+mn-cs"/>
            </a:defRPr>
          </a:lvl4pPr>
          <a:lvl5pPr marL="1828800" indent="0">
            <a:defRPr sz="1100">
              <a:latin typeface="+mn-lt"/>
              <a:ea typeface="+mn-ea"/>
              <a:cs typeface="+mn-cs"/>
            </a:defRPr>
          </a:lvl5pPr>
          <a:lvl6pPr marL="2286000" indent="0">
            <a:defRPr sz="1100">
              <a:latin typeface="+mn-lt"/>
              <a:ea typeface="+mn-ea"/>
              <a:cs typeface="+mn-cs"/>
            </a:defRPr>
          </a:lvl6pPr>
          <a:lvl7pPr marL="2743200" indent="0">
            <a:defRPr sz="1100">
              <a:latin typeface="+mn-lt"/>
              <a:ea typeface="+mn-ea"/>
              <a:cs typeface="+mn-cs"/>
            </a:defRPr>
          </a:lvl7pPr>
          <a:lvl8pPr marL="3200400" indent="0">
            <a:defRPr sz="1100">
              <a:latin typeface="+mn-lt"/>
              <a:ea typeface="+mn-ea"/>
              <a:cs typeface="+mn-cs"/>
            </a:defRPr>
          </a:lvl8pPr>
          <a:lvl9pPr marL="3657600" indent="0">
            <a:defRPr sz="1100">
              <a:latin typeface="+mn-lt"/>
              <a:ea typeface="+mn-ea"/>
              <a:cs typeface="+mn-cs"/>
            </a:defRPr>
          </a:lvl9pPr>
        </a:lstStyle>
        <a:p xmlns:a="http://schemas.openxmlformats.org/drawingml/2006/main">
          <a:pPr algn="ctr"/>
          <a:r>
            <a:rPr lang="en-US" sz="800" kern="1200"/>
            <a:t>2x PC2</a:t>
          </a:r>
          <a:r>
            <a:rPr lang="en-US" sz="800" kern="1200" baseline="0"/>
            <a:t> (4x PC1)</a:t>
          </a:r>
          <a:endParaRPr lang="en-US" sz="800" kern="1200"/>
        </a:p>
      </cdr:txBody>
    </cdr:sp>
  </cdr:relSizeAnchor>
  <cdr:relSizeAnchor xmlns:cdr="http://schemas.openxmlformats.org/drawingml/2006/chartDrawing">
    <cdr:from>
      <cdr:x>0.35486</cdr:x>
      <cdr:y>0.38889</cdr:y>
    </cdr:from>
    <cdr:to>
      <cdr:x>0.50625</cdr:x>
      <cdr:y>0.72685</cdr:y>
    </cdr:to>
    <cdr:sp macro="" textlink="">
      <cdr:nvSpPr>
        <cdr:cNvPr id="4" name="Oval 3">
          <a:extLst xmlns:a="http://schemas.openxmlformats.org/drawingml/2006/main">
            <a:ext uri="{FF2B5EF4-FFF2-40B4-BE49-F238E27FC236}">
              <a16:creationId xmlns:a16="http://schemas.microsoft.com/office/drawing/2014/main" id="{E4184905-8944-42CC-EE79-34A4F405489D}"/>
            </a:ext>
          </a:extLst>
        </cdr:cNvPr>
        <cdr:cNvSpPr/>
      </cdr:nvSpPr>
      <cdr:spPr>
        <a:xfrm xmlns:a="http://schemas.openxmlformats.org/drawingml/2006/main">
          <a:off x="1622425" y="1066800"/>
          <a:ext cx="692150" cy="927100"/>
        </a:xfrm>
        <a:prstGeom xmlns:a="http://schemas.openxmlformats.org/drawingml/2006/main" prst="ellipse">
          <a:avLst/>
        </a:prstGeom>
        <a:noFill xmlns:a="http://schemas.openxmlformats.org/drawingml/2006/main"/>
        <a:ln xmlns:a="http://schemas.openxmlformats.org/drawingml/2006/main">
          <a:solidFill>
            <a:srgbClr val="FF0000"/>
          </a:solidFill>
        </a:ln>
      </cdr:spPr>
      <cdr:style>
        <a:lnRef xmlns:a="http://schemas.openxmlformats.org/drawingml/2006/main" idx="2">
          <a:schemeClr val="accent1">
            <a:shade val="15000"/>
          </a:schemeClr>
        </a:lnRef>
        <a:fillRef xmlns:a="http://schemas.openxmlformats.org/drawingml/2006/main" idx="1">
          <a:schemeClr val="accent1"/>
        </a:fillRef>
        <a:effectRef xmlns:a="http://schemas.openxmlformats.org/drawingml/2006/main" idx="0">
          <a:schemeClr val="accent1"/>
        </a:effectRef>
        <a:fontRef xmlns:a="http://schemas.openxmlformats.org/drawingml/2006/main" idx="minor">
          <a:schemeClr val="lt1"/>
        </a:fontRef>
      </cdr:style>
      <cdr:txBody>
        <a:bodyPr xmlns:a="http://schemas.openxmlformats.org/drawingml/2006/main"/>
        <a:lstStyle xmlns:a="http://schemas.openxmlformats.org/drawingml/2006/main">
          <a:lvl1pPr marL="0" indent="0">
            <a:defRPr sz="1100">
              <a:solidFill>
                <a:schemeClr val="lt1"/>
              </a:solidFill>
              <a:latin typeface="+mn-lt"/>
              <a:ea typeface="+mn-ea"/>
              <a:cs typeface="+mn-cs"/>
            </a:defRPr>
          </a:lvl1pPr>
          <a:lvl2pPr marL="457200" indent="0">
            <a:defRPr sz="1100">
              <a:solidFill>
                <a:schemeClr val="lt1"/>
              </a:solidFill>
              <a:latin typeface="+mn-lt"/>
              <a:ea typeface="+mn-ea"/>
              <a:cs typeface="+mn-cs"/>
            </a:defRPr>
          </a:lvl2pPr>
          <a:lvl3pPr marL="914400" indent="0">
            <a:defRPr sz="1100">
              <a:solidFill>
                <a:schemeClr val="lt1"/>
              </a:solidFill>
              <a:latin typeface="+mn-lt"/>
              <a:ea typeface="+mn-ea"/>
              <a:cs typeface="+mn-cs"/>
            </a:defRPr>
          </a:lvl3pPr>
          <a:lvl4pPr marL="1371600" indent="0">
            <a:defRPr sz="1100">
              <a:solidFill>
                <a:schemeClr val="lt1"/>
              </a:solidFill>
              <a:latin typeface="+mn-lt"/>
              <a:ea typeface="+mn-ea"/>
              <a:cs typeface="+mn-cs"/>
            </a:defRPr>
          </a:lvl4pPr>
          <a:lvl5pPr marL="1828800" indent="0">
            <a:defRPr sz="1100">
              <a:solidFill>
                <a:schemeClr val="lt1"/>
              </a:solidFill>
              <a:latin typeface="+mn-lt"/>
              <a:ea typeface="+mn-ea"/>
              <a:cs typeface="+mn-cs"/>
            </a:defRPr>
          </a:lvl5pPr>
          <a:lvl6pPr marL="2286000" indent="0">
            <a:defRPr sz="1100">
              <a:solidFill>
                <a:schemeClr val="lt1"/>
              </a:solidFill>
              <a:latin typeface="+mn-lt"/>
              <a:ea typeface="+mn-ea"/>
              <a:cs typeface="+mn-cs"/>
            </a:defRPr>
          </a:lvl6pPr>
          <a:lvl7pPr marL="2743200" indent="0">
            <a:defRPr sz="1100">
              <a:solidFill>
                <a:schemeClr val="lt1"/>
              </a:solidFill>
              <a:latin typeface="+mn-lt"/>
              <a:ea typeface="+mn-ea"/>
              <a:cs typeface="+mn-cs"/>
            </a:defRPr>
          </a:lvl7pPr>
          <a:lvl8pPr marL="3200400" indent="0">
            <a:defRPr sz="1100">
              <a:solidFill>
                <a:schemeClr val="lt1"/>
              </a:solidFill>
              <a:latin typeface="+mn-lt"/>
              <a:ea typeface="+mn-ea"/>
              <a:cs typeface="+mn-cs"/>
            </a:defRPr>
          </a:lvl8pPr>
          <a:lvl9pPr marL="3657600" indent="0">
            <a:defRPr sz="1100">
              <a:solidFill>
                <a:schemeClr val="lt1"/>
              </a:solidFill>
              <a:latin typeface="+mn-lt"/>
              <a:ea typeface="+mn-ea"/>
              <a:cs typeface="+mn-cs"/>
            </a:defRPr>
          </a:lvl9pPr>
        </a:lstStyle>
        <a:p xmlns:a="http://schemas.openxmlformats.org/drawingml/2006/main">
          <a:endParaRPr lang="en-US" kern="1200"/>
        </a:p>
      </cdr:txBody>
    </cdr:sp>
  </cdr:relSizeAnchor>
  <cdr:relSizeAnchor xmlns:cdr="http://schemas.openxmlformats.org/drawingml/2006/chartDrawing">
    <cdr:from>
      <cdr:x>0.29653</cdr:x>
      <cdr:y>0.30093</cdr:y>
    </cdr:from>
    <cdr:to>
      <cdr:x>0.43958</cdr:x>
      <cdr:y>0.37963</cdr:y>
    </cdr:to>
    <cdr:sp macro="" textlink="">
      <cdr:nvSpPr>
        <cdr:cNvPr id="6" name="TextBox 1">
          <a:extLst xmlns:a="http://schemas.openxmlformats.org/drawingml/2006/main">
            <a:ext uri="{FF2B5EF4-FFF2-40B4-BE49-F238E27FC236}">
              <a16:creationId xmlns:a16="http://schemas.microsoft.com/office/drawing/2014/main" id="{F33E7C23-17B3-6793-C837-A3EF7E217314}"/>
            </a:ext>
          </a:extLst>
        </cdr:cNvPr>
        <cdr:cNvSpPr txBox="1"/>
      </cdr:nvSpPr>
      <cdr:spPr>
        <a:xfrm xmlns:a="http://schemas.openxmlformats.org/drawingml/2006/main">
          <a:off x="1355726" y="825500"/>
          <a:ext cx="654050" cy="215900"/>
        </a:xfrm>
        <a:prstGeom xmlns:a="http://schemas.openxmlformats.org/drawingml/2006/main" prst="rect">
          <a:avLst/>
        </a:prstGeom>
      </cdr:spPr>
      <cdr:txBody>
        <a:bodyPr xmlns:a="http://schemas.openxmlformats.org/drawingml/2006/main" wrap="square" rtlCol="0" anchor="ctr"/>
        <a:lstStyle xmlns:a="http://schemas.openxmlformats.org/drawingml/2006/main">
          <a:lvl1pPr marL="0" indent="0">
            <a:defRPr sz="1100">
              <a:latin typeface="+mn-lt"/>
              <a:ea typeface="+mn-ea"/>
              <a:cs typeface="+mn-cs"/>
            </a:defRPr>
          </a:lvl1pPr>
          <a:lvl2pPr marL="457200" indent="0">
            <a:defRPr sz="1100">
              <a:latin typeface="+mn-lt"/>
              <a:ea typeface="+mn-ea"/>
              <a:cs typeface="+mn-cs"/>
            </a:defRPr>
          </a:lvl2pPr>
          <a:lvl3pPr marL="914400" indent="0">
            <a:defRPr sz="1100">
              <a:latin typeface="+mn-lt"/>
              <a:ea typeface="+mn-ea"/>
              <a:cs typeface="+mn-cs"/>
            </a:defRPr>
          </a:lvl3pPr>
          <a:lvl4pPr marL="1371600" indent="0">
            <a:defRPr sz="1100">
              <a:latin typeface="+mn-lt"/>
              <a:ea typeface="+mn-ea"/>
              <a:cs typeface="+mn-cs"/>
            </a:defRPr>
          </a:lvl4pPr>
          <a:lvl5pPr marL="1828800" indent="0">
            <a:defRPr sz="1100">
              <a:latin typeface="+mn-lt"/>
              <a:ea typeface="+mn-ea"/>
              <a:cs typeface="+mn-cs"/>
            </a:defRPr>
          </a:lvl5pPr>
          <a:lvl6pPr marL="2286000" indent="0">
            <a:defRPr sz="1100">
              <a:latin typeface="+mn-lt"/>
              <a:ea typeface="+mn-ea"/>
              <a:cs typeface="+mn-cs"/>
            </a:defRPr>
          </a:lvl6pPr>
          <a:lvl7pPr marL="2743200" indent="0">
            <a:defRPr sz="1100">
              <a:latin typeface="+mn-lt"/>
              <a:ea typeface="+mn-ea"/>
              <a:cs typeface="+mn-cs"/>
            </a:defRPr>
          </a:lvl7pPr>
          <a:lvl8pPr marL="3200400" indent="0">
            <a:defRPr sz="1100">
              <a:latin typeface="+mn-lt"/>
              <a:ea typeface="+mn-ea"/>
              <a:cs typeface="+mn-cs"/>
            </a:defRPr>
          </a:lvl8pPr>
          <a:lvl9pPr marL="3657600" indent="0">
            <a:defRPr sz="1100">
              <a:latin typeface="+mn-lt"/>
              <a:ea typeface="+mn-ea"/>
              <a:cs typeface="+mn-cs"/>
            </a:defRPr>
          </a:lvl9pPr>
        </a:lstStyle>
        <a:p xmlns:a="http://schemas.openxmlformats.org/drawingml/2006/main">
          <a:pPr algn="ctr"/>
          <a:r>
            <a:rPr lang="en-US" sz="800" kern="1200"/>
            <a:t>2x and 2.33x PC3</a:t>
          </a:r>
        </a:p>
      </cdr:txBody>
    </cdr:sp>
  </cdr:relSizeAnchor>
  <cdr:relSizeAnchor xmlns:cdr="http://schemas.openxmlformats.org/drawingml/2006/chartDrawing">
    <cdr:from>
      <cdr:x>0.50694</cdr:x>
      <cdr:y>0.28009</cdr:y>
    </cdr:from>
    <cdr:to>
      <cdr:x>0.67292</cdr:x>
      <cdr:y>0.75</cdr:y>
    </cdr:to>
    <cdr:sp macro="" textlink="">
      <cdr:nvSpPr>
        <cdr:cNvPr id="7" name="Oval 6">
          <a:extLst xmlns:a="http://schemas.openxmlformats.org/drawingml/2006/main">
            <a:ext uri="{FF2B5EF4-FFF2-40B4-BE49-F238E27FC236}">
              <a16:creationId xmlns:a16="http://schemas.microsoft.com/office/drawing/2014/main" id="{EBC7839A-5B23-88C0-D197-CEB19B77B742}"/>
            </a:ext>
          </a:extLst>
        </cdr:cNvPr>
        <cdr:cNvSpPr/>
      </cdr:nvSpPr>
      <cdr:spPr>
        <a:xfrm xmlns:a="http://schemas.openxmlformats.org/drawingml/2006/main">
          <a:off x="2317750" y="768350"/>
          <a:ext cx="758825" cy="1289050"/>
        </a:xfrm>
        <a:prstGeom xmlns:a="http://schemas.openxmlformats.org/drawingml/2006/main" prst="ellipse">
          <a:avLst/>
        </a:prstGeom>
        <a:noFill xmlns:a="http://schemas.openxmlformats.org/drawingml/2006/main"/>
        <a:ln xmlns:a="http://schemas.openxmlformats.org/drawingml/2006/main">
          <a:solidFill>
            <a:srgbClr val="FF0000"/>
          </a:solidFill>
        </a:ln>
      </cdr:spPr>
      <cdr:style>
        <a:lnRef xmlns:a="http://schemas.openxmlformats.org/drawingml/2006/main" idx="2">
          <a:schemeClr val="accent1">
            <a:shade val="15000"/>
          </a:schemeClr>
        </a:lnRef>
        <a:fillRef xmlns:a="http://schemas.openxmlformats.org/drawingml/2006/main" idx="1">
          <a:schemeClr val="accent1"/>
        </a:fillRef>
        <a:effectRef xmlns:a="http://schemas.openxmlformats.org/drawingml/2006/main" idx="0">
          <a:schemeClr val="accent1"/>
        </a:effectRef>
        <a:fontRef xmlns:a="http://schemas.openxmlformats.org/drawingml/2006/main" idx="minor">
          <a:schemeClr val="lt1"/>
        </a:fontRef>
      </cdr:style>
      <cdr:txBody>
        <a:bodyPr xmlns:a="http://schemas.openxmlformats.org/drawingml/2006/main"/>
        <a:lstStyle xmlns:a="http://schemas.openxmlformats.org/drawingml/2006/main">
          <a:lvl1pPr marL="0" indent="0">
            <a:defRPr sz="1100">
              <a:solidFill>
                <a:schemeClr val="lt1"/>
              </a:solidFill>
              <a:latin typeface="+mn-lt"/>
              <a:ea typeface="+mn-ea"/>
              <a:cs typeface="+mn-cs"/>
            </a:defRPr>
          </a:lvl1pPr>
          <a:lvl2pPr marL="457200" indent="0">
            <a:defRPr sz="1100">
              <a:solidFill>
                <a:schemeClr val="lt1"/>
              </a:solidFill>
              <a:latin typeface="+mn-lt"/>
              <a:ea typeface="+mn-ea"/>
              <a:cs typeface="+mn-cs"/>
            </a:defRPr>
          </a:lvl2pPr>
          <a:lvl3pPr marL="914400" indent="0">
            <a:defRPr sz="1100">
              <a:solidFill>
                <a:schemeClr val="lt1"/>
              </a:solidFill>
              <a:latin typeface="+mn-lt"/>
              <a:ea typeface="+mn-ea"/>
              <a:cs typeface="+mn-cs"/>
            </a:defRPr>
          </a:lvl3pPr>
          <a:lvl4pPr marL="1371600" indent="0">
            <a:defRPr sz="1100">
              <a:solidFill>
                <a:schemeClr val="lt1"/>
              </a:solidFill>
              <a:latin typeface="+mn-lt"/>
              <a:ea typeface="+mn-ea"/>
              <a:cs typeface="+mn-cs"/>
            </a:defRPr>
          </a:lvl4pPr>
          <a:lvl5pPr marL="1828800" indent="0">
            <a:defRPr sz="1100">
              <a:solidFill>
                <a:schemeClr val="lt1"/>
              </a:solidFill>
              <a:latin typeface="+mn-lt"/>
              <a:ea typeface="+mn-ea"/>
              <a:cs typeface="+mn-cs"/>
            </a:defRPr>
          </a:lvl5pPr>
          <a:lvl6pPr marL="2286000" indent="0">
            <a:defRPr sz="1100">
              <a:solidFill>
                <a:schemeClr val="lt1"/>
              </a:solidFill>
              <a:latin typeface="+mn-lt"/>
              <a:ea typeface="+mn-ea"/>
              <a:cs typeface="+mn-cs"/>
            </a:defRPr>
          </a:lvl6pPr>
          <a:lvl7pPr marL="2743200" indent="0">
            <a:defRPr sz="1100">
              <a:solidFill>
                <a:schemeClr val="lt1"/>
              </a:solidFill>
              <a:latin typeface="+mn-lt"/>
              <a:ea typeface="+mn-ea"/>
              <a:cs typeface="+mn-cs"/>
            </a:defRPr>
          </a:lvl7pPr>
          <a:lvl8pPr marL="3200400" indent="0">
            <a:defRPr sz="1100">
              <a:solidFill>
                <a:schemeClr val="lt1"/>
              </a:solidFill>
              <a:latin typeface="+mn-lt"/>
              <a:ea typeface="+mn-ea"/>
              <a:cs typeface="+mn-cs"/>
            </a:defRPr>
          </a:lvl8pPr>
          <a:lvl9pPr marL="3657600" indent="0">
            <a:defRPr sz="1100">
              <a:solidFill>
                <a:schemeClr val="lt1"/>
              </a:solidFill>
              <a:latin typeface="+mn-lt"/>
              <a:ea typeface="+mn-ea"/>
              <a:cs typeface="+mn-cs"/>
            </a:defRPr>
          </a:lvl9pPr>
        </a:lstStyle>
        <a:p xmlns:a="http://schemas.openxmlformats.org/drawingml/2006/main">
          <a:endParaRPr lang="en-US" kern="1200"/>
        </a:p>
      </cdr:txBody>
    </cdr:sp>
  </cdr:relSizeAnchor>
  <cdr:relSizeAnchor xmlns:cdr="http://schemas.openxmlformats.org/drawingml/2006/chartDrawing">
    <cdr:from>
      <cdr:x>0.57917</cdr:x>
      <cdr:y>0.20139</cdr:y>
    </cdr:from>
    <cdr:to>
      <cdr:x>0.72222</cdr:x>
      <cdr:y>0.28009</cdr:y>
    </cdr:to>
    <cdr:sp macro="" textlink="">
      <cdr:nvSpPr>
        <cdr:cNvPr id="10" name="TextBox 1">
          <a:extLst xmlns:a="http://schemas.openxmlformats.org/drawingml/2006/main">
            <a:ext uri="{FF2B5EF4-FFF2-40B4-BE49-F238E27FC236}">
              <a16:creationId xmlns:a16="http://schemas.microsoft.com/office/drawing/2014/main" id="{1E36AB2D-2D04-F6A6-8374-644834B2C7DE}"/>
            </a:ext>
          </a:extLst>
        </cdr:cNvPr>
        <cdr:cNvSpPr txBox="1"/>
      </cdr:nvSpPr>
      <cdr:spPr>
        <a:xfrm xmlns:a="http://schemas.openxmlformats.org/drawingml/2006/main">
          <a:off x="2647950" y="552450"/>
          <a:ext cx="654050" cy="215900"/>
        </a:xfrm>
        <a:prstGeom xmlns:a="http://schemas.openxmlformats.org/drawingml/2006/main" prst="rect">
          <a:avLst/>
        </a:prstGeom>
      </cdr:spPr>
      <cdr:txBody>
        <a:bodyPr xmlns:a="http://schemas.openxmlformats.org/drawingml/2006/main" wrap="square" rtlCol="0" anchor="ctr"/>
        <a:lstStyle xmlns:a="http://schemas.openxmlformats.org/drawingml/2006/main">
          <a:lvl1pPr marL="0" indent="0">
            <a:defRPr sz="1100">
              <a:latin typeface="+mn-lt"/>
              <a:ea typeface="+mn-ea"/>
              <a:cs typeface="+mn-cs"/>
            </a:defRPr>
          </a:lvl1pPr>
          <a:lvl2pPr marL="457200" indent="0">
            <a:defRPr sz="1100">
              <a:latin typeface="+mn-lt"/>
              <a:ea typeface="+mn-ea"/>
              <a:cs typeface="+mn-cs"/>
            </a:defRPr>
          </a:lvl2pPr>
          <a:lvl3pPr marL="914400" indent="0">
            <a:defRPr sz="1100">
              <a:latin typeface="+mn-lt"/>
              <a:ea typeface="+mn-ea"/>
              <a:cs typeface="+mn-cs"/>
            </a:defRPr>
          </a:lvl3pPr>
          <a:lvl4pPr marL="1371600" indent="0">
            <a:defRPr sz="1100">
              <a:latin typeface="+mn-lt"/>
              <a:ea typeface="+mn-ea"/>
              <a:cs typeface="+mn-cs"/>
            </a:defRPr>
          </a:lvl4pPr>
          <a:lvl5pPr marL="1828800" indent="0">
            <a:defRPr sz="1100">
              <a:latin typeface="+mn-lt"/>
              <a:ea typeface="+mn-ea"/>
              <a:cs typeface="+mn-cs"/>
            </a:defRPr>
          </a:lvl5pPr>
          <a:lvl6pPr marL="2286000" indent="0">
            <a:defRPr sz="1100">
              <a:latin typeface="+mn-lt"/>
              <a:ea typeface="+mn-ea"/>
              <a:cs typeface="+mn-cs"/>
            </a:defRPr>
          </a:lvl6pPr>
          <a:lvl7pPr marL="2743200" indent="0">
            <a:defRPr sz="1100">
              <a:latin typeface="+mn-lt"/>
              <a:ea typeface="+mn-ea"/>
              <a:cs typeface="+mn-cs"/>
            </a:defRPr>
          </a:lvl7pPr>
          <a:lvl8pPr marL="3200400" indent="0">
            <a:defRPr sz="1100">
              <a:latin typeface="+mn-lt"/>
              <a:ea typeface="+mn-ea"/>
              <a:cs typeface="+mn-cs"/>
            </a:defRPr>
          </a:lvl8pPr>
          <a:lvl9pPr marL="3657600" indent="0">
            <a:defRPr sz="1100">
              <a:latin typeface="+mn-lt"/>
              <a:ea typeface="+mn-ea"/>
              <a:cs typeface="+mn-cs"/>
            </a:defRPr>
          </a:lvl9pPr>
        </a:lstStyle>
        <a:p xmlns:a="http://schemas.openxmlformats.org/drawingml/2006/main">
          <a:pPr algn="ctr"/>
          <a:r>
            <a:rPr lang="en-US" sz="800" kern="1200"/>
            <a:t>2x and 2.25x PC4</a:t>
          </a:r>
        </a:p>
      </cdr:txBody>
    </cdr:sp>
  </cdr:relSizeAnchor>
  <cdr:relSizeAnchor xmlns:cdr="http://schemas.openxmlformats.org/drawingml/2006/chartDrawing">
    <cdr:from>
      <cdr:x>0.84444</cdr:x>
      <cdr:y>0.18981</cdr:y>
    </cdr:from>
    <cdr:to>
      <cdr:x>0.89792</cdr:x>
      <cdr:y>0.45139</cdr:y>
    </cdr:to>
    <cdr:sp macro="" textlink="">
      <cdr:nvSpPr>
        <cdr:cNvPr id="11" name="Oval 10">
          <a:extLst xmlns:a="http://schemas.openxmlformats.org/drawingml/2006/main">
            <a:ext uri="{FF2B5EF4-FFF2-40B4-BE49-F238E27FC236}">
              <a16:creationId xmlns:a16="http://schemas.microsoft.com/office/drawing/2014/main" id="{34E88650-5038-A482-4D16-89535FB505EE}"/>
            </a:ext>
          </a:extLst>
        </cdr:cNvPr>
        <cdr:cNvSpPr/>
      </cdr:nvSpPr>
      <cdr:spPr>
        <a:xfrm xmlns:a="http://schemas.openxmlformats.org/drawingml/2006/main">
          <a:off x="3860800" y="520700"/>
          <a:ext cx="244475" cy="717550"/>
        </a:xfrm>
        <a:prstGeom xmlns:a="http://schemas.openxmlformats.org/drawingml/2006/main" prst="ellipse">
          <a:avLst/>
        </a:prstGeom>
        <a:noFill xmlns:a="http://schemas.openxmlformats.org/drawingml/2006/main"/>
        <a:ln xmlns:a="http://schemas.openxmlformats.org/drawingml/2006/main">
          <a:solidFill>
            <a:srgbClr val="FF0000"/>
          </a:solidFill>
        </a:ln>
      </cdr:spPr>
      <cdr:style>
        <a:lnRef xmlns:a="http://schemas.openxmlformats.org/drawingml/2006/main" idx="2">
          <a:schemeClr val="accent1">
            <a:shade val="15000"/>
          </a:schemeClr>
        </a:lnRef>
        <a:fillRef xmlns:a="http://schemas.openxmlformats.org/drawingml/2006/main" idx="1">
          <a:schemeClr val="accent1"/>
        </a:fillRef>
        <a:effectRef xmlns:a="http://schemas.openxmlformats.org/drawingml/2006/main" idx="0">
          <a:schemeClr val="accent1"/>
        </a:effectRef>
        <a:fontRef xmlns:a="http://schemas.openxmlformats.org/drawingml/2006/main" idx="minor">
          <a:schemeClr val="lt1"/>
        </a:fontRef>
      </cdr:style>
      <cdr:txBody>
        <a:bodyPr xmlns:a="http://schemas.openxmlformats.org/drawingml/2006/main"/>
        <a:lstStyle xmlns:a="http://schemas.openxmlformats.org/drawingml/2006/main">
          <a:lvl1pPr marL="0" indent="0">
            <a:defRPr sz="1100">
              <a:solidFill>
                <a:schemeClr val="lt1"/>
              </a:solidFill>
              <a:latin typeface="+mn-lt"/>
              <a:ea typeface="+mn-ea"/>
              <a:cs typeface="+mn-cs"/>
            </a:defRPr>
          </a:lvl1pPr>
          <a:lvl2pPr marL="457200" indent="0">
            <a:defRPr sz="1100">
              <a:solidFill>
                <a:schemeClr val="lt1"/>
              </a:solidFill>
              <a:latin typeface="+mn-lt"/>
              <a:ea typeface="+mn-ea"/>
              <a:cs typeface="+mn-cs"/>
            </a:defRPr>
          </a:lvl2pPr>
          <a:lvl3pPr marL="914400" indent="0">
            <a:defRPr sz="1100">
              <a:solidFill>
                <a:schemeClr val="lt1"/>
              </a:solidFill>
              <a:latin typeface="+mn-lt"/>
              <a:ea typeface="+mn-ea"/>
              <a:cs typeface="+mn-cs"/>
            </a:defRPr>
          </a:lvl3pPr>
          <a:lvl4pPr marL="1371600" indent="0">
            <a:defRPr sz="1100">
              <a:solidFill>
                <a:schemeClr val="lt1"/>
              </a:solidFill>
              <a:latin typeface="+mn-lt"/>
              <a:ea typeface="+mn-ea"/>
              <a:cs typeface="+mn-cs"/>
            </a:defRPr>
          </a:lvl4pPr>
          <a:lvl5pPr marL="1828800" indent="0">
            <a:defRPr sz="1100">
              <a:solidFill>
                <a:schemeClr val="lt1"/>
              </a:solidFill>
              <a:latin typeface="+mn-lt"/>
              <a:ea typeface="+mn-ea"/>
              <a:cs typeface="+mn-cs"/>
            </a:defRPr>
          </a:lvl5pPr>
          <a:lvl6pPr marL="2286000" indent="0">
            <a:defRPr sz="1100">
              <a:solidFill>
                <a:schemeClr val="lt1"/>
              </a:solidFill>
              <a:latin typeface="+mn-lt"/>
              <a:ea typeface="+mn-ea"/>
              <a:cs typeface="+mn-cs"/>
            </a:defRPr>
          </a:lvl6pPr>
          <a:lvl7pPr marL="2743200" indent="0">
            <a:defRPr sz="1100">
              <a:solidFill>
                <a:schemeClr val="lt1"/>
              </a:solidFill>
              <a:latin typeface="+mn-lt"/>
              <a:ea typeface="+mn-ea"/>
              <a:cs typeface="+mn-cs"/>
            </a:defRPr>
          </a:lvl7pPr>
          <a:lvl8pPr marL="3200400" indent="0">
            <a:defRPr sz="1100">
              <a:solidFill>
                <a:schemeClr val="lt1"/>
              </a:solidFill>
              <a:latin typeface="+mn-lt"/>
              <a:ea typeface="+mn-ea"/>
              <a:cs typeface="+mn-cs"/>
            </a:defRPr>
          </a:lvl8pPr>
          <a:lvl9pPr marL="3657600" indent="0">
            <a:defRPr sz="1100">
              <a:solidFill>
                <a:schemeClr val="lt1"/>
              </a:solidFill>
              <a:latin typeface="+mn-lt"/>
              <a:ea typeface="+mn-ea"/>
              <a:cs typeface="+mn-cs"/>
            </a:defRPr>
          </a:lvl9pPr>
        </a:lstStyle>
        <a:p xmlns:a="http://schemas.openxmlformats.org/drawingml/2006/main">
          <a:endParaRPr lang="en-US" kern="1200"/>
        </a:p>
      </cdr:txBody>
    </cdr:sp>
  </cdr:relSizeAnchor>
  <cdr:relSizeAnchor xmlns:cdr="http://schemas.openxmlformats.org/drawingml/2006/chartDrawing">
    <cdr:from>
      <cdr:x>0.77431</cdr:x>
      <cdr:y>0.14583</cdr:y>
    </cdr:from>
    <cdr:to>
      <cdr:x>0.87917</cdr:x>
      <cdr:y>0.22685</cdr:y>
    </cdr:to>
    <cdr:sp macro="" textlink="">
      <cdr:nvSpPr>
        <cdr:cNvPr id="12" name="TextBox 1">
          <a:extLst xmlns:a="http://schemas.openxmlformats.org/drawingml/2006/main">
            <a:ext uri="{FF2B5EF4-FFF2-40B4-BE49-F238E27FC236}">
              <a16:creationId xmlns:a16="http://schemas.microsoft.com/office/drawing/2014/main" id="{2D1867A9-F568-4039-7DDB-8B65C3AD5A67}"/>
            </a:ext>
          </a:extLst>
        </cdr:cNvPr>
        <cdr:cNvSpPr txBox="1"/>
      </cdr:nvSpPr>
      <cdr:spPr>
        <a:xfrm xmlns:a="http://schemas.openxmlformats.org/drawingml/2006/main">
          <a:off x="3540124" y="400050"/>
          <a:ext cx="479425" cy="222250"/>
        </a:xfrm>
        <a:prstGeom xmlns:a="http://schemas.openxmlformats.org/drawingml/2006/main" prst="rect">
          <a:avLst/>
        </a:prstGeom>
      </cdr:spPr>
      <cdr:txBody>
        <a:bodyPr xmlns:a="http://schemas.openxmlformats.org/drawingml/2006/main" wrap="square" rtlCol="0" anchor="ctr"/>
        <a:lstStyle xmlns:a="http://schemas.openxmlformats.org/drawingml/2006/main">
          <a:lvl1pPr marL="0" indent="0">
            <a:defRPr sz="1100">
              <a:latin typeface="+mn-lt"/>
              <a:ea typeface="+mn-ea"/>
              <a:cs typeface="+mn-cs"/>
            </a:defRPr>
          </a:lvl1pPr>
          <a:lvl2pPr marL="457200" indent="0">
            <a:defRPr sz="1100">
              <a:latin typeface="+mn-lt"/>
              <a:ea typeface="+mn-ea"/>
              <a:cs typeface="+mn-cs"/>
            </a:defRPr>
          </a:lvl2pPr>
          <a:lvl3pPr marL="914400" indent="0">
            <a:defRPr sz="1100">
              <a:latin typeface="+mn-lt"/>
              <a:ea typeface="+mn-ea"/>
              <a:cs typeface="+mn-cs"/>
            </a:defRPr>
          </a:lvl3pPr>
          <a:lvl4pPr marL="1371600" indent="0">
            <a:defRPr sz="1100">
              <a:latin typeface="+mn-lt"/>
              <a:ea typeface="+mn-ea"/>
              <a:cs typeface="+mn-cs"/>
            </a:defRPr>
          </a:lvl4pPr>
          <a:lvl5pPr marL="1828800" indent="0">
            <a:defRPr sz="1100">
              <a:latin typeface="+mn-lt"/>
              <a:ea typeface="+mn-ea"/>
              <a:cs typeface="+mn-cs"/>
            </a:defRPr>
          </a:lvl5pPr>
          <a:lvl6pPr marL="2286000" indent="0">
            <a:defRPr sz="1100">
              <a:latin typeface="+mn-lt"/>
              <a:ea typeface="+mn-ea"/>
              <a:cs typeface="+mn-cs"/>
            </a:defRPr>
          </a:lvl6pPr>
          <a:lvl7pPr marL="2743200" indent="0">
            <a:defRPr sz="1100">
              <a:latin typeface="+mn-lt"/>
              <a:ea typeface="+mn-ea"/>
              <a:cs typeface="+mn-cs"/>
            </a:defRPr>
          </a:lvl7pPr>
          <a:lvl8pPr marL="3200400" indent="0">
            <a:defRPr sz="1100">
              <a:latin typeface="+mn-lt"/>
              <a:ea typeface="+mn-ea"/>
              <a:cs typeface="+mn-cs"/>
            </a:defRPr>
          </a:lvl8pPr>
          <a:lvl9pPr marL="3657600" indent="0">
            <a:defRPr sz="1100">
              <a:latin typeface="+mn-lt"/>
              <a:ea typeface="+mn-ea"/>
              <a:cs typeface="+mn-cs"/>
            </a:defRPr>
          </a:lvl9pPr>
        </a:lstStyle>
        <a:p xmlns:a="http://schemas.openxmlformats.org/drawingml/2006/main">
          <a:pPr algn="ctr"/>
          <a:r>
            <a:rPr lang="en-US" sz="800" kern="1200"/>
            <a:t>2x PC5</a:t>
          </a:r>
        </a:p>
      </cdr:txBody>
    </cdr:sp>
  </cdr:relSizeAnchor>
  <cdr:relSizeAnchor xmlns:cdr="http://schemas.openxmlformats.org/drawingml/2006/chartDrawing">
    <cdr:from>
      <cdr:x>0.35989</cdr:x>
      <cdr:y>0.59722</cdr:y>
    </cdr:from>
    <cdr:to>
      <cdr:x>0.45352</cdr:x>
      <cdr:y>0.68056</cdr:y>
    </cdr:to>
    <cdr:sp macro="" textlink="">
      <cdr:nvSpPr>
        <cdr:cNvPr id="3" name="TextBox 1">
          <a:extLst xmlns:a="http://schemas.openxmlformats.org/drawingml/2006/main">
            <a:ext uri="{FF2B5EF4-FFF2-40B4-BE49-F238E27FC236}">
              <a16:creationId xmlns:a16="http://schemas.microsoft.com/office/drawing/2014/main" id="{C84FAE95-338B-86A2-A7B9-72472680B068}"/>
            </a:ext>
          </a:extLst>
        </cdr:cNvPr>
        <cdr:cNvSpPr txBox="1"/>
      </cdr:nvSpPr>
      <cdr:spPr>
        <a:xfrm xmlns:a="http://schemas.openxmlformats.org/drawingml/2006/main">
          <a:off x="1720850" y="1638300"/>
          <a:ext cx="447675" cy="228600"/>
        </a:xfrm>
        <a:prstGeom xmlns:a="http://schemas.openxmlformats.org/drawingml/2006/main" prst="rect">
          <a:avLst/>
        </a:prstGeom>
      </cdr:spPr>
      <cdr:txBody>
        <a:bodyPr xmlns:a="http://schemas.openxmlformats.org/drawingml/2006/main" wrap="square" rtlCol="0" anchor="ctr"/>
        <a:lstStyle xmlns:a="http://schemas.openxmlformats.org/drawingml/2006/main">
          <a:lvl1pPr marL="0" indent="0">
            <a:defRPr sz="1100">
              <a:latin typeface="+mn-lt"/>
              <a:ea typeface="+mn-ea"/>
              <a:cs typeface="+mn-cs"/>
            </a:defRPr>
          </a:lvl1pPr>
          <a:lvl2pPr marL="457200" indent="0">
            <a:defRPr sz="1100">
              <a:latin typeface="+mn-lt"/>
              <a:ea typeface="+mn-ea"/>
              <a:cs typeface="+mn-cs"/>
            </a:defRPr>
          </a:lvl2pPr>
          <a:lvl3pPr marL="914400" indent="0">
            <a:defRPr sz="1100">
              <a:latin typeface="+mn-lt"/>
              <a:ea typeface="+mn-ea"/>
              <a:cs typeface="+mn-cs"/>
            </a:defRPr>
          </a:lvl3pPr>
          <a:lvl4pPr marL="1371600" indent="0">
            <a:defRPr sz="1100">
              <a:latin typeface="+mn-lt"/>
              <a:ea typeface="+mn-ea"/>
              <a:cs typeface="+mn-cs"/>
            </a:defRPr>
          </a:lvl4pPr>
          <a:lvl5pPr marL="1828800" indent="0">
            <a:defRPr sz="1100">
              <a:latin typeface="+mn-lt"/>
              <a:ea typeface="+mn-ea"/>
              <a:cs typeface="+mn-cs"/>
            </a:defRPr>
          </a:lvl5pPr>
          <a:lvl6pPr marL="2286000" indent="0">
            <a:defRPr sz="1100">
              <a:latin typeface="+mn-lt"/>
              <a:ea typeface="+mn-ea"/>
              <a:cs typeface="+mn-cs"/>
            </a:defRPr>
          </a:lvl6pPr>
          <a:lvl7pPr marL="2743200" indent="0">
            <a:defRPr sz="1100">
              <a:latin typeface="+mn-lt"/>
              <a:ea typeface="+mn-ea"/>
              <a:cs typeface="+mn-cs"/>
            </a:defRPr>
          </a:lvl7pPr>
          <a:lvl8pPr marL="3200400" indent="0">
            <a:defRPr sz="1100">
              <a:latin typeface="+mn-lt"/>
              <a:ea typeface="+mn-ea"/>
              <a:cs typeface="+mn-cs"/>
            </a:defRPr>
          </a:lvl8pPr>
          <a:lvl9pPr marL="3657600" indent="0">
            <a:defRPr sz="1100">
              <a:latin typeface="+mn-lt"/>
              <a:ea typeface="+mn-ea"/>
              <a:cs typeface="+mn-cs"/>
            </a:defRPr>
          </a:lvl9pPr>
        </a:lstStyle>
        <a:p xmlns:a="http://schemas.openxmlformats.org/drawingml/2006/main">
          <a:pPr algn="ctr"/>
          <a:r>
            <a:rPr lang="en-US" sz="800" kern="1200"/>
            <a:t>PC3.1</a:t>
          </a:r>
        </a:p>
      </cdr:txBody>
    </cdr:sp>
  </cdr:relSizeAnchor>
  <cdr:relSizeAnchor xmlns:cdr="http://schemas.openxmlformats.org/drawingml/2006/chartDrawing">
    <cdr:from>
      <cdr:x>0.3506</cdr:x>
      <cdr:y>0.5</cdr:y>
    </cdr:from>
    <cdr:to>
      <cdr:x>0.44422</cdr:x>
      <cdr:y>0.58333</cdr:y>
    </cdr:to>
    <cdr:sp macro="" textlink="">
      <cdr:nvSpPr>
        <cdr:cNvPr id="5" name="TextBox 1">
          <a:extLst xmlns:a="http://schemas.openxmlformats.org/drawingml/2006/main">
            <a:ext uri="{FF2B5EF4-FFF2-40B4-BE49-F238E27FC236}">
              <a16:creationId xmlns:a16="http://schemas.microsoft.com/office/drawing/2014/main" id="{E484ECFC-4CF2-6AE8-9C1F-782FCCE78952}"/>
            </a:ext>
          </a:extLst>
        </cdr:cNvPr>
        <cdr:cNvSpPr txBox="1"/>
      </cdr:nvSpPr>
      <cdr:spPr>
        <a:xfrm xmlns:a="http://schemas.openxmlformats.org/drawingml/2006/main">
          <a:off x="1676400" y="1371600"/>
          <a:ext cx="447675" cy="228600"/>
        </a:xfrm>
        <a:prstGeom xmlns:a="http://schemas.openxmlformats.org/drawingml/2006/main" prst="rect">
          <a:avLst/>
        </a:prstGeom>
      </cdr:spPr>
      <cdr:txBody>
        <a:bodyPr xmlns:a="http://schemas.openxmlformats.org/drawingml/2006/main" wrap="square" rtlCol="0" anchor="ctr"/>
        <a:lstStyle xmlns:a="http://schemas.openxmlformats.org/drawingml/2006/main">
          <a:lvl1pPr marL="0" indent="0">
            <a:defRPr sz="1100">
              <a:latin typeface="+mn-lt"/>
              <a:ea typeface="+mn-ea"/>
              <a:cs typeface="+mn-cs"/>
            </a:defRPr>
          </a:lvl1pPr>
          <a:lvl2pPr marL="457200" indent="0">
            <a:defRPr sz="1100">
              <a:latin typeface="+mn-lt"/>
              <a:ea typeface="+mn-ea"/>
              <a:cs typeface="+mn-cs"/>
            </a:defRPr>
          </a:lvl2pPr>
          <a:lvl3pPr marL="914400" indent="0">
            <a:defRPr sz="1100">
              <a:latin typeface="+mn-lt"/>
              <a:ea typeface="+mn-ea"/>
              <a:cs typeface="+mn-cs"/>
            </a:defRPr>
          </a:lvl3pPr>
          <a:lvl4pPr marL="1371600" indent="0">
            <a:defRPr sz="1100">
              <a:latin typeface="+mn-lt"/>
              <a:ea typeface="+mn-ea"/>
              <a:cs typeface="+mn-cs"/>
            </a:defRPr>
          </a:lvl4pPr>
          <a:lvl5pPr marL="1828800" indent="0">
            <a:defRPr sz="1100">
              <a:latin typeface="+mn-lt"/>
              <a:ea typeface="+mn-ea"/>
              <a:cs typeface="+mn-cs"/>
            </a:defRPr>
          </a:lvl5pPr>
          <a:lvl6pPr marL="2286000" indent="0">
            <a:defRPr sz="1100">
              <a:latin typeface="+mn-lt"/>
              <a:ea typeface="+mn-ea"/>
              <a:cs typeface="+mn-cs"/>
            </a:defRPr>
          </a:lvl6pPr>
          <a:lvl7pPr marL="2743200" indent="0">
            <a:defRPr sz="1100">
              <a:latin typeface="+mn-lt"/>
              <a:ea typeface="+mn-ea"/>
              <a:cs typeface="+mn-cs"/>
            </a:defRPr>
          </a:lvl7pPr>
          <a:lvl8pPr marL="3200400" indent="0">
            <a:defRPr sz="1100">
              <a:latin typeface="+mn-lt"/>
              <a:ea typeface="+mn-ea"/>
              <a:cs typeface="+mn-cs"/>
            </a:defRPr>
          </a:lvl8pPr>
          <a:lvl9pPr marL="3657600" indent="0">
            <a:defRPr sz="1100">
              <a:latin typeface="+mn-lt"/>
              <a:ea typeface="+mn-ea"/>
              <a:cs typeface="+mn-cs"/>
            </a:defRPr>
          </a:lvl9pPr>
        </a:lstStyle>
        <a:p xmlns:a="http://schemas.openxmlformats.org/drawingml/2006/main">
          <a:pPr algn="ctr"/>
          <a:r>
            <a:rPr lang="en-US" sz="800" kern="1200"/>
            <a:t>PC3.2</a:t>
          </a:r>
        </a:p>
      </cdr:txBody>
    </cdr:sp>
  </cdr:relSizeAnchor>
  <cdr:relSizeAnchor xmlns:cdr="http://schemas.openxmlformats.org/drawingml/2006/chartDrawing">
    <cdr:from>
      <cdr:x>0.43028</cdr:x>
      <cdr:y>0.66435</cdr:y>
    </cdr:from>
    <cdr:to>
      <cdr:x>0.5239</cdr:x>
      <cdr:y>0.74769</cdr:y>
    </cdr:to>
    <cdr:sp macro="" textlink="">
      <cdr:nvSpPr>
        <cdr:cNvPr id="8" name="TextBox 1">
          <a:extLst xmlns:a="http://schemas.openxmlformats.org/drawingml/2006/main">
            <a:ext uri="{FF2B5EF4-FFF2-40B4-BE49-F238E27FC236}">
              <a16:creationId xmlns:a16="http://schemas.microsoft.com/office/drawing/2014/main" id="{E484ECFC-4CF2-6AE8-9C1F-782FCCE78952}"/>
            </a:ext>
          </a:extLst>
        </cdr:cNvPr>
        <cdr:cNvSpPr txBox="1"/>
      </cdr:nvSpPr>
      <cdr:spPr>
        <a:xfrm xmlns:a="http://schemas.openxmlformats.org/drawingml/2006/main">
          <a:off x="2057400" y="1822450"/>
          <a:ext cx="447675" cy="228600"/>
        </a:xfrm>
        <a:prstGeom xmlns:a="http://schemas.openxmlformats.org/drawingml/2006/main" prst="rect">
          <a:avLst/>
        </a:prstGeom>
      </cdr:spPr>
      <cdr:txBody>
        <a:bodyPr xmlns:a="http://schemas.openxmlformats.org/drawingml/2006/main" wrap="square" rtlCol="0" anchor="ctr"/>
        <a:lstStyle xmlns:a="http://schemas.openxmlformats.org/drawingml/2006/main">
          <a:lvl1pPr marL="0" indent="0">
            <a:defRPr sz="1100">
              <a:latin typeface="+mn-lt"/>
              <a:ea typeface="+mn-ea"/>
              <a:cs typeface="+mn-cs"/>
            </a:defRPr>
          </a:lvl1pPr>
          <a:lvl2pPr marL="457200" indent="0">
            <a:defRPr sz="1100">
              <a:latin typeface="+mn-lt"/>
              <a:ea typeface="+mn-ea"/>
              <a:cs typeface="+mn-cs"/>
            </a:defRPr>
          </a:lvl2pPr>
          <a:lvl3pPr marL="914400" indent="0">
            <a:defRPr sz="1100">
              <a:latin typeface="+mn-lt"/>
              <a:ea typeface="+mn-ea"/>
              <a:cs typeface="+mn-cs"/>
            </a:defRPr>
          </a:lvl3pPr>
          <a:lvl4pPr marL="1371600" indent="0">
            <a:defRPr sz="1100">
              <a:latin typeface="+mn-lt"/>
              <a:ea typeface="+mn-ea"/>
              <a:cs typeface="+mn-cs"/>
            </a:defRPr>
          </a:lvl4pPr>
          <a:lvl5pPr marL="1828800" indent="0">
            <a:defRPr sz="1100">
              <a:latin typeface="+mn-lt"/>
              <a:ea typeface="+mn-ea"/>
              <a:cs typeface="+mn-cs"/>
            </a:defRPr>
          </a:lvl5pPr>
          <a:lvl6pPr marL="2286000" indent="0">
            <a:defRPr sz="1100">
              <a:latin typeface="+mn-lt"/>
              <a:ea typeface="+mn-ea"/>
              <a:cs typeface="+mn-cs"/>
            </a:defRPr>
          </a:lvl6pPr>
          <a:lvl7pPr marL="2743200" indent="0">
            <a:defRPr sz="1100">
              <a:latin typeface="+mn-lt"/>
              <a:ea typeface="+mn-ea"/>
              <a:cs typeface="+mn-cs"/>
            </a:defRPr>
          </a:lvl7pPr>
          <a:lvl8pPr marL="3200400" indent="0">
            <a:defRPr sz="1100">
              <a:latin typeface="+mn-lt"/>
              <a:ea typeface="+mn-ea"/>
              <a:cs typeface="+mn-cs"/>
            </a:defRPr>
          </a:lvl8pPr>
          <a:lvl9pPr marL="3657600" indent="0">
            <a:defRPr sz="1100">
              <a:latin typeface="+mn-lt"/>
              <a:ea typeface="+mn-ea"/>
              <a:cs typeface="+mn-cs"/>
            </a:defRPr>
          </a:lvl9pPr>
        </a:lstStyle>
        <a:p xmlns:a="http://schemas.openxmlformats.org/drawingml/2006/main">
          <a:pPr algn="ctr"/>
          <a:r>
            <a:rPr lang="en-US" sz="800" kern="1200"/>
            <a:t>PC3.4</a:t>
          </a:r>
        </a:p>
      </cdr:txBody>
    </cdr:sp>
  </cdr:relSizeAnchor>
  <cdr:relSizeAnchor xmlns:cdr="http://schemas.openxmlformats.org/drawingml/2006/chartDrawing">
    <cdr:from>
      <cdr:x>0.38911</cdr:x>
      <cdr:y>0.40509</cdr:y>
    </cdr:from>
    <cdr:to>
      <cdr:x>0.48274</cdr:x>
      <cdr:y>0.48843</cdr:y>
    </cdr:to>
    <cdr:sp macro="" textlink="">
      <cdr:nvSpPr>
        <cdr:cNvPr id="9" name="TextBox 1">
          <a:extLst xmlns:a="http://schemas.openxmlformats.org/drawingml/2006/main">
            <a:ext uri="{FF2B5EF4-FFF2-40B4-BE49-F238E27FC236}">
              <a16:creationId xmlns:a16="http://schemas.microsoft.com/office/drawing/2014/main" id="{3163860D-7F57-873B-3C68-A7FFF59D7451}"/>
            </a:ext>
          </a:extLst>
        </cdr:cNvPr>
        <cdr:cNvSpPr txBox="1"/>
      </cdr:nvSpPr>
      <cdr:spPr>
        <a:xfrm xmlns:a="http://schemas.openxmlformats.org/drawingml/2006/main">
          <a:off x="1860550" y="1111250"/>
          <a:ext cx="447675" cy="228600"/>
        </a:xfrm>
        <a:prstGeom xmlns:a="http://schemas.openxmlformats.org/drawingml/2006/main" prst="rect">
          <a:avLst/>
        </a:prstGeom>
      </cdr:spPr>
      <cdr:txBody>
        <a:bodyPr xmlns:a="http://schemas.openxmlformats.org/drawingml/2006/main" wrap="square" rtlCol="0" anchor="ctr"/>
        <a:lstStyle xmlns:a="http://schemas.openxmlformats.org/drawingml/2006/main">
          <a:lvl1pPr marL="0" indent="0">
            <a:defRPr sz="1100">
              <a:latin typeface="+mn-lt"/>
              <a:ea typeface="+mn-ea"/>
              <a:cs typeface="+mn-cs"/>
            </a:defRPr>
          </a:lvl1pPr>
          <a:lvl2pPr marL="457200" indent="0">
            <a:defRPr sz="1100">
              <a:latin typeface="+mn-lt"/>
              <a:ea typeface="+mn-ea"/>
              <a:cs typeface="+mn-cs"/>
            </a:defRPr>
          </a:lvl2pPr>
          <a:lvl3pPr marL="914400" indent="0">
            <a:defRPr sz="1100">
              <a:latin typeface="+mn-lt"/>
              <a:ea typeface="+mn-ea"/>
              <a:cs typeface="+mn-cs"/>
            </a:defRPr>
          </a:lvl3pPr>
          <a:lvl4pPr marL="1371600" indent="0">
            <a:defRPr sz="1100">
              <a:latin typeface="+mn-lt"/>
              <a:ea typeface="+mn-ea"/>
              <a:cs typeface="+mn-cs"/>
            </a:defRPr>
          </a:lvl4pPr>
          <a:lvl5pPr marL="1828800" indent="0">
            <a:defRPr sz="1100">
              <a:latin typeface="+mn-lt"/>
              <a:ea typeface="+mn-ea"/>
              <a:cs typeface="+mn-cs"/>
            </a:defRPr>
          </a:lvl5pPr>
          <a:lvl6pPr marL="2286000" indent="0">
            <a:defRPr sz="1100">
              <a:latin typeface="+mn-lt"/>
              <a:ea typeface="+mn-ea"/>
              <a:cs typeface="+mn-cs"/>
            </a:defRPr>
          </a:lvl6pPr>
          <a:lvl7pPr marL="2743200" indent="0">
            <a:defRPr sz="1100">
              <a:latin typeface="+mn-lt"/>
              <a:ea typeface="+mn-ea"/>
              <a:cs typeface="+mn-cs"/>
            </a:defRPr>
          </a:lvl7pPr>
          <a:lvl8pPr marL="3200400" indent="0">
            <a:defRPr sz="1100">
              <a:latin typeface="+mn-lt"/>
              <a:ea typeface="+mn-ea"/>
              <a:cs typeface="+mn-cs"/>
            </a:defRPr>
          </a:lvl8pPr>
          <a:lvl9pPr marL="3657600" indent="0">
            <a:defRPr sz="1100">
              <a:latin typeface="+mn-lt"/>
              <a:ea typeface="+mn-ea"/>
              <a:cs typeface="+mn-cs"/>
            </a:defRPr>
          </a:lvl9pPr>
        </a:lstStyle>
        <a:p xmlns:a="http://schemas.openxmlformats.org/drawingml/2006/main">
          <a:pPr algn="ctr"/>
          <a:r>
            <a:rPr lang="en-US" sz="800" kern="1200"/>
            <a:t>PC3.5</a:t>
          </a:r>
        </a:p>
      </cdr:txBody>
    </cdr:sp>
  </cdr:relSizeAnchor>
  <cdr:relSizeAnchor xmlns:cdr="http://schemas.openxmlformats.org/drawingml/2006/chartDrawing">
    <cdr:from>
      <cdr:x>0.51793</cdr:x>
      <cdr:y>0.43519</cdr:y>
    </cdr:from>
    <cdr:to>
      <cdr:x>0.61155</cdr:x>
      <cdr:y>0.51852</cdr:y>
    </cdr:to>
    <cdr:sp macro="" textlink="">
      <cdr:nvSpPr>
        <cdr:cNvPr id="13" name="TextBox 1">
          <a:extLst xmlns:a="http://schemas.openxmlformats.org/drawingml/2006/main">
            <a:ext uri="{FF2B5EF4-FFF2-40B4-BE49-F238E27FC236}">
              <a16:creationId xmlns:a16="http://schemas.microsoft.com/office/drawing/2014/main" id="{3163860D-7F57-873B-3C68-A7FFF59D7451}"/>
            </a:ext>
          </a:extLst>
        </cdr:cNvPr>
        <cdr:cNvSpPr txBox="1"/>
      </cdr:nvSpPr>
      <cdr:spPr>
        <a:xfrm xmlns:a="http://schemas.openxmlformats.org/drawingml/2006/main">
          <a:off x="2476500" y="1193800"/>
          <a:ext cx="447675" cy="228600"/>
        </a:xfrm>
        <a:prstGeom xmlns:a="http://schemas.openxmlformats.org/drawingml/2006/main" prst="rect">
          <a:avLst/>
        </a:prstGeom>
      </cdr:spPr>
      <cdr:txBody>
        <a:bodyPr xmlns:a="http://schemas.openxmlformats.org/drawingml/2006/main" wrap="square" rtlCol="0" anchor="ctr"/>
        <a:lstStyle xmlns:a="http://schemas.openxmlformats.org/drawingml/2006/main">
          <a:lvl1pPr marL="0" indent="0">
            <a:defRPr sz="1100">
              <a:latin typeface="+mn-lt"/>
              <a:ea typeface="+mn-ea"/>
              <a:cs typeface="+mn-cs"/>
            </a:defRPr>
          </a:lvl1pPr>
          <a:lvl2pPr marL="457200" indent="0">
            <a:defRPr sz="1100">
              <a:latin typeface="+mn-lt"/>
              <a:ea typeface="+mn-ea"/>
              <a:cs typeface="+mn-cs"/>
            </a:defRPr>
          </a:lvl2pPr>
          <a:lvl3pPr marL="914400" indent="0">
            <a:defRPr sz="1100">
              <a:latin typeface="+mn-lt"/>
              <a:ea typeface="+mn-ea"/>
              <a:cs typeface="+mn-cs"/>
            </a:defRPr>
          </a:lvl3pPr>
          <a:lvl4pPr marL="1371600" indent="0">
            <a:defRPr sz="1100">
              <a:latin typeface="+mn-lt"/>
              <a:ea typeface="+mn-ea"/>
              <a:cs typeface="+mn-cs"/>
            </a:defRPr>
          </a:lvl4pPr>
          <a:lvl5pPr marL="1828800" indent="0">
            <a:defRPr sz="1100">
              <a:latin typeface="+mn-lt"/>
              <a:ea typeface="+mn-ea"/>
              <a:cs typeface="+mn-cs"/>
            </a:defRPr>
          </a:lvl5pPr>
          <a:lvl6pPr marL="2286000" indent="0">
            <a:defRPr sz="1100">
              <a:latin typeface="+mn-lt"/>
              <a:ea typeface="+mn-ea"/>
              <a:cs typeface="+mn-cs"/>
            </a:defRPr>
          </a:lvl6pPr>
          <a:lvl7pPr marL="2743200" indent="0">
            <a:defRPr sz="1100">
              <a:latin typeface="+mn-lt"/>
              <a:ea typeface="+mn-ea"/>
              <a:cs typeface="+mn-cs"/>
            </a:defRPr>
          </a:lvl7pPr>
          <a:lvl8pPr marL="3200400" indent="0">
            <a:defRPr sz="1100">
              <a:latin typeface="+mn-lt"/>
              <a:ea typeface="+mn-ea"/>
              <a:cs typeface="+mn-cs"/>
            </a:defRPr>
          </a:lvl8pPr>
          <a:lvl9pPr marL="3657600" indent="0">
            <a:defRPr sz="1100">
              <a:latin typeface="+mn-lt"/>
              <a:ea typeface="+mn-ea"/>
              <a:cs typeface="+mn-cs"/>
            </a:defRPr>
          </a:lvl9pPr>
        </a:lstStyle>
        <a:p xmlns:a="http://schemas.openxmlformats.org/drawingml/2006/main">
          <a:pPr algn="ctr"/>
          <a:r>
            <a:rPr lang="en-US" sz="800" kern="1200"/>
            <a:t>PC4.1</a:t>
          </a:r>
        </a:p>
      </cdr:txBody>
    </cdr:sp>
  </cdr:relSizeAnchor>
  <cdr:relSizeAnchor xmlns:cdr="http://schemas.openxmlformats.org/drawingml/2006/chartDrawing">
    <cdr:from>
      <cdr:x>0.50863</cdr:x>
      <cdr:y>0.53241</cdr:y>
    </cdr:from>
    <cdr:to>
      <cdr:x>0.60226</cdr:x>
      <cdr:y>0.61574</cdr:y>
    </cdr:to>
    <cdr:sp macro="" textlink="">
      <cdr:nvSpPr>
        <cdr:cNvPr id="14" name="TextBox 1">
          <a:extLst xmlns:a="http://schemas.openxmlformats.org/drawingml/2006/main">
            <a:ext uri="{FF2B5EF4-FFF2-40B4-BE49-F238E27FC236}">
              <a16:creationId xmlns:a16="http://schemas.microsoft.com/office/drawing/2014/main" id="{E6F19333-8379-E192-4DB5-105FA9A4C2D0}"/>
            </a:ext>
          </a:extLst>
        </cdr:cNvPr>
        <cdr:cNvSpPr txBox="1"/>
      </cdr:nvSpPr>
      <cdr:spPr>
        <a:xfrm xmlns:a="http://schemas.openxmlformats.org/drawingml/2006/main">
          <a:off x="2432050" y="1460500"/>
          <a:ext cx="447675" cy="228600"/>
        </a:xfrm>
        <a:prstGeom xmlns:a="http://schemas.openxmlformats.org/drawingml/2006/main" prst="rect">
          <a:avLst/>
        </a:prstGeom>
      </cdr:spPr>
      <cdr:txBody>
        <a:bodyPr xmlns:a="http://schemas.openxmlformats.org/drawingml/2006/main" wrap="square" rtlCol="0" anchor="ctr"/>
        <a:lstStyle xmlns:a="http://schemas.openxmlformats.org/drawingml/2006/main">
          <a:lvl1pPr marL="0" indent="0">
            <a:defRPr sz="1100">
              <a:latin typeface="+mn-lt"/>
              <a:ea typeface="+mn-ea"/>
              <a:cs typeface="+mn-cs"/>
            </a:defRPr>
          </a:lvl1pPr>
          <a:lvl2pPr marL="457200" indent="0">
            <a:defRPr sz="1100">
              <a:latin typeface="+mn-lt"/>
              <a:ea typeface="+mn-ea"/>
              <a:cs typeface="+mn-cs"/>
            </a:defRPr>
          </a:lvl2pPr>
          <a:lvl3pPr marL="914400" indent="0">
            <a:defRPr sz="1100">
              <a:latin typeface="+mn-lt"/>
              <a:ea typeface="+mn-ea"/>
              <a:cs typeface="+mn-cs"/>
            </a:defRPr>
          </a:lvl3pPr>
          <a:lvl4pPr marL="1371600" indent="0">
            <a:defRPr sz="1100">
              <a:latin typeface="+mn-lt"/>
              <a:ea typeface="+mn-ea"/>
              <a:cs typeface="+mn-cs"/>
            </a:defRPr>
          </a:lvl4pPr>
          <a:lvl5pPr marL="1828800" indent="0">
            <a:defRPr sz="1100">
              <a:latin typeface="+mn-lt"/>
              <a:ea typeface="+mn-ea"/>
              <a:cs typeface="+mn-cs"/>
            </a:defRPr>
          </a:lvl5pPr>
          <a:lvl6pPr marL="2286000" indent="0">
            <a:defRPr sz="1100">
              <a:latin typeface="+mn-lt"/>
              <a:ea typeface="+mn-ea"/>
              <a:cs typeface="+mn-cs"/>
            </a:defRPr>
          </a:lvl6pPr>
          <a:lvl7pPr marL="2743200" indent="0">
            <a:defRPr sz="1100">
              <a:latin typeface="+mn-lt"/>
              <a:ea typeface="+mn-ea"/>
              <a:cs typeface="+mn-cs"/>
            </a:defRPr>
          </a:lvl7pPr>
          <a:lvl8pPr marL="3200400" indent="0">
            <a:defRPr sz="1100">
              <a:latin typeface="+mn-lt"/>
              <a:ea typeface="+mn-ea"/>
              <a:cs typeface="+mn-cs"/>
            </a:defRPr>
          </a:lvl8pPr>
          <a:lvl9pPr marL="3657600" indent="0">
            <a:defRPr sz="1100">
              <a:latin typeface="+mn-lt"/>
              <a:ea typeface="+mn-ea"/>
              <a:cs typeface="+mn-cs"/>
            </a:defRPr>
          </a:lvl9pPr>
        </a:lstStyle>
        <a:p xmlns:a="http://schemas.openxmlformats.org/drawingml/2006/main">
          <a:pPr algn="ctr"/>
          <a:r>
            <a:rPr lang="en-US" sz="800" kern="1200"/>
            <a:t>PC4.2</a:t>
          </a:r>
        </a:p>
      </cdr:txBody>
    </cdr:sp>
  </cdr:relSizeAnchor>
  <cdr:relSizeAnchor xmlns:cdr="http://schemas.openxmlformats.org/drawingml/2006/chartDrawing">
    <cdr:from>
      <cdr:x>0.49004</cdr:x>
      <cdr:y>0.32407</cdr:y>
    </cdr:from>
    <cdr:to>
      <cdr:x>0.58367</cdr:x>
      <cdr:y>0.40741</cdr:y>
    </cdr:to>
    <cdr:sp macro="" textlink="">
      <cdr:nvSpPr>
        <cdr:cNvPr id="15" name="TextBox 1">
          <a:extLst xmlns:a="http://schemas.openxmlformats.org/drawingml/2006/main">
            <a:ext uri="{FF2B5EF4-FFF2-40B4-BE49-F238E27FC236}">
              <a16:creationId xmlns:a16="http://schemas.microsoft.com/office/drawing/2014/main" id="{2D168755-1B9E-92DA-15C3-A59BD88F1003}"/>
            </a:ext>
          </a:extLst>
        </cdr:cNvPr>
        <cdr:cNvSpPr txBox="1"/>
      </cdr:nvSpPr>
      <cdr:spPr>
        <a:xfrm xmlns:a="http://schemas.openxmlformats.org/drawingml/2006/main">
          <a:off x="2343150" y="889000"/>
          <a:ext cx="447675" cy="228600"/>
        </a:xfrm>
        <a:prstGeom xmlns:a="http://schemas.openxmlformats.org/drawingml/2006/main" prst="rect">
          <a:avLst/>
        </a:prstGeom>
      </cdr:spPr>
      <cdr:txBody>
        <a:bodyPr xmlns:a="http://schemas.openxmlformats.org/drawingml/2006/main" wrap="square" rtlCol="0" anchor="ctr"/>
        <a:lstStyle xmlns:a="http://schemas.openxmlformats.org/drawingml/2006/main">
          <a:lvl1pPr marL="0" indent="0">
            <a:defRPr sz="1100">
              <a:latin typeface="+mn-lt"/>
              <a:ea typeface="+mn-ea"/>
              <a:cs typeface="+mn-cs"/>
            </a:defRPr>
          </a:lvl1pPr>
          <a:lvl2pPr marL="457200" indent="0">
            <a:defRPr sz="1100">
              <a:latin typeface="+mn-lt"/>
              <a:ea typeface="+mn-ea"/>
              <a:cs typeface="+mn-cs"/>
            </a:defRPr>
          </a:lvl2pPr>
          <a:lvl3pPr marL="914400" indent="0">
            <a:defRPr sz="1100">
              <a:latin typeface="+mn-lt"/>
              <a:ea typeface="+mn-ea"/>
              <a:cs typeface="+mn-cs"/>
            </a:defRPr>
          </a:lvl3pPr>
          <a:lvl4pPr marL="1371600" indent="0">
            <a:defRPr sz="1100">
              <a:latin typeface="+mn-lt"/>
              <a:ea typeface="+mn-ea"/>
              <a:cs typeface="+mn-cs"/>
            </a:defRPr>
          </a:lvl4pPr>
          <a:lvl5pPr marL="1828800" indent="0">
            <a:defRPr sz="1100">
              <a:latin typeface="+mn-lt"/>
              <a:ea typeface="+mn-ea"/>
              <a:cs typeface="+mn-cs"/>
            </a:defRPr>
          </a:lvl5pPr>
          <a:lvl6pPr marL="2286000" indent="0">
            <a:defRPr sz="1100">
              <a:latin typeface="+mn-lt"/>
              <a:ea typeface="+mn-ea"/>
              <a:cs typeface="+mn-cs"/>
            </a:defRPr>
          </a:lvl6pPr>
          <a:lvl7pPr marL="2743200" indent="0">
            <a:defRPr sz="1100">
              <a:latin typeface="+mn-lt"/>
              <a:ea typeface="+mn-ea"/>
              <a:cs typeface="+mn-cs"/>
            </a:defRPr>
          </a:lvl7pPr>
          <a:lvl8pPr marL="3200400" indent="0">
            <a:defRPr sz="1100">
              <a:latin typeface="+mn-lt"/>
              <a:ea typeface="+mn-ea"/>
              <a:cs typeface="+mn-cs"/>
            </a:defRPr>
          </a:lvl8pPr>
          <a:lvl9pPr marL="3657600" indent="0">
            <a:defRPr sz="1100">
              <a:latin typeface="+mn-lt"/>
              <a:ea typeface="+mn-ea"/>
              <a:cs typeface="+mn-cs"/>
            </a:defRPr>
          </a:lvl9pPr>
        </a:lstStyle>
        <a:p xmlns:a="http://schemas.openxmlformats.org/drawingml/2006/main">
          <a:pPr algn="ctr"/>
          <a:r>
            <a:rPr lang="en-US" sz="800" kern="1200"/>
            <a:t>PC4.3</a:t>
          </a:r>
        </a:p>
      </cdr:txBody>
    </cdr:sp>
  </cdr:relSizeAnchor>
  <cdr:relSizeAnchor xmlns:cdr="http://schemas.openxmlformats.org/drawingml/2006/chartDrawing">
    <cdr:from>
      <cdr:x>0.52324</cdr:x>
      <cdr:y>0.65972</cdr:y>
    </cdr:from>
    <cdr:to>
      <cdr:x>0.61687</cdr:x>
      <cdr:y>0.74306</cdr:y>
    </cdr:to>
    <cdr:sp macro="" textlink="">
      <cdr:nvSpPr>
        <cdr:cNvPr id="16" name="TextBox 1">
          <a:extLst xmlns:a="http://schemas.openxmlformats.org/drawingml/2006/main">
            <a:ext uri="{FF2B5EF4-FFF2-40B4-BE49-F238E27FC236}">
              <a16:creationId xmlns:a16="http://schemas.microsoft.com/office/drawing/2014/main" id="{2D168755-1B9E-92DA-15C3-A59BD88F1003}"/>
            </a:ext>
          </a:extLst>
        </cdr:cNvPr>
        <cdr:cNvSpPr txBox="1"/>
      </cdr:nvSpPr>
      <cdr:spPr>
        <a:xfrm xmlns:a="http://schemas.openxmlformats.org/drawingml/2006/main">
          <a:off x="2501900" y="1809750"/>
          <a:ext cx="447675" cy="228600"/>
        </a:xfrm>
        <a:prstGeom xmlns:a="http://schemas.openxmlformats.org/drawingml/2006/main" prst="rect">
          <a:avLst/>
        </a:prstGeom>
      </cdr:spPr>
      <cdr:txBody>
        <a:bodyPr xmlns:a="http://schemas.openxmlformats.org/drawingml/2006/main" wrap="square" rtlCol="0" anchor="ctr"/>
        <a:lstStyle xmlns:a="http://schemas.openxmlformats.org/drawingml/2006/main">
          <a:lvl1pPr marL="0" indent="0">
            <a:defRPr sz="1100">
              <a:latin typeface="+mn-lt"/>
              <a:ea typeface="+mn-ea"/>
              <a:cs typeface="+mn-cs"/>
            </a:defRPr>
          </a:lvl1pPr>
          <a:lvl2pPr marL="457200" indent="0">
            <a:defRPr sz="1100">
              <a:latin typeface="+mn-lt"/>
              <a:ea typeface="+mn-ea"/>
              <a:cs typeface="+mn-cs"/>
            </a:defRPr>
          </a:lvl2pPr>
          <a:lvl3pPr marL="914400" indent="0">
            <a:defRPr sz="1100">
              <a:latin typeface="+mn-lt"/>
              <a:ea typeface="+mn-ea"/>
              <a:cs typeface="+mn-cs"/>
            </a:defRPr>
          </a:lvl3pPr>
          <a:lvl4pPr marL="1371600" indent="0">
            <a:defRPr sz="1100">
              <a:latin typeface="+mn-lt"/>
              <a:ea typeface="+mn-ea"/>
              <a:cs typeface="+mn-cs"/>
            </a:defRPr>
          </a:lvl4pPr>
          <a:lvl5pPr marL="1828800" indent="0">
            <a:defRPr sz="1100">
              <a:latin typeface="+mn-lt"/>
              <a:ea typeface="+mn-ea"/>
              <a:cs typeface="+mn-cs"/>
            </a:defRPr>
          </a:lvl5pPr>
          <a:lvl6pPr marL="2286000" indent="0">
            <a:defRPr sz="1100">
              <a:latin typeface="+mn-lt"/>
              <a:ea typeface="+mn-ea"/>
              <a:cs typeface="+mn-cs"/>
            </a:defRPr>
          </a:lvl6pPr>
          <a:lvl7pPr marL="2743200" indent="0">
            <a:defRPr sz="1100">
              <a:latin typeface="+mn-lt"/>
              <a:ea typeface="+mn-ea"/>
              <a:cs typeface="+mn-cs"/>
            </a:defRPr>
          </a:lvl7pPr>
          <a:lvl8pPr marL="3200400" indent="0">
            <a:defRPr sz="1100">
              <a:latin typeface="+mn-lt"/>
              <a:ea typeface="+mn-ea"/>
              <a:cs typeface="+mn-cs"/>
            </a:defRPr>
          </a:lvl8pPr>
          <a:lvl9pPr marL="3657600" indent="0">
            <a:defRPr sz="1100">
              <a:latin typeface="+mn-lt"/>
              <a:ea typeface="+mn-ea"/>
              <a:cs typeface="+mn-cs"/>
            </a:defRPr>
          </a:lvl9pPr>
        </a:lstStyle>
        <a:p xmlns:a="http://schemas.openxmlformats.org/drawingml/2006/main">
          <a:pPr algn="ctr"/>
          <a:r>
            <a:rPr lang="en-US" sz="800" kern="1200"/>
            <a:t>PC4.4</a:t>
          </a:r>
        </a:p>
      </cdr:txBody>
    </cdr:sp>
  </cdr:relSizeAnchor>
  <cdr:relSizeAnchor xmlns:cdr="http://schemas.openxmlformats.org/drawingml/2006/chartDrawing">
    <cdr:from>
      <cdr:x>0.61886</cdr:x>
      <cdr:y>0.55324</cdr:y>
    </cdr:from>
    <cdr:to>
      <cdr:x>0.71248</cdr:x>
      <cdr:y>0.63657</cdr:y>
    </cdr:to>
    <cdr:sp macro="" textlink="">
      <cdr:nvSpPr>
        <cdr:cNvPr id="17" name="TextBox 1">
          <a:extLst xmlns:a="http://schemas.openxmlformats.org/drawingml/2006/main">
            <a:ext uri="{FF2B5EF4-FFF2-40B4-BE49-F238E27FC236}">
              <a16:creationId xmlns:a16="http://schemas.microsoft.com/office/drawing/2014/main" id="{2D168755-1B9E-92DA-15C3-A59BD88F1003}"/>
            </a:ext>
          </a:extLst>
        </cdr:cNvPr>
        <cdr:cNvSpPr txBox="1"/>
      </cdr:nvSpPr>
      <cdr:spPr>
        <a:xfrm xmlns:a="http://schemas.openxmlformats.org/drawingml/2006/main">
          <a:off x="2959100" y="1517650"/>
          <a:ext cx="447675" cy="228600"/>
        </a:xfrm>
        <a:prstGeom xmlns:a="http://schemas.openxmlformats.org/drawingml/2006/main" prst="rect">
          <a:avLst/>
        </a:prstGeom>
      </cdr:spPr>
      <cdr:txBody>
        <a:bodyPr xmlns:a="http://schemas.openxmlformats.org/drawingml/2006/main" wrap="square" rtlCol="0" anchor="ctr"/>
        <a:lstStyle xmlns:a="http://schemas.openxmlformats.org/drawingml/2006/main">
          <a:lvl1pPr marL="0" indent="0">
            <a:defRPr sz="1100">
              <a:latin typeface="+mn-lt"/>
              <a:ea typeface="+mn-ea"/>
              <a:cs typeface="+mn-cs"/>
            </a:defRPr>
          </a:lvl1pPr>
          <a:lvl2pPr marL="457200" indent="0">
            <a:defRPr sz="1100">
              <a:latin typeface="+mn-lt"/>
              <a:ea typeface="+mn-ea"/>
              <a:cs typeface="+mn-cs"/>
            </a:defRPr>
          </a:lvl2pPr>
          <a:lvl3pPr marL="914400" indent="0">
            <a:defRPr sz="1100">
              <a:latin typeface="+mn-lt"/>
              <a:ea typeface="+mn-ea"/>
              <a:cs typeface="+mn-cs"/>
            </a:defRPr>
          </a:lvl3pPr>
          <a:lvl4pPr marL="1371600" indent="0">
            <a:defRPr sz="1100">
              <a:latin typeface="+mn-lt"/>
              <a:ea typeface="+mn-ea"/>
              <a:cs typeface="+mn-cs"/>
            </a:defRPr>
          </a:lvl4pPr>
          <a:lvl5pPr marL="1828800" indent="0">
            <a:defRPr sz="1100">
              <a:latin typeface="+mn-lt"/>
              <a:ea typeface="+mn-ea"/>
              <a:cs typeface="+mn-cs"/>
            </a:defRPr>
          </a:lvl5pPr>
          <a:lvl6pPr marL="2286000" indent="0">
            <a:defRPr sz="1100">
              <a:latin typeface="+mn-lt"/>
              <a:ea typeface="+mn-ea"/>
              <a:cs typeface="+mn-cs"/>
            </a:defRPr>
          </a:lvl6pPr>
          <a:lvl7pPr marL="2743200" indent="0">
            <a:defRPr sz="1100">
              <a:latin typeface="+mn-lt"/>
              <a:ea typeface="+mn-ea"/>
              <a:cs typeface="+mn-cs"/>
            </a:defRPr>
          </a:lvl7pPr>
          <a:lvl8pPr marL="3200400" indent="0">
            <a:defRPr sz="1100">
              <a:latin typeface="+mn-lt"/>
              <a:ea typeface="+mn-ea"/>
              <a:cs typeface="+mn-cs"/>
            </a:defRPr>
          </a:lvl8pPr>
          <a:lvl9pPr marL="3657600" indent="0">
            <a:defRPr sz="1100">
              <a:latin typeface="+mn-lt"/>
              <a:ea typeface="+mn-ea"/>
              <a:cs typeface="+mn-cs"/>
            </a:defRPr>
          </a:lvl9pPr>
        </a:lstStyle>
        <a:p xmlns:a="http://schemas.openxmlformats.org/drawingml/2006/main">
          <a:pPr algn="ctr"/>
          <a:r>
            <a:rPr lang="en-US" sz="800" kern="1200"/>
            <a:t>PC4.5</a:t>
          </a:r>
        </a:p>
      </cdr:txBody>
    </cdr:sp>
  </cdr:relSizeAnchor>
  <cdr:relSizeAnchor xmlns:cdr="http://schemas.openxmlformats.org/drawingml/2006/chartDrawing">
    <cdr:from>
      <cdr:x>0.58167</cdr:x>
      <cdr:y>0.33333</cdr:y>
    </cdr:from>
    <cdr:to>
      <cdr:x>0.6753</cdr:x>
      <cdr:y>0.41667</cdr:y>
    </cdr:to>
    <cdr:sp macro="" textlink="">
      <cdr:nvSpPr>
        <cdr:cNvPr id="18" name="TextBox 1">
          <a:extLst xmlns:a="http://schemas.openxmlformats.org/drawingml/2006/main">
            <a:ext uri="{FF2B5EF4-FFF2-40B4-BE49-F238E27FC236}">
              <a16:creationId xmlns:a16="http://schemas.microsoft.com/office/drawing/2014/main" id="{1EA00945-4404-89AE-1C7E-3CE7D41F6095}"/>
            </a:ext>
          </a:extLst>
        </cdr:cNvPr>
        <cdr:cNvSpPr txBox="1"/>
      </cdr:nvSpPr>
      <cdr:spPr>
        <a:xfrm xmlns:a="http://schemas.openxmlformats.org/drawingml/2006/main">
          <a:off x="2781300" y="914400"/>
          <a:ext cx="447675" cy="228600"/>
        </a:xfrm>
        <a:prstGeom xmlns:a="http://schemas.openxmlformats.org/drawingml/2006/main" prst="rect">
          <a:avLst/>
        </a:prstGeom>
      </cdr:spPr>
      <cdr:txBody>
        <a:bodyPr xmlns:a="http://schemas.openxmlformats.org/drawingml/2006/main" wrap="square" rtlCol="0" anchor="ctr"/>
        <a:lstStyle xmlns:a="http://schemas.openxmlformats.org/drawingml/2006/main">
          <a:lvl1pPr marL="0" indent="0">
            <a:defRPr sz="1100">
              <a:latin typeface="+mn-lt"/>
              <a:ea typeface="+mn-ea"/>
              <a:cs typeface="+mn-cs"/>
            </a:defRPr>
          </a:lvl1pPr>
          <a:lvl2pPr marL="457200" indent="0">
            <a:defRPr sz="1100">
              <a:latin typeface="+mn-lt"/>
              <a:ea typeface="+mn-ea"/>
              <a:cs typeface="+mn-cs"/>
            </a:defRPr>
          </a:lvl2pPr>
          <a:lvl3pPr marL="914400" indent="0">
            <a:defRPr sz="1100">
              <a:latin typeface="+mn-lt"/>
              <a:ea typeface="+mn-ea"/>
              <a:cs typeface="+mn-cs"/>
            </a:defRPr>
          </a:lvl3pPr>
          <a:lvl4pPr marL="1371600" indent="0">
            <a:defRPr sz="1100">
              <a:latin typeface="+mn-lt"/>
              <a:ea typeface="+mn-ea"/>
              <a:cs typeface="+mn-cs"/>
            </a:defRPr>
          </a:lvl4pPr>
          <a:lvl5pPr marL="1828800" indent="0">
            <a:defRPr sz="1100">
              <a:latin typeface="+mn-lt"/>
              <a:ea typeface="+mn-ea"/>
              <a:cs typeface="+mn-cs"/>
            </a:defRPr>
          </a:lvl5pPr>
          <a:lvl6pPr marL="2286000" indent="0">
            <a:defRPr sz="1100">
              <a:latin typeface="+mn-lt"/>
              <a:ea typeface="+mn-ea"/>
              <a:cs typeface="+mn-cs"/>
            </a:defRPr>
          </a:lvl6pPr>
          <a:lvl7pPr marL="2743200" indent="0">
            <a:defRPr sz="1100">
              <a:latin typeface="+mn-lt"/>
              <a:ea typeface="+mn-ea"/>
              <a:cs typeface="+mn-cs"/>
            </a:defRPr>
          </a:lvl7pPr>
          <a:lvl8pPr marL="3200400" indent="0">
            <a:defRPr sz="1100">
              <a:latin typeface="+mn-lt"/>
              <a:ea typeface="+mn-ea"/>
              <a:cs typeface="+mn-cs"/>
            </a:defRPr>
          </a:lvl8pPr>
          <a:lvl9pPr marL="3657600" indent="0">
            <a:defRPr sz="1100">
              <a:latin typeface="+mn-lt"/>
              <a:ea typeface="+mn-ea"/>
              <a:cs typeface="+mn-cs"/>
            </a:defRPr>
          </a:lvl9pPr>
        </a:lstStyle>
        <a:p xmlns:a="http://schemas.openxmlformats.org/drawingml/2006/main">
          <a:pPr algn="ctr"/>
          <a:r>
            <a:rPr lang="en-US" sz="800" kern="1200"/>
            <a:t>PC4.6</a:t>
          </a:r>
        </a:p>
      </cdr:txBody>
    </cdr:sp>
  </cdr:relSizeAnchor>
  <cdr:relSizeAnchor xmlns:cdr="http://schemas.openxmlformats.org/drawingml/2006/chartDrawing">
    <cdr:from>
      <cdr:x>0.86189</cdr:x>
      <cdr:y>0.24537</cdr:y>
    </cdr:from>
    <cdr:to>
      <cdr:x>0.95551</cdr:x>
      <cdr:y>0.3287</cdr:y>
    </cdr:to>
    <cdr:sp macro="" textlink="">
      <cdr:nvSpPr>
        <cdr:cNvPr id="19" name="TextBox 1">
          <a:extLst xmlns:a="http://schemas.openxmlformats.org/drawingml/2006/main">
            <a:ext uri="{FF2B5EF4-FFF2-40B4-BE49-F238E27FC236}">
              <a16:creationId xmlns:a16="http://schemas.microsoft.com/office/drawing/2014/main" id="{DACFA422-B2F4-94FB-7C70-1CD1D85A005E}"/>
            </a:ext>
          </a:extLst>
        </cdr:cNvPr>
        <cdr:cNvSpPr txBox="1"/>
      </cdr:nvSpPr>
      <cdr:spPr>
        <a:xfrm xmlns:a="http://schemas.openxmlformats.org/drawingml/2006/main">
          <a:off x="4121150" y="673100"/>
          <a:ext cx="447675" cy="228600"/>
        </a:xfrm>
        <a:prstGeom xmlns:a="http://schemas.openxmlformats.org/drawingml/2006/main" prst="rect">
          <a:avLst/>
        </a:prstGeom>
      </cdr:spPr>
      <cdr:txBody>
        <a:bodyPr xmlns:a="http://schemas.openxmlformats.org/drawingml/2006/main" wrap="square" rtlCol="0" anchor="ctr"/>
        <a:lstStyle xmlns:a="http://schemas.openxmlformats.org/drawingml/2006/main">
          <a:lvl1pPr marL="0" indent="0">
            <a:defRPr sz="1100">
              <a:latin typeface="+mn-lt"/>
              <a:ea typeface="+mn-ea"/>
              <a:cs typeface="+mn-cs"/>
            </a:defRPr>
          </a:lvl1pPr>
          <a:lvl2pPr marL="457200" indent="0">
            <a:defRPr sz="1100">
              <a:latin typeface="+mn-lt"/>
              <a:ea typeface="+mn-ea"/>
              <a:cs typeface="+mn-cs"/>
            </a:defRPr>
          </a:lvl2pPr>
          <a:lvl3pPr marL="914400" indent="0">
            <a:defRPr sz="1100">
              <a:latin typeface="+mn-lt"/>
              <a:ea typeface="+mn-ea"/>
              <a:cs typeface="+mn-cs"/>
            </a:defRPr>
          </a:lvl3pPr>
          <a:lvl4pPr marL="1371600" indent="0">
            <a:defRPr sz="1100">
              <a:latin typeface="+mn-lt"/>
              <a:ea typeface="+mn-ea"/>
              <a:cs typeface="+mn-cs"/>
            </a:defRPr>
          </a:lvl4pPr>
          <a:lvl5pPr marL="1828800" indent="0">
            <a:defRPr sz="1100">
              <a:latin typeface="+mn-lt"/>
              <a:ea typeface="+mn-ea"/>
              <a:cs typeface="+mn-cs"/>
            </a:defRPr>
          </a:lvl5pPr>
          <a:lvl6pPr marL="2286000" indent="0">
            <a:defRPr sz="1100">
              <a:latin typeface="+mn-lt"/>
              <a:ea typeface="+mn-ea"/>
              <a:cs typeface="+mn-cs"/>
            </a:defRPr>
          </a:lvl6pPr>
          <a:lvl7pPr marL="2743200" indent="0">
            <a:defRPr sz="1100">
              <a:latin typeface="+mn-lt"/>
              <a:ea typeface="+mn-ea"/>
              <a:cs typeface="+mn-cs"/>
            </a:defRPr>
          </a:lvl7pPr>
          <a:lvl8pPr marL="3200400" indent="0">
            <a:defRPr sz="1100">
              <a:latin typeface="+mn-lt"/>
              <a:ea typeface="+mn-ea"/>
              <a:cs typeface="+mn-cs"/>
            </a:defRPr>
          </a:lvl8pPr>
          <a:lvl9pPr marL="3657600" indent="0">
            <a:defRPr sz="1100">
              <a:latin typeface="+mn-lt"/>
              <a:ea typeface="+mn-ea"/>
              <a:cs typeface="+mn-cs"/>
            </a:defRPr>
          </a:lvl9pPr>
        </a:lstStyle>
        <a:p xmlns:a="http://schemas.openxmlformats.org/drawingml/2006/main">
          <a:pPr algn="ctr"/>
          <a:r>
            <a:rPr lang="en-US" sz="800" kern="1200"/>
            <a:t>PC5.1</a:t>
          </a:r>
        </a:p>
      </cdr:txBody>
    </cdr:sp>
  </cdr:relSizeAnchor>
  <cdr:relSizeAnchor xmlns:cdr="http://schemas.openxmlformats.org/drawingml/2006/chartDrawing">
    <cdr:from>
      <cdr:x>0.85392</cdr:x>
      <cdr:y>0.38657</cdr:y>
    </cdr:from>
    <cdr:to>
      <cdr:x>0.94754</cdr:x>
      <cdr:y>0.46991</cdr:y>
    </cdr:to>
    <cdr:sp macro="" textlink="">
      <cdr:nvSpPr>
        <cdr:cNvPr id="20" name="TextBox 1">
          <a:extLst xmlns:a="http://schemas.openxmlformats.org/drawingml/2006/main">
            <a:ext uri="{FF2B5EF4-FFF2-40B4-BE49-F238E27FC236}">
              <a16:creationId xmlns:a16="http://schemas.microsoft.com/office/drawing/2014/main" id="{21061944-63B9-A9FF-4F8B-5D1833F05E61}"/>
            </a:ext>
          </a:extLst>
        </cdr:cNvPr>
        <cdr:cNvSpPr txBox="1"/>
      </cdr:nvSpPr>
      <cdr:spPr>
        <a:xfrm xmlns:a="http://schemas.openxmlformats.org/drawingml/2006/main">
          <a:off x="4083050" y="1060450"/>
          <a:ext cx="447675" cy="228600"/>
        </a:xfrm>
        <a:prstGeom xmlns:a="http://schemas.openxmlformats.org/drawingml/2006/main" prst="rect">
          <a:avLst/>
        </a:prstGeom>
      </cdr:spPr>
      <cdr:txBody>
        <a:bodyPr xmlns:a="http://schemas.openxmlformats.org/drawingml/2006/main" wrap="square" rtlCol="0" anchor="ctr"/>
        <a:lstStyle xmlns:a="http://schemas.openxmlformats.org/drawingml/2006/main">
          <a:lvl1pPr marL="0" indent="0">
            <a:defRPr sz="1100">
              <a:latin typeface="+mn-lt"/>
              <a:ea typeface="+mn-ea"/>
              <a:cs typeface="+mn-cs"/>
            </a:defRPr>
          </a:lvl1pPr>
          <a:lvl2pPr marL="457200" indent="0">
            <a:defRPr sz="1100">
              <a:latin typeface="+mn-lt"/>
              <a:ea typeface="+mn-ea"/>
              <a:cs typeface="+mn-cs"/>
            </a:defRPr>
          </a:lvl2pPr>
          <a:lvl3pPr marL="914400" indent="0">
            <a:defRPr sz="1100">
              <a:latin typeface="+mn-lt"/>
              <a:ea typeface="+mn-ea"/>
              <a:cs typeface="+mn-cs"/>
            </a:defRPr>
          </a:lvl3pPr>
          <a:lvl4pPr marL="1371600" indent="0">
            <a:defRPr sz="1100">
              <a:latin typeface="+mn-lt"/>
              <a:ea typeface="+mn-ea"/>
              <a:cs typeface="+mn-cs"/>
            </a:defRPr>
          </a:lvl4pPr>
          <a:lvl5pPr marL="1828800" indent="0">
            <a:defRPr sz="1100">
              <a:latin typeface="+mn-lt"/>
              <a:ea typeface="+mn-ea"/>
              <a:cs typeface="+mn-cs"/>
            </a:defRPr>
          </a:lvl5pPr>
          <a:lvl6pPr marL="2286000" indent="0">
            <a:defRPr sz="1100">
              <a:latin typeface="+mn-lt"/>
              <a:ea typeface="+mn-ea"/>
              <a:cs typeface="+mn-cs"/>
            </a:defRPr>
          </a:lvl6pPr>
          <a:lvl7pPr marL="2743200" indent="0">
            <a:defRPr sz="1100">
              <a:latin typeface="+mn-lt"/>
              <a:ea typeface="+mn-ea"/>
              <a:cs typeface="+mn-cs"/>
            </a:defRPr>
          </a:lvl7pPr>
          <a:lvl8pPr marL="3200400" indent="0">
            <a:defRPr sz="1100">
              <a:latin typeface="+mn-lt"/>
              <a:ea typeface="+mn-ea"/>
              <a:cs typeface="+mn-cs"/>
            </a:defRPr>
          </a:lvl8pPr>
          <a:lvl9pPr marL="3657600" indent="0">
            <a:defRPr sz="1100">
              <a:latin typeface="+mn-lt"/>
              <a:ea typeface="+mn-ea"/>
              <a:cs typeface="+mn-cs"/>
            </a:defRPr>
          </a:lvl9pPr>
        </a:lstStyle>
        <a:p xmlns:a="http://schemas.openxmlformats.org/drawingml/2006/main">
          <a:pPr algn="ctr"/>
          <a:r>
            <a:rPr lang="en-US" sz="800" kern="1200"/>
            <a:t>PC5.2</a:t>
          </a:r>
        </a:p>
      </cdr:txBody>
    </cdr:sp>
  </cdr:relSizeAnchor>
  <cdr:relSizeAnchor xmlns:cdr="http://schemas.openxmlformats.org/drawingml/2006/chartDrawing">
    <cdr:from>
      <cdr:x>0.85923</cdr:x>
      <cdr:y>0.17824</cdr:y>
    </cdr:from>
    <cdr:to>
      <cdr:x>0.95286</cdr:x>
      <cdr:y>0.26157</cdr:y>
    </cdr:to>
    <cdr:sp macro="" textlink="">
      <cdr:nvSpPr>
        <cdr:cNvPr id="21" name="TextBox 1">
          <a:extLst xmlns:a="http://schemas.openxmlformats.org/drawingml/2006/main">
            <a:ext uri="{FF2B5EF4-FFF2-40B4-BE49-F238E27FC236}">
              <a16:creationId xmlns:a16="http://schemas.microsoft.com/office/drawing/2014/main" id="{21061944-63B9-A9FF-4F8B-5D1833F05E61}"/>
            </a:ext>
          </a:extLst>
        </cdr:cNvPr>
        <cdr:cNvSpPr txBox="1"/>
      </cdr:nvSpPr>
      <cdr:spPr>
        <a:xfrm xmlns:a="http://schemas.openxmlformats.org/drawingml/2006/main">
          <a:off x="4108450" y="488950"/>
          <a:ext cx="447675" cy="228600"/>
        </a:xfrm>
        <a:prstGeom xmlns:a="http://schemas.openxmlformats.org/drawingml/2006/main" prst="rect">
          <a:avLst/>
        </a:prstGeom>
      </cdr:spPr>
      <cdr:txBody>
        <a:bodyPr xmlns:a="http://schemas.openxmlformats.org/drawingml/2006/main" wrap="square" rtlCol="0" anchor="ctr"/>
        <a:lstStyle xmlns:a="http://schemas.openxmlformats.org/drawingml/2006/main">
          <a:lvl1pPr marL="0" indent="0">
            <a:defRPr sz="1100">
              <a:latin typeface="+mn-lt"/>
              <a:ea typeface="+mn-ea"/>
              <a:cs typeface="+mn-cs"/>
            </a:defRPr>
          </a:lvl1pPr>
          <a:lvl2pPr marL="457200" indent="0">
            <a:defRPr sz="1100">
              <a:latin typeface="+mn-lt"/>
              <a:ea typeface="+mn-ea"/>
              <a:cs typeface="+mn-cs"/>
            </a:defRPr>
          </a:lvl2pPr>
          <a:lvl3pPr marL="914400" indent="0">
            <a:defRPr sz="1100">
              <a:latin typeface="+mn-lt"/>
              <a:ea typeface="+mn-ea"/>
              <a:cs typeface="+mn-cs"/>
            </a:defRPr>
          </a:lvl3pPr>
          <a:lvl4pPr marL="1371600" indent="0">
            <a:defRPr sz="1100">
              <a:latin typeface="+mn-lt"/>
              <a:ea typeface="+mn-ea"/>
              <a:cs typeface="+mn-cs"/>
            </a:defRPr>
          </a:lvl4pPr>
          <a:lvl5pPr marL="1828800" indent="0">
            <a:defRPr sz="1100">
              <a:latin typeface="+mn-lt"/>
              <a:ea typeface="+mn-ea"/>
              <a:cs typeface="+mn-cs"/>
            </a:defRPr>
          </a:lvl5pPr>
          <a:lvl6pPr marL="2286000" indent="0">
            <a:defRPr sz="1100">
              <a:latin typeface="+mn-lt"/>
              <a:ea typeface="+mn-ea"/>
              <a:cs typeface="+mn-cs"/>
            </a:defRPr>
          </a:lvl6pPr>
          <a:lvl7pPr marL="2743200" indent="0">
            <a:defRPr sz="1100">
              <a:latin typeface="+mn-lt"/>
              <a:ea typeface="+mn-ea"/>
              <a:cs typeface="+mn-cs"/>
            </a:defRPr>
          </a:lvl7pPr>
          <a:lvl8pPr marL="3200400" indent="0">
            <a:defRPr sz="1100">
              <a:latin typeface="+mn-lt"/>
              <a:ea typeface="+mn-ea"/>
              <a:cs typeface="+mn-cs"/>
            </a:defRPr>
          </a:lvl8pPr>
          <a:lvl9pPr marL="3657600" indent="0">
            <a:defRPr sz="1100">
              <a:latin typeface="+mn-lt"/>
              <a:ea typeface="+mn-ea"/>
              <a:cs typeface="+mn-cs"/>
            </a:defRPr>
          </a:lvl9pPr>
        </a:lstStyle>
        <a:p xmlns:a="http://schemas.openxmlformats.org/drawingml/2006/main">
          <a:pPr algn="ctr"/>
          <a:r>
            <a:rPr lang="en-US" sz="800" kern="1200"/>
            <a:t>PC5.3</a:t>
          </a:r>
        </a:p>
      </cdr:txBody>
    </cdr:sp>
  </cdr:relSizeAnchor>
  <cdr:relSizeAnchor xmlns:cdr="http://schemas.openxmlformats.org/drawingml/2006/chartDrawing">
    <cdr:from>
      <cdr:x>0.86321</cdr:x>
      <cdr:y>0.32639</cdr:y>
    </cdr:from>
    <cdr:to>
      <cdr:x>0.95684</cdr:x>
      <cdr:y>0.40972</cdr:y>
    </cdr:to>
    <cdr:sp macro="" textlink="">
      <cdr:nvSpPr>
        <cdr:cNvPr id="22" name="TextBox 1">
          <a:extLst xmlns:a="http://schemas.openxmlformats.org/drawingml/2006/main">
            <a:ext uri="{FF2B5EF4-FFF2-40B4-BE49-F238E27FC236}">
              <a16:creationId xmlns:a16="http://schemas.microsoft.com/office/drawing/2014/main" id="{21061944-63B9-A9FF-4F8B-5D1833F05E61}"/>
            </a:ext>
          </a:extLst>
        </cdr:cNvPr>
        <cdr:cNvSpPr txBox="1"/>
      </cdr:nvSpPr>
      <cdr:spPr>
        <a:xfrm xmlns:a="http://schemas.openxmlformats.org/drawingml/2006/main">
          <a:off x="4127500" y="895350"/>
          <a:ext cx="447675" cy="228600"/>
        </a:xfrm>
        <a:prstGeom xmlns:a="http://schemas.openxmlformats.org/drawingml/2006/main" prst="rect">
          <a:avLst/>
        </a:prstGeom>
      </cdr:spPr>
      <cdr:txBody>
        <a:bodyPr xmlns:a="http://schemas.openxmlformats.org/drawingml/2006/main" wrap="square" rtlCol="0" anchor="ctr"/>
        <a:lstStyle xmlns:a="http://schemas.openxmlformats.org/drawingml/2006/main">
          <a:lvl1pPr marL="0" indent="0">
            <a:defRPr sz="1100">
              <a:latin typeface="+mn-lt"/>
              <a:ea typeface="+mn-ea"/>
              <a:cs typeface="+mn-cs"/>
            </a:defRPr>
          </a:lvl1pPr>
          <a:lvl2pPr marL="457200" indent="0">
            <a:defRPr sz="1100">
              <a:latin typeface="+mn-lt"/>
              <a:ea typeface="+mn-ea"/>
              <a:cs typeface="+mn-cs"/>
            </a:defRPr>
          </a:lvl2pPr>
          <a:lvl3pPr marL="914400" indent="0">
            <a:defRPr sz="1100">
              <a:latin typeface="+mn-lt"/>
              <a:ea typeface="+mn-ea"/>
              <a:cs typeface="+mn-cs"/>
            </a:defRPr>
          </a:lvl3pPr>
          <a:lvl4pPr marL="1371600" indent="0">
            <a:defRPr sz="1100">
              <a:latin typeface="+mn-lt"/>
              <a:ea typeface="+mn-ea"/>
              <a:cs typeface="+mn-cs"/>
            </a:defRPr>
          </a:lvl4pPr>
          <a:lvl5pPr marL="1828800" indent="0">
            <a:defRPr sz="1100">
              <a:latin typeface="+mn-lt"/>
              <a:ea typeface="+mn-ea"/>
              <a:cs typeface="+mn-cs"/>
            </a:defRPr>
          </a:lvl5pPr>
          <a:lvl6pPr marL="2286000" indent="0">
            <a:defRPr sz="1100">
              <a:latin typeface="+mn-lt"/>
              <a:ea typeface="+mn-ea"/>
              <a:cs typeface="+mn-cs"/>
            </a:defRPr>
          </a:lvl6pPr>
          <a:lvl7pPr marL="2743200" indent="0">
            <a:defRPr sz="1100">
              <a:latin typeface="+mn-lt"/>
              <a:ea typeface="+mn-ea"/>
              <a:cs typeface="+mn-cs"/>
            </a:defRPr>
          </a:lvl7pPr>
          <a:lvl8pPr marL="3200400" indent="0">
            <a:defRPr sz="1100">
              <a:latin typeface="+mn-lt"/>
              <a:ea typeface="+mn-ea"/>
              <a:cs typeface="+mn-cs"/>
            </a:defRPr>
          </a:lvl8pPr>
          <a:lvl9pPr marL="3657600" indent="0">
            <a:defRPr sz="1100">
              <a:latin typeface="+mn-lt"/>
              <a:ea typeface="+mn-ea"/>
              <a:cs typeface="+mn-cs"/>
            </a:defRPr>
          </a:lvl9pPr>
        </a:lstStyle>
        <a:p xmlns:a="http://schemas.openxmlformats.org/drawingml/2006/main">
          <a:pPr algn="ctr"/>
          <a:r>
            <a:rPr lang="en-US" sz="800" kern="1200"/>
            <a:t>PC5.4</a:t>
          </a:r>
        </a:p>
      </cdr:txBody>
    </cdr:sp>
  </cdr:relSizeAnchor>
  <cdr:relSizeAnchor xmlns:cdr="http://schemas.openxmlformats.org/drawingml/2006/chartDrawing">
    <cdr:from>
      <cdr:x>0.78884</cdr:x>
      <cdr:y>0.21065</cdr:y>
    </cdr:from>
    <cdr:to>
      <cdr:x>0.88247</cdr:x>
      <cdr:y>0.29398</cdr:y>
    </cdr:to>
    <cdr:sp macro="" textlink="">
      <cdr:nvSpPr>
        <cdr:cNvPr id="23" name="TextBox 1">
          <a:extLst xmlns:a="http://schemas.openxmlformats.org/drawingml/2006/main">
            <a:ext uri="{FF2B5EF4-FFF2-40B4-BE49-F238E27FC236}">
              <a16:creationId xmlns:a16="http://schemas.microsoft.com/office/drawing/2014/main" id="{21061944-63B9-A9FF-4F8B-5D1833F05E61}"/>
            </a:ext>
          </a:extLst>
        </cdr:cNvPr>
        <cdr:cNvSpPr txBox="1"/>
      </cdr:nvSpPr>
      <cdr:spPr>
        <a:xfrm xmlns:a="http://schemas.openxmlformats.org/drawingml/2006/main">
          <a:off x="3771900" y="577850"/>
          <a:ext cx="447675" cy="228600"/>
        </a:xfrm>
        <a:prstGeom xmlns:a="http://schemas.openxmlformats.org/drawingml/2006/main" prst="rect">
          <a:avLst/>
        </a:prstGeom>
      </cdr:spPr>
      <cdr:txBody>
        <a:bodyPr xmlns:a="http://schemas.openxmlformats.org/drawingml/2006/main" wrap="square" rtlCol="0" anchor="ctr"/>
        <a:lstStyle xmlns:a="http://schemas.openxmlformats.org/drawingml/2006/main">
          <a:lvl1pPr marL="0" indent="0">
            <a:defRPr sz="1100">
              <a:latin typeface="+mn-lt"/>
              <a:ea typeface="+mn-ea"/>
              <a:cs typeface="+mn-cs"/>
            </a:defRPr>
          </a:lvl1pPr>
          <a:lvl2pPr marL="457200" indent="0">
            <a:defRPr sz="1100">
              <a:latin typeface="+mn-lt"/>
              <a:ea typeface="+mn-ea"/>
              <a:cs typeface="+mn-cs"/>
            </a:defRPr>
          </a:lvl2pPr>
          <a:lvl3pPr marL="914400" indent="0">
            <a:defRPr sz="1100">
              <a:latin typeface="+mn-lt"/>
              <a:ea typeface="+mn-ea"/>
              <a:cs typeface="+mn-cs"/>
            </a:defRPr>
          </a:lvl3pPr>
          <a:lvl4pPr marL="1371600" indent="0">
            <a:defRPr sz="1100">
              <a:latin typeface="+mn-lt"/>
              <a:ea typeface="+mn-ea"/>
              <a:cs typeface="+mn-cs"/>
            </a:defRPr>
          </a:lvl4pPr>
          <a:lvl5pPr marL="1828800" indent="0">
            <a:defRPr sz="1100">
              <a:latin typeface="+mn-lt"/>
              <a:ea typeface="+mn-ea"/>
              <a:cs typeface="+mn-cs"/>
            </a:defRPr>
          </a:lvl5pPr>
          <a:lvl6pPr marL="2286000" indent="0">
            <a:defRPr sz="1100">
              <a:latin typeface="+mn-lt"/>
              <a:ea typeface="+mn-ea"/>
              <a:cs typeface="+mn-cs"/>
            </a:defRPr>
          </a:lvl6pPr>
          <a:lvl7pPr marL="2743200" indent="0">
            <a:defRPr sz="1100">
              <a:latin typeface="+mn-lt"/>
              <a:ea typeface="+mn-ea"/>
              <a:cs typeface="+mn-cs"/>
            </a:defRPr>
          </a:lvl7pPr>
          <a:lvl8pPr marL="3200400" indent="0">
            <a:defRPr sz="1100">
              <a:latin typeface="+mn-lt"/>
              <a:ea typeface="+mn-ea"/>
              <a:cs typeface="+mn-cs"/>
            </a:defRPr>
          </a:lvl8pPr>
          <a:lvl9pPr marL="3657600" indent="0">
            <a:defRPr sz="1100">
              <a:latin typeface="+mn-lt"/>
              <a:ea typeface="+mn-ea"/>
              <a:cs typeface="+mn-cs"/>
            </a:defRPr>
          </a:lvl9pPr>
        </a:lstStyle>
        <a:p xmlns:a="http://schemas.openxmlformats.org/drawingml/2006/main">
          <a:pPr algn="ctr"/>
          <a:r>
            <a:rPr lang="en-US" sz="800" kern="1200"/>
            <a:t>PC5.5</a:t>
          </a:r>
        </a:p>
      </cdr:txBody>
    </cdr:sp>
  </cdr:relSizeAnchor>
</c:userShape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file>

<file path=customXml/item2.xml><?xml version="1.0" encoding="utf-8"?>
<p:properties xmlns:p="http://schemas.microsoft.com/office/2006/metadata/properties" xmlns:xsi="http://www.w3.org/2001/XMLSchema-instance" xmlns:pc="http://schemas.microsoft.com/office/infopath/2007/PartnerControls">
  <documentManagement>
    <TaxCatchAll xmlns="ca125759-a0e7-4469-93e0-e34bba23bda5" xsi:nil="true"/>
    <lcf76f155ced4ddcb4097134ff3c332f xmlns="943a219e-757a-436b-9054-f071e3c84dcc">
      <Terms xmlns="http://schemas.microsoft.com/office/infopath/2007/PartnerControls"/>
    </lcf76f155ced4ddcb4097134ff3c332f>
    <_dlc_DocId xmlns="ca125759-a0e7-4469-93e0-e34bba23bda5">HR33RHYHUWRF-507899316-32349</_dlc_DocId>
    <_dlc_DocIdUrl xmlns="ca125759-a0e7-4469-93e0-e34bba23bda5">
      <Url>https://qualcomm.sharepoint.com/teams/pentari/_layouts/15/DocIdRedir.aspx?ID=HR33RHYHUWRF-507899316-32349</Url>
      <Description>HR33RHYHUWRF-507899316-32349</Description>
    </_dlc_DocIdUrl>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FE4CD02E0E3519489CB07822D2A7BFAC" ma:contentTypeVersion="23" ma:contentTypeDescription="Create a new document." ma:contentTypeScope="" ma:versionID="73ed9140c209c47c47c5a399e50d6ff7">
  <xsd:schema xmlns:xsd="http://www.w3.org/2001/XMLSchema" xmlns:xs="http://www.w3.org/2001/XMLSchema" xmlns:p="http://schemas.microsoft.com/office/2006/metadata/properties" xmlns:ns2="ca125759-a0e7-4469-93e0-e34bba23bda5" xmlns:ns3="943a219e-757a-436b-9054-f071e3c84dcc" targetNamespace="http://schemas.microsoft.com/office/2006/metadata/properties" ma:root="true" ma:fieldsID="f6c8716841988de16cf2e58c65aef89b" ns2:_="" ns3:_="">
    <xsd:import namespace="ca125759-a0e7-4469-93e0-e34bba23bda5"/>
    <xsd:import namespace="943a219e-757a-436b-9054-f071e3c84dcc"/>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125759-a0e7-4469-93e0-e34bba23bda5"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25" nillable="true" ma:displayName="Taxonomy Catch All Column" ma:hidden="true" ma:list="{6edb4947-6e21-464e-84d2-51a69876c8b8}" ma:internalName="TaxCatchAll" ma:showField="CatchAllData" ma:web="ca125759-a0e7-4469-93e0-e34bba23bda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43a219e-757a-436b-9054-f071e3c84dcc"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MediaServiceBillingMetadata" ma:index="28"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6A2FF8C-3C77-45A4-AAE2-F5766F4D778B}">
  <ds:schemaRefs>
    <ds:schemaRef ds:uri="http://schemas.microsoft.com/sharepoint/v3/contenttype/forms"/>
  </ds:schemaRefs>
</ds:datastoreItem>
</file>

<file path=customXml/itemProps2.xml><?xml version="1.0" encoding="utf-8"?>
<ds:datastoreItem xmlns:ds="http://schemas.openxmlformats.org/officeDocument/2006/customXml" ds:itemID="{D1364089-0809-473C-8BC3-C38645040999}">
  <ds:schemaRefs>
    <ds:schemaRef ds:uri="http://schemas.openxmlformats.org/package/2006/metadata/core-properties"/>
    <ds:schemaRef ds:uri="http://schemas.microsoft.com/office/2006/documentManagement/types"/>
    <ds:schemaRef ds:uri="http://schemas.microsoft.com/office/infopath/2007/PartnerControls"/>
    <ds:schemaRef ds:uri="http://purl.org/dc/dcmitype/"/>
    <ds:schemaRef ds:uri="http://purl.org/dc/elements/1.1/"/>
    <ds:schemaRef ds:uri="http://schemas.microsoft.com/office/2006/metadata/properties"/>
    <ds:schemaRef ds:uri="ca125759-a0e7-4469-93e0-e34bba23bda5"/>
    <ds:schemaRef ds:uri="943a219e-757a-436b-9054-f071e3c84dcc"/>
    <ds:schemaRef ds:uri="http://www.w3.org/XML/1998/namespace"/>
    <ds:schemaRef ds:uri="http://purl.org/dc/terms/"/>
  </ds:schemaRefs>
</ds:datastoreItem>
</file>

<file path=customXml/itemProps3.xml><?xml version="1.0" encoding="utf-8"?>
<ds:datastoreItem xmlns:ds="http://schemas.openxmlformats.org/officeDocument/2006/customXml" ds:itemID="{44F05432-C3F4-43CD-B869-676E0EF1BC60}">
  <ds:schemaRefs>
    <ds:schemaRef ds:uri="http://schemas.openxmlformats.org/officeDocument/2006/bibliography"/>
  </ds:schemaRefs>
</ds:datastoreItem>
</file>

<file path=customXml/itemProps4.xml><?xml version="1.0" encoding="utf-8"?>
<ds:datastoreItem xmlns:ds="http://schemas.openxmlformats.org/officeDocument/2006/customXml" ds:itemID="{EF509413-1924-4DC9-A774-A574D0249685}">
  <ds:schemaRefs>
    <ds:schemaRef ds:uri="http://schemas.microsoft.com/sharepoint/events"/>
  </ds:schemaRefs>
</ds:datastoreItem>
</file>

<file path=customXml/itemProps5.xml><?xml version="1.0" encoding="utf-8"?>
<ds:datastoreItem xmlns:ds="http://schemas.openxmlformats.org/officeDocument/2006/customXml" ds:itemID="{B82A34B5-A71E-493F-9E96-3CC05D38C1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125759-a0e7-4469-93e0-e34bba23bda5"/>
    <ds:schemaRef ds:uri="943a219e-757a-436b-9054-f071e3c84d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Normal.dotm</Template>
  <TotalTime>36</TotalTime>
  <Pages>20</Pages>
  <Words>7164</Words>
  <Characters>36967</Characters>
  <Application>Microsoft Office Word</Application>
  <DocSecurity>2</DocSecurity>
  <Lines>999</Lines>
  <Paragraphs>760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43371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Chenxi Hao</dc:creator>
  <cp:keywords/>
  <dc:description/>
  <cp:lastModifiedBy>Taesang</cp:lastModifiedBy>
  <cp:revision>11</cp:revision>
  <dcterms:created xsi:type="dcterms:W3CDTF">2025-11-07T10:22:00Z</dcterms:created>
  <dcterms:modified xsi:type="dcterms:W3CDTF">2025-11-07T18:46:00Z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0x010100FE4CD02E0E3519489CB07822D2A7BFAC</vt:lpwstr>
  </property>
  <property fmtid="{D5CDD505-2E9C-101B-9397-08002B2CF9AE}" pid="3" name="MediaServiceImageTags">
    <vt:lpwstr/>
  </property>
  <property fmtid="{D5CDD505-2E9C-101B-9397-08002B2CF9AE}" pid="4" name="_dlc_DocIdItemGuid">
    <vt:lpwstr>67847f2d-be73-474f-883d-5614796669fd</vt:lpwstr>
  </property>
  <property fmtid="{D5CDD505-2E9C-101B-9397-08002B2CF9AE}" pid="5" name="docLang">
    <vt:lpwstr>en</vt:lpwstr>
  </property>
</Properties>
</file>