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A561A" w14:textId="7B06D765" w:rsidR="0096789F" w:rsidRDefault="00805EB2">
      <w:pPr>
        <w:widowControl w:val="0"/>
        <w:tabs>
          <w:tab w:val="right" w:pos="10206"/>
        </w:tabs>
        <w:spacing w:after="0" w:afterAutospacing="0"/>
        <w:rPr>
          <w:rFonts w:ascii="Arial" w:eastAsia="宋体" w:hAnsi="Arial" w:cs="Arial"/>
          <w:b/>
          <w:sz w:val="28"/>
          <w:szCs w:val="28"/>
          <w:lang w:val="en-US" w:eastAsia="zh-CN"/>
        </w:rPr>
      </w:pPr>
      <w:bookmarkStart w:id="0" w:name="OLE_LINK3"/>
      <w:r>
        <w:rPr>
          <w:rFonts w:ascii="Arial" w:eastAsia="MS Mincho" w:hAnsi="Arial" w:cs="Arial"/>
          <w:b/>
          <w:sz w:val="28"/>
          <w:szCs w:val="28"/>
          <w:lang w:val="en-US"/>
        </w:rPr>
        <w:t>3GPP TSG RAN WG1 #1</w:t>
      </w:r>
      <w:r>
        <w:rPr>
          <w:rFonts w:ascii="Arial" w:eastAsia="宋体" w:hAnsi="Arial" w:cs="Arial" w:hint="eastAsia"/>
          <w:b/>
          <w:sz w:val="28"/>
          <w:szCs w:val="28"/>
          <w:lang w:val="en-US" w:eastAsia="zh-CN"/>
        </w:rPr>
        <w:t>23</w:t>
      </w:r>
      <w:r>
        <w:rPr>
          <w:rFonts w:ascii="Arial" w:eastAsia="MS Mincho" w:hAnsi="Arial" w:cs="Arial"/>
          <w:b/>
          <w:sz w:val="28"/>
          <w:szCs w:val="28"/>
          <w:lang w:val="en-US"/>
        </w:rPr>
        <w:t xml:space="preserve">                            </w:t>
      </w:r>
      <w:r>
        <w:rPr>
          <w:rFonts w:ascii="Arial" w:eastAsia="宋体" w:hAnsi="Arial" w:cs="Arial" w:hint="eastAsia"/>
          <w:b/>
          <w:sz w:val="28"/>
          <w:szCs w:val="28"/>
          <w:lang w:val="en-US" w:eastAsia="zh-CN"/>
        </w:rPr>
        <w:t xml:space="preserve">       </w:t>
      </w:r>
      <w:r w:rsidR="00512250" w:rsidRPr="00512250">
        <w:rPr>
          <w:rFonts w:ascii="Arial" w:eastAsia="宋体" w:hAnsi="Arial" w:cs="Arial"/>
          <w:b/>
          <w:sz w:val="28"/>
          <w:szCs w:val="28"/>
          <w:lang w:val="en-US" w:eastAsia="zh-CN"/>
        </w:rPr>
        <w:t>R1-250917</w:t>
      </w:r>
      <w:r w:rsidR="00512250">
        <w:rPr>
          <w:rFonts w:ascii="Arial" w:eastAsia="宋体" w:hAnsi="Arial" w:cs="Arial" w:hint="eastAsia"/>
          <w:b/>
          <w:sz w:val="28"/>
          <w:szCs w:val="28"/>
          <w:lang w:val="en-US" w:eastAsia="zh-CN"/>
        </w:rPr>
        <w:t>5</w:t>
      </w:r>
    </w:p>
    <w:p w14:paraId="3EE61D47" w14:textId="77777777" w:rsidR="0096789F" w:rsidRDefault="00805EB2">
      <w:pPr>
        <w:pStyle w:val="a9"/>
        <w:spacing w:after="0"/>
        <w:rPr>
          <w:rFonts w:eastAsia="宋体" w:cs="Arial"/>
          <w:sz w:val="28"/>
          <w:szCs w:val="28"/>
          <w:lang w:val="en-US" w:eastAsia="zh-CN"/>
        </w:rPr>
      </w:pPr>
      <w:r>
        <w:rPr>
          <w:rFonts w:eastAsia="宋体" w:cs="Arial" w:hint="eastAsia"/>
          <w:sz w:val="28"/>
          <w:szCs w:val="28"/>
          <w:lang w:val="en-US" w:eastAsia="zh-CN"/>
        </w:rPr>
        <w:t>Dallas, USA, Nov 17</w:t>
      </w:r>
      <w:r>
        <w:rPr>
          <w:rFonts w:eastAsia="宋体" w:cs="Arial" w:hint="eastAsia"/>
          <w:sz w:val="28"/>
          <w:szCs w:val="28"/>
          <w:vertAlign w:val="superscript"/>
          <w:lang w:val="en-US" w:eastAsia="zh-CN"/>
        </w:rPr>
        <w:t>th</w:t>
      </w:r>
      <w:r>
        <w:rPr>
          <w:rFonts w:eastAsia="宋体" w:cs="Arial" w:hint="eastAsia"/>
          <w:sz w:val="28"/>
          <w:szCs w:val="28"/>
          <w:lang w:val="en-US" w:eastAsia="zh-CN"/>
        </w:rPr>
        <w:t xml:space="preserve"> - 21</w:t>
      </w:r>
      <w:r>
        <w:rPr>
          <w:rFonts w:eastAsia="宋体" w:cs="Arial" w:hint="eastAsia"/>
          <w:sz w:val="28"/>
          <w:szCs w:val="28"/>
          <w:vertAlign w:val="superscript"/>
          <w:lang w:val="en-US" w:eastAsia="zh-CN"/>
        </w:rPr>
        <w:t>st</w:t>
      </w:r>
      <w:r>
        <w:rPr>
          <w:rFonts w:eastAsia="宋体" w:cs="Arial" w:hint="eastAsia"/>
          <w:sz w:val="28"/>
          <w:szCs w:val="28"/>
          <w:lang w:val="en-US" w:eastAsia="zh-CN"/>
        </w:rPr>
        <w:t>, 2025</w:t>
      </w:r>
    </w:p>
    <w:p w14:paraId="1CFE13F9" w14:textId="77777777" w:rsidR="0096789F" w:rsidRDefault="00805EB2">
      <w:pPr>
        <w:tabs>
          <w:tab w:val="left" w:pos="1985"/>
        </w:tabs>
        <w:spacing w:after="0" w:afterAutospacing="0"/>
        <w:ind w:left="1985" w:hangingChars="706" w:hanging="1985"/>
        <w:rPr>
          <w:rFonts w:ascii="Arial" w:eastAsia="宋体" w:hAnsi="Arial" w:cs="Arial"/>
          <w:b/>
          <w:sz w:val="28"/>
          <w:szCs w:val="28"/>
          <w:lang w:val="en-US" w:eastAsia="zh-CN"/>
        </w:rPr>
      </w:pPr>
      <w:bookmarkStart w:id="1" w:name="_Ref133120545"/>
      <w:bookmarkEnd w:id="0"/>
      <w:r>
        <w:rPr>
          <w:rFonts w:ascii="Arial" w:hAnsi="Arial" w:cs="Arial"/>
          <w:b/>
          <w:sz w:val="28"/>
          <w:szCs w:val="28"/>
          <w:lang w:val="en-US"/>
        </w:rPr>
        <w:t>Source:</w:t>
      </w:r>
      <w:r>
        <w:rPr>
          <w:rFonts w:ascii="Arial" w:hAnsi="Arial" w:cs="Arial"/>
          <w:b/>
          <w:sz w:val="28"/>
          <w:szCs w:val="28"/>
          <w:lang w:val="en-US"/>
        </w:rPr>
        <w:tab/>
        <w:t>S</w:t>
      </w:r>
      <w:r>
        <w:rPr>
          <w:rFonts w:ascii="Arial" w:eastAsia="宋体" w:hAnsi="Arial" w:cs="Arial"/>
          <w:b/>
          <w:sz w:val="28"/>
          <w:szCs w:val="28"/>
          <w:lang w:val="en-US" w:eastAsia="zh-CN"/>
        </w:rPr>
        <w:t>harp</w:t>
      </w:r>
    </w:p>
    <w:p w14:paraId="5A50EF81" w14:textId="77777777" w:rsidR="0096789F" w:rsidRDefault="00805EB2">
      <w:pPr>
        <w:spacing w:after="0" w:afterAutospacing="0"/>
        <w:ind w:left="1985" w:hangingChars="706" w:hanging="1985"/>
        <w:rPr>
          <w:rFonts w:ascii="Arial" w:eastAsia="宋体" w:hAnsi="Arial"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ascii="Arial" w:hAnsi="Arial" w:cs="Arial" w:hint="eastAsia"/>
          <w:b/>
          <w:sz w:val="28"/>
          <w:szCs w:val="28"/>
          <w:lang w:val="en-US"/>
        </w:rPr>
        <w:t>Discussion on D</w:t>
      </w:r>
      <w:r>
        <w:rPr>
          <w:rFonts w:ascii="Arial" w:eastAsia="宋体" w:hAnsi="Arial" w:cs="Arial" w:hint="eastAsia"/>
          <w:b/>
          <w:sz w:val="28"/>
          <w:szCs w:val="28"/>
          <w:lang w:val="en-US" w:eastAsia="zh-CN"/>
        </w:rPr>
        <w:t>2R</w:t>
      </w:r>
      <w:r>
        <w:rPr>
          <w:rFonts w:ascii="Arial" w:hAnsi="Arial" w:cs="Arial" w:hint="eastAsia"/>
          <w:b/>
          <w:sz w:val="28"/>
          <w:szCs w:val="28"/>
          <w:lang w:val="en-US"/>
        </w:rPr>
        <w:t xml:space="preserve"> signals, channels, waveform and procedures</w:t>
      </w:r>
    </w:p>
    <w:p w14:paraId="6E00FC9B" w14:textId="77777777" w:rsidR="0096789F" w:rsidRDefault="00805EB2">
      <w:pPr>
        <w:spacing w:after="0" w:afterAutospacing="0"/>
        <w:ind w:left="1985" w:hangingChars="706" w:hanging="1985"/>
        <w:rPr>
          <w:rFonts w:ascii="Arial" w:eastAsia="宋体" w:hAnsi="Arial" w:cs="Arial"/>
          <w:b/>
          <w:sz w:val="28"/>
          <w:szCs w:val="28"/>
          <w:lang w:val="en-US" w:eastAsia="zh-CN"/>
        </w:rPr>
      </w:pPr>
      <w:r>
        <w:rPr>
          <w:rFonts w:ascii="Arial" w:hAnsi="Arial" w:cs="Arial"/>
          <w:b/>
          <w:sz w:val="28"/>
          <w:szCs w:val="28"/>
          <w:lang w:val="en-US"/>
        </w:rPr>
        <w:t>Agenda Item:</w:t>
      </w:r>
      <w:r>
        <w:rPr>
          <w:rFonts w:ascii="Arial" w:hAnsi="Arial" w:cs="Arial"/>
          <w:b/>
          <w:sz w:val="28"/>
          <w:szCs w:val="28"/>
          <w:lang w:val="en-US"/>
        </w:rPr>
        <w:tab/>
      </w:r>
      <w:r>
        <w:rPr>
          <w:rFonts w:ascii="Arial" w:eastAsia="宋体" w:hAnsi="Arial" w:cs="Arial" w:hint="eastAsia"/>
          <w:b/>
          <w:sz w:val="28"/>
          <w:szCs w:val="28"/>
          <w:lang w:val="en-US" w:eastAsia="zh-CN"/>
        </w:rPr>
        <w:t>10.3.2.2</w:t>
      </w:r>
    </w:p>
    <w:p w14:paraId="36E7B0DC" w14:textId="77777777" w:rsidR="0096789F" w:rsidRDefault="00805EB2">
      <w:pPr>
        <w:pBdr>
          <w:bottom w:val="single" w:sz="12" w:space="1" w:color="auto"/>
        </w:pBdr>
        <w:ind w:left="1985" w:hangingChars="706" w:hanging="1985"/>
        <w:rPr>
          <w:rFonts w:ascii="Arial" w:eastAsia="宋体" w:hAnsi="Arial" w:cs="Arial"/>
          <w:b/>
          <w:sz w:val="28"/>
          <w:szCs w:val="28"/>
          <w:lang w:val="en-US" w:eastAsia="zh-CN"/>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p>
    <w:p w14:paraId="7178A6C9" w14:textId="77777777" w:rsidR="0096789F" w:rsidRDefault="00805EB2">
      <w:pPr>
        <w:pStyle w:val="1"/>
        <w:spacing w:after="180"/>
        <w:rPr>
          <w:lang w:val="en-US"/>
        </w:rPr>
      </w:pPr>
      <w:r>
        <w:rPr>
          <w:lang w:val="en-US"/>
        </w:rPr>
        <w:t>Introduction</w:t>
      </w:r>
      <w:bookmarkEnd w:id="1"/>
    </w:p>
    <w:p w14:paraId="3CA35612" w14:textId="77777777" w:rsidR="0096789F" w:rsidRDefault="00805EB2">
      <w:pPr>
        <w:spacing w:beforeLines="50" w:before="180" w:beforeAutospacing="1" w:afterLines="50" w:after="180" w:afterAutospacing="0"/>
        <w:rPr>
          <w:rFonts w:eastAsia="宋体"/>
          <w:lang w:val="en-US" w:eastAsia="zh-CN"/>
        </w:rPr>
      </w:pPr>
      <w:r>
        <w:rPr>
          <w:rFonts w:eastAsia="宋体" w:hint="eastAsia"/>
          <w:lang w:val="en-US" w:eastAsia="zh-CN"/>
        </w:rPr>
        <w:t xml:space="preserve">A revised study </w:t>
      </w:r>
      <w:r>
        <w:rPr>
          <w:rFonts w:eastAsia="宋体"/>
          <w:lang w:eastAsia="zh-CN"/>
        </w:rPr>
        <w:t>item on</w:t>
      </w:r>
      <w:r>
        <w:rPr>
          <w:rFonts w:eastAsia="宋体" w:hint="eastAsia"/>
          <w:lang w:val="en-US" w:eastAsia="zh-CN"/>
        </w:rPr>
        <w:t xml:space="preserve"> enhancements for solutions for Ambient IoT (Internet of Things) in NR outdoor for active devices</w:t>
      </w:r>
      <w:r>
        <w:rPr>
          <w:rFonts w:eastAsia="宋体"/>
          <w:lang w:eastAsia="zh-CN"/>
        </w:rPr>
        <w:t xml:space="preserve"> </w:t>
      </w:r>
      <w:r>
        <w:rPr>
          <w:rFonts w:eastAsia="宋体"/>
          <w:lang w:eastAsia="zh-CN"/>
        </w:rPr>
        <w:fldChar w:fldCharType="begin"/>
      </w:r>
      <w:r>
        <w:rPr>
          <w:rFonts w:eastAsia="宋体"/>
          <w:lang w:eastAsia="zh-CN"/>
        </w:rPr>
        <w:instrText xml:space="preserve"> REF _Ref124764504 \n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val="en-US" w:eastAsia="zh-CN"/>
        </w:rPr>
        <w:t xml:space="preserve"> for Rel-20 was approved </w:t>
      </w:r>
      <w:r>
        <w:rPr>
          <w:rFonts w:eastAsia="宋体"/>
          <w:lang w:val="en-US" w:eastAsia="zh-CN"/>
        </w:rPr>
        <w:t xml:space="preserve">in </w:t>
      </w:r>
      <w:r>
        <w:rPr>
          <w:rFonts w:eastAsia="宋体" w:hint="eastAsia"/>
          <w:lang w:val="en-US" w:eastAsia="zh-CN"/>
        </w:rPr>
        <w:t>RAN#109, with objectives including the following:</w:t>
      </w:r>
    </w:p>
    <w:tbl>
      <w:tblPr>
        <w:tblStyle w:val="aa"/>
        <w:tblW w:w="0" w:type="auto"/>
        <w:tblLook w:val="04A0" w:firstRow="1" w:lastRow="0" w:firstColumn="1" w:lastColumn="0" w:noHBand="0" w:noVBand="1"/>
      </w:tblPr>
      <w:tblGrid>
        <w:gridCol w:w="9954"/>
      </w:tblGrid>
      <w:tr w:rsidR="0096789F" w14:paraId="20B04725" w14:textId="77777777">
        <w:tc>
          <w:tcPr>
            <w:tcW w:w="10180" w:type="dxa"/>
          </w:tcPr>
          <w:p w14:paraId="6129BD7D" w14:textId="77777777" w:rsidR="0096789F" w:rsidRDefault="00805EB2">
            <w:pPr>
              <w:numPr>
                <w:ilvl w:val="0"/>
                <w:numId w:val="5"/>
              </w:numPr>
              <w:overflowPunct w:val="0"/>
              <w:autoSpaceDE w:val="0"/>
              <w:autoSpaceDN w:val="0"/>
              <w:adjustRightInd w:val="0"/>
              <w:snapToGrid/>
              <w:spacing w:before="80" w:after="80"/>
              <w:ind w:left="357" w:hanging="357"/>
              <w:contextualSpacing/>
              <w:jc w:val="left"/>
              <w:textAlignment w:val="baseline"/>
              <w:rPr>
                <w:rFonts w:eastAsia="等线"/>
                <w:sz w:val="20"/>
                <w:lang w:val="en-US" w:eastAsia="en-US"/>
              </w:rPr>
            </w:pPr>
            <w:r>
              <w:rPr>
                <w:rFonts w:eastAsia="等线" w:hint="eastAsia"/>
                <w:sz w:val="20"/>
                <w:lang w:val="en-US" w:eastAsia="en-US"/>
              </w:rPr>
              <w:t>Study necessary and feasible changes to the Rel-19 A-IoT specifications to support A-IoT in outdoor scenarios under the following conditions [RAN1-led]:</w:t>
            </w:r>
          </w:p>
          <w:p w14:paraId="19575328" w14:textId="77777777" w:rsidR="0096789F" w:rsidRDefault="00805EB2">
            <w:pPr>
              <w:numPr>
                <w:ilvl w:val="0"/>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Deployment scenario 4 with topology 1 with no external carrier wave.</w:t>
            </w:r>
          </w:p>
          <w:p w14:paraId="461DEAD7" w14:textId="77777777" w:rsidR="0096789F" w:rsidRDefault="00805EB2">
            <w:pPr>
              <w:numPr>
                <w:ilvl w:val="0"/>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Traffic types DO-DTT, DT, DO-A.</w:t>
            </w:r>
          </w:p>
          <w:p w14:paraId="04C7149F" w14:textId="77777777" w:rsidR="0096789F" w:rsidRDefault="00805EB2">
            <w:pPr>
              <w:numPr>
                <w:ilvl w:val="0"/>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Representative use cases rUC5 (outdoor inventory), rUC6 (outdoor sensor), and rUC8 (outdoor command).</w:t>
            </w:r>
          </w:p>
          <w:p w14:paraId="646EDB6C" w14:textId="77777777" w:rsidR="0096789F" w:rsidRDefault="00805EB2">
            <w:pPr>
              <w:numPr>
                <w:ilvl w:val="0"/>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 xml:space="preserve">Assumption that A-IoT BS readers are deployed on the same sites as existing outdoor NR </w:t>
            </w:r>
            <w:proofErr w:type="gramStart"/>
            <w:r>
              <w:rPr>
                <w:rFonts w:eastAsia="等线" w:hint="eastAsia"/>
                <w:sz w:val="20"/>
                <w:lang w:eastAsia="en-GB"/>
              </w:rPr>
              <w:t>macro BSs</w:t>
            </w:r>
            <w:proofErr w:type="gramEnd"/>
            <w:r>
              <w:rPr>
                <w:rFonts w:eastAsia="等线" w:hint="eastAsia"/>
                <w:sz w:val="20"/>
                <w:lang w:eastAsia="en-GB"/>
              </w:rPr>
              <w:t>.</w:t>
            </w:r>
          </w:p>
          <w:p w14:paraId="0BE498E7" w14:textId="77777777" w:rsidR="0096789F" w:rsidRDefault="00805EB2">
            <w:pPr>
              <w:numPr>
                <w:ilvl w:val="0"/>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FR1 licensed spectrum in FDD in-band to NR and in standalone bands, with R2D in DL spectrum and D2R in UL spectrum.</w:t>
            </w:r>
          </w:p>
          <w:p w14:paraId="5BCA8126" w14:textId="77777777" w:rsidR="0096789F" w:rsidRDefault="00805EB2">
            <w:pPr>
              <w:numPr>
                <w:ilvl w:val="0"/>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Assumption of the same air interface for Device 2b and Device C.</w:t>
            </w:r>
          </w:p>
          <w:p w14:paraId="02C98798" w14:textId="77777777" w:rsidR="0096789F" w:rsidRDefault="00805EB2">
            <w:pPr>
              <w:numPr>
                <w:ilvl w:val="1"/>
                <w:numId w:val="6"/>
              </w:numPr>
              <w:overflowPunct w:val="0"/>
              <w:autoSpaceDE w:val="0"/>
              <w:autoSpaceDN w:val="0"/>
              <w:adjustRightInd w:val="0"/>
              <w:snapToGrid/>
              <w:spacing w:before="80" w:after="80" w:afterAutospacing="0"/>
              <w:jc w:val="left"/>
              <w:textAlignment w:val="baseline"/>
              <w:rPr>
                <w:rFonts w:eastAsia="等线"/>
                <w:sz w:val="20"/>
                <w:lang w:eastAsia="en-GB"/>
              </w:rPr>
            </w:pPr>
            <w:bookmarkStart w:id="3" w:name="_Hlk200381346"/>
            <w:r>
              <w:rPr>
                <w:rFonts w:eastAsia="等线" w:hint="eastAsia"/>
                <w:sz w:val="20"/>
                <w:lang w:eastAsia="en-GB"/>
              </w:rPr>
              <w:t xml:space="preserve">Take into account the aspects reported in Clause 6.10 </w:t>
            </w:r>
            <w:r>
              <w:rPr>
                <w:rFonts w:eastAsia="等线" w:hint="eastAsia"/>
                <w:sz w:val="20"/>
                <w:lang w:eastAsia="en-GB"/>
              </w:rPr>
              <w:t>“</w:t>
            </w:r>
            <w:r>
              <w:rPr>
                <w:rFonts w:eastAsia="等线" w:hint="eastAsia"/>
                <w:sz w:val="20"/>
                <w:lang w:eastAsia="en-GB"/>
              </w:rPr>
              <w:t>DO-A assessment</w:t>
            </w:r>
            <w:r>
              <w:rPr>
                <w:rFonts w:eastAsia="等线" w:hint="eastAsia"/>
                <w:sz w:val="20"/>
                <w:lang w:eastAsia="en-GB"/>
              </w:rPr>
              <w:t>”</w:t>
            </w:r>
            <w:r>
              <w:rPr>
                <w:rFonts w:eastAsia="等线" w:hint="eastAsia"/>
                <w:sz w:val="20"/>
                <w:lang w:eastAsia="en-GB"/>
              </w:rPr>
              <w:t xml:space="preserve"> and Clause 6.1.1.7 </w:t>
            </w:r>
            <w:r>
              <w:rPr>
                <w:rFonts w:eastAsia="等线" w:hint="eastAsia"/>
                <w:sz w:val="20"/>
                <w:lang w:eastAsia="en-GB"/>
              </w:rPr>
              <w:t>“</w:t>
            </w:r>
            <w:r>
              <w:rPr>
                <w:rFonts w:eastAsia="等线" w:hint="eastAsia"/>
                <w:sz w:val="20"/>
                <w:lang w:eastAsia="en-GB"/>
              </w:rPr>
              <w:t>CFO calibration signal for device 2b</w:t>
            </w:r>
            <w:r>
              <w:rPr>
                <w:rFonts w:eastAsia="等线" w:hint="eastAsia"/>
                <w:sz w:val="20"/>
                <w:lang w:eastAsia="en-GB"/>
              </w:rPr>
              <w:t>”</w:t>
            </w:r>
            <w:r>
              <w:rPr>
                <w:rFonts w:eastAsia="等线" w:hint="eastAsia"/>
                <w:sz w:val="20"/>
                <w:lang w:eastAsia="en-GB"/>
              </w:rPr>
              <w:t xml:space="preserve"> of TR 38.769</w:t>
            </w:r>
            <w:bookmarkEnd w:id="3"/>
          </w:p>
          <w:p w14:paraId="08637E35" w14:textId="77777777" w:rsidR="0096789F" w:rsidRDefault="00805EB2">
            <w:pPr>
              <w:numPr>
                <w:ilvl w:val="0"/>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val="en-US" w:eastAsia="zh-CN"/>
              </w:rPr>
              <w:t>[...]</w:t>
            </w:r>
          </w:p>
          <w:p w14:paraId="6BED5C45" w14:textId="77777777" w:rsidR="0096789F" w:rsidRDefault="00805EB2">
            <w:pPr>
              <w:overflowPunct w:val="0"/>
              <w:autoSpaceDE w:val="0"/>
              <w:autoSpaceDN w:val="0"/>
              <w:adjustRightInd w:val="0"/>
              <w:snapToGrid/>
              <w:spacing w:before="80" w:after="80" w:afterAutospacing="0"/>
              <w:ind w:left="357"/>
              <w:jc w:val="left"/>
              <w:textAlignment w:val="baseline"/>
              <w:rPr>
                <w:rFonts w:eastAsia="等线"/>
                <w:sz w:val="20"/>
                <w:lang w:val="en-US" w:eastAsia="zh-CN"/>
              </w:rPr>
            </w:pPr>
            <w:r>
              <w:rPr>
                <w:rFonts w:eastAsia="等线" w:hint="eastAsia"/>
                <w:sz w:val="20"/>
                <w:lang w:val="en-US" w:eastAsia="zh-CN"/>
              </w:rPr>
              <w:t>[...]</w:t>
            </w:r>
          </w:p>
          <w:p w14:paraId="0BF9A990" w14:textId="77777777" w:rsidR="0096789F" w:rsidRDefault="00805EB2">
            <w:pPr>
              <w:overflowPunct w:val="0"/>
              <w:autoSpaceDE w:val="0"/>
              <w:autoSpaceDN w:val="0"/>
              <w:adjustRightInd w:val="0"/>
              <w:snapToGrid/>
              <w:spacing w:before="80" w:after="80" w:afterAutospacing="0"/>
              <w:ind w:left="360"/>
              <w:jc w:val="left"/>
              <w:textAlignment w:val="baseline"/>
              <w:rPr>
                <w:rFonts w:eastAsia="等线"/>
                <w:sz w:val="20"/>
                <w:lang w:eastAsia="en-GB"/>
              </w:rPr>
            </w:pPr>
            <w:r>
              <w:rPr>
                <w:rFonts w:eastAsia="等线" w:hint="eastAsia"/>
                <w:sz w:val="20"/>
                <w:lang w:eastAsia="en-GB"/>
              </w:rPr>
              <w:t>This objective includes:</w:t>
            </w:r>
          </w:p>
          <w:p w14:paraId="03EAB03D" w14:textId="77777777" w:rsidR="0096789F" w:rsidRDefault="00805EB2">
            <w:pPr>
              <w:overflowPunct w:val="0"/>
              <w:autoSpaceDE w:val="0"/>
              <w:autoSpaceDN w:val="0"/>
              <w:adjustRightInd w:val="0"/>
              <w:snapToGrid/>
              <w:spacing w:before="80" w:after="80" w:afterAutospacing="0"/>
              <w:ind w:left="360"/>
              <w:jc w:val="left"/>
              <w:textAlignment w:val="baseline"/>
              <w:rPr>
                <w:rFonts w:eastAsia="等线"/>
                <w:b/>
                <w:bCs/>
                <w:sz w:val="20"/>
                <w:u w:val="single"/>
                <w:lang w:eastAsia="en-GB"/>
              </w:rPr>
            </w:pPr>
            <w:r>
              <w:rPr>
                <w:rFonts w:eastAsia="等线" w:hint="eastAsia"/>
                <w:b/>
                <w:bCs/>
                <w:sz w:val="20"/>
                <w:u w:val="single"/>
                <w:lang w:eastAsia="en-GB"/>
              </w:rPr>
              <w:t>RAN1-led</w:t>
            </w:r>
          </w:p>
          <w:p w14:paraId="5D77CD1B" w14:textId="77777777" w:rsidR="0096789F" w:rsidRDefault="00805EB2">
            <w:pPr>
              <w:numPr>
                <w:ilvl w:val="0"/>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Study necessary and feasible changes to the Rel-19 air interface to support the above scenarios</w:t>
            </w:r>
          </w:p>
          <w:p w14:paraId="58046072" w14:textId="77777777" w:rsidR="0096789F" w:rsidRDefault="00805EB2">
            <w:pPr>
              <w:numPr>
                <w:ilvl w:val="1"/>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Air interface for device 2b/C studied for outdoor will be reused for supporting device 2b/C in indoor scenarios</w:t>
            </w:r>
          </w:p>
          <w:p w14:paraId="3AF4D4E0" w14:textId="77777777" w:rsidR="0096789F" w:rsidRDefault="00805EB2">
            <w:pPr>
              <w:numPr>
                <w:ilvl w:val="0"/>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Study applicability and necessity of Device 2b and Device C to the above scenarios, assuming similar device architectures for Device 2b and Device C.</w:t>
            </w:r>
          </w:p>
          <w:p w14:paraId="5D975896" w14:textId="77777777" w:rsidR="0096789F" w:rsidRDefault="00805EB2">
            <w:pPr>
              <w:numPr>
                <w:ilvl w:val="0"/>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lastRenderedPageBreak/>
              <w:t>While providing clear differentiation with existing 3GPP LPWA IoT technology and the features of 6G relevant to IoT, study outcomes should include achievable cell edge data rate assuming</w:t>
            </w:r>
          </w:p>
          <w:p w14:paraId="122E49B6" w14:textId="77777777" w:rsidR="0096789F" w:rsidRDefault="00805EB2">
            <w:pPr>
              <w:numPr>
                <w:ilvl w:val="1"/>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Maximum distance between Reader and Device of 50-500 m</w:t>
            </w:r>
          </w:p>
          <w:p w14:paraId="14CE8F15" w14:textId="77777777" w:rsidR="0096789F" w:rsidRDefault="00805EB2">
            <w:pPr>
              <w:numPr>
                <w:ilvl w:val="1"/>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Maximum transmit power between -3 dBm and +5 dBm for device C</w:t>
            </w:r>
          </w:p>
          <w:p w14:paraId="5353C270" w14:textId="77777777" w:rsidR="0096789F" w:rsidRDefault="00805EB2">
            <w:pPr>
              <w:numPr>
                <w:ilvl w:val="2"/>
                <w:numId w:val="6"/>
              </w:numPr>
              <w:overflowPunct w:val="0"/>
              <w:autoSpaceDE w:val="0"/>
              <w:autoSpaceDN w:val="0"/>
              <w:adjustRightInd w:val="0"/>
              <w:snapToGrid/>
              <w:spacing w:before="80" w:after="80" w:afterAutospacing="0"/>
              <w:ind w:left="2694" w:hanging="354"/>
              <w:jc w:val="left"/>
              <w:textAlignment w:val="baseline"/>
              <w:rPr>
                <w:rFonts w:eastAsia="等线"/>
                <w:sz w:val="20"/>
                <w:lang w:eastAsia="en-GB"/>
              </w:rPr>
            </w:pPr>
            <w:r>
              <w:rPr>
                <w:rFonts w:eastAsia="等线" w:hint="eastAsia"/>
                <w:sz w:val="20"/>
                <w:lang w:eastAsia="en-GB"/>
              </w:rPr>
              <w:t>RAN1 to recommend feasible values within this range</w:t>
            </w:r>
          </w:p>
          <w:p w14:paraId="4F572A2A" w14:textId="77777777" w:rsidR="0096789F" w:rsidRDefault="00805EB2">
            <w:pPr>
              <w:numPr>
                <w:ilvl w:val="1"/>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Maximum transmit power of -20 dBm and -10 dBm for device 2b</w:t>
            </w:r>
          </w:p>
          <w:p w14:paraId="5DF9612D" w14:textId="77777777" w:rsidR="0096789F" w:rsidRDefault="00805EB2">
            <w:pPr>
              <w:overflowPunct w:val="0"/>
              <w:autoSpaceDE w:val="0"/>
              <w:autoSpaceDN w:val="0"/>
              <w:adjustRightInd w:val="0"/>
              <w:snapToGrid/>
              <w:spacing w:before="80" w:after="80" w:afterAutospacing="0"/>
              <w:ind w:left="1440"/>
              <w:jc w:val="left"/>
              <w:textAlignment w:val="baseline"/>
              <w:rPr>
                <w:rFonts w:eastAsia="等线"/>
                <w:sz w:val="20"/>
                <w:lang w:eastAsia="en-GB"/>
              </w:rPr>
            </w:pPr>
            <w:r>
              <w:rPr>
                <w:rFonts w:eastAsia="等线" w:hint="eastAsia"/>
                <w:sz w:val="20"/>
                <w:lang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4311E5F9" w14:textId="77777777" w:rsidR="0096789F" w:rsidRDefault="00805EB2">
            <w:pPr>
              <w:numPr>
                <w:ilvl w:val="0"/>
                <w:numId w:val="6"/>
              </w:numPr>
              <w:overflowPunct w:val="0"/>
              <w:autoSpaceDE w:val="0"/>
              <w:autoSpaceDN w:val="0"/>
              <w:adjustRightInd w:val="0"/>
              <w:snapToGrid/>
              <w:spacing w:before="80" w:after="80" w:afterAutospacing="0"/>
              <w:jc w:val="left"/>
              <w:textAlignment w:val="baseline"/>
              <w:rPr>
                <w:rFonts w:eastAsia="宋体"/>
                <w:lang w:val="en-US" w:eastAsia="zh-CN"/>
              </w:rPr>
            </w:pPr>
            <w:r>
              <w:rPr>
                <w:rFonts w:eastAsia="等线" w:hint="eastAsia"/>
                <w:sz w:val="20"/>
                <w:lang w:val="en-US" w:eastAsia="zh-CN"/>
              </w:rPr>
              <w:t>[...]</w:t>
            </w:r>
          </w:p>
        </w:tc>
      </w:tr>
    </w:tbl>
    <w:p w14:paraId="25A60712" w14:textId="77777777" w:rsidR="0096789F" w:rsidRDefault="00805EB2">
      <w:pPr>
        <w:spacing w:beforeLines="50" w:before="180" w:beforeAutospacing="1" w:afterLines="50" w:after="180" w:afterAutospacing="0"/>
        <w:rPr>
          <w:rFonts w:eastAsia="宋体"/>
          <w:lang w:val="en-US" w:eastAsia="zh-CN"/>
        </w:rPr>
      </w:pPr>
      <w:r>
        <w:rPr>
          <w:lang w:val="en-US" w:eastAsia="zh-CN"/>
        </w:rPr>
        <w:lastRenderedPageBreak/>
        <w:t xml:space="preserve">In this </w:t>
      </w:r>
      <w:r>
        <w:rPr>
          <w:rFonts w:eastAsia="宋体"/>
          <w:lang w:val="en-US" w:eastAsia="zh-CN"/>
        </w:rPr>
        <w:t>document</w:t>
      </w:r>
      <w:r>
        <w:rPr>
          <w:lang w:val="en-US" w:eastAsia="zh-CN"/>
        </w:rPr>
        <w:t xml:space="preserve">, we </w:t>
      </w:r>
      <w:r>
        <w:rPr>
          <w:rFonts w:eastAsia="宋体"/>
          <w:lang w:val="en-US" w:eastAsia="zh-CN"/>
        </w:rPr>
        <w:t xml:space="preserve">share our views on </w:t>
      </w:r>
      <w:r>
        <w:rPr>
          <w:rFonts w:eastAsia="宋体" w:hint="eastAsia"/>
          <w:lang w:val="en-US" w:eastAsia="zh-CN"/>
        </w:rPr>
        <w:t>a few aspects of the D2R signals, channels, waveform and procedures for Device 2b and Device C in Rel-20 A-IoT.</w:t>
      </w:r>
    </w:p>
    <w:p w14:paraId="6D6A12F4" w14:textId="77777777" w:rsidR="0096789F" w:rsidRDefault="00805EB2">
      <w:pPr>
        <w:pStyle w:val="1"/>
        <w:spacing w:after="180"/>
        <w:rPr>
          <w:lang w:val="en-US" w:eastAsia="zh-CN"/>
        </w:rPr>
      </w:pPr>
      <w:r>
        <w:rPr>
          <w:lang w:val="en-US"/>
        </w:rPr>
        <w:t>Discussion</w:t>
      </w:r>
    </w:p>
    <w:p w14:paraId="19661D8B" w14:textId="77777777" w:rsidR="0096789F" w:rsidRDefault="00805EB2">
      <w:pPr>
        <w:pStyle w:val="2"/>
        <w:spacing w:after="180"/>
        <w:rPr>
          <w:lang w:val="en-US" w:eastAsia="zh-CN"/>
        </w:rPr>
      </w:pPr>
      <w:r>
        <w:rPr>
          <w:rFonts w:hint="eastAsia"/>
          <w:lang w:val="en-US" w:eastAsia="zh-CN"/>
        </w:rPr>
        <w:t>D2R waveform</w:t>
      </w:r>
    </w:p>
    <w:p w14:paraId="7D881D8E" w14:textId="77777777" w:rsidR="0096789F" w:rsidRDefault="00805EB2">
      <w:pPr>
        <w:snapToGrid/>
        <w:spacing w:beforeLines="50" w:before="180" w:beforeAutospacing="1" w:afterLines="50" w:after="180"/>
        <w:rPr>
          <w:rFonts w:eastAsia="宋体"/>
          <w:lang w:val="en-US" w:eastAsia="zh-CN"/>
        </w:rPr>
      </w:pPr>
      <w:r>
        <w:rPr>
          <w:rFonts w:eastAsia="宋体" w:hint="eastAsia"/>
          <w:lang w:val="en-US" w:eastAsia="zh-CN"/>
        </w:rPr>
        <w:t>The following was agreed in RAN1#122-bis,</w:t>
      </w:r>
    </w:p>
    <w:tbl>
      <w:tblPr>
        <w:tblStyle w:val="aa"/>
        <w:tblW w:w="0" w:type="auto"/>
        <w:tblLook w:val="04A0" w:firstRow="1" w:lastRow="0" w:firstColumn="1" w:lastColumn="0" w:noHBand="0" w:noVBand="1"/>
      </w:tblPr>
      <w:tblGrid>
        <w:gridCol w:w="9954"/>
      </w:tblGrid>
      <w:tr w:rsidR="0096789F" w14:paraId="04F882C2" w14:textId="77777777">
        <w:tc>
          <w:tcPr>
            <w:tcW w:w="10180" w:type="dxa"/>
          </w:tcPr>
          <w:p w14:paraId="69E2DC66" w14:textId="77777777" w:rsidR="0096789F" w:rsidRDefault="00805EB2">
            <w:pPr>
              <w:snapToGrid/>
              <w:spacing w:after="0" w:afterAutospacing="0"/>
              <w:jc w:val="left"/>
              <w:rPr>
                <w:rFonts w:ascii="Times" w:eastAsia="等线" w:hAnsi="Times"/>
                <w:b/>
                <w:bCs/>
                <w:sz w:val="20"/>
                <w:szCs w:val="24"/>
                <w:lang w:val="en-US" w:eastAsia="zh-CN"/>
              </w:rPr>
            </w:pPr>
            <w:r>
              <w:rPr>
                <w:rFonts w:ascii="Times" w:eastAsia="等线" w:hAnsi="Times"/>
                <w:b/>
                <w:bCs/>
                <w:sz w:val="20"/>
                <w:szCs w:val="24"/>
                <w:highlight w:val="green"/>
                <w:lang w:val="en-US" w:eastAsia="zh-CN"/>
              </w:rPr>
              <w:t>Agreement</w:t>
            </w:r>
          </w:p>
          <w:p w14:paraId="3F2E3329" w14:textId="77777777" w:rsidR="0096789F" w:rsidRPr="00B62723" w:rsidRDefault="00805EB2">
            <w:pPr>
              <w:snapToGrid/>
              <w:spacing w:after="0" w:afterAutospacing="0"/>
              <w:jc w:val="left"/>
              <w:rPr>
                <w:rFonts w:eastAsia="Batang"/>
                <w:sz w:val="20"/>
                <w:lang w:val="en-US" w:eastAsia="en-US"/>
              </w:rPr>
            </w:pPr>
            <w:r w:rsidRPr="00B62723">
              <w:rPr>
                <w:rFonts w:eastAsia="Batang"/>
                <w:sz w:val="20"/>
                <w:lang w:eastAsia="en-US"/>
              </w:rPr>
              <w:t>The study assumes single-carrier waveform for D2R.</w:t>
            </w:r>
          </w:p>
          <w:p w14:paraId="6A6D7A44" w14:textId="77777777" w:rsidR="0096789F" w:rsidRPr="00B62723" w:rsidRDefault="00805EB2" w:rsidP="00B62723">
            <w:pPr>
              <w:numPr>
                <w:ilvl w:val="0"/>
                <w:numId w:val="7"/>
              </w:numPr>
              <w:overflowPunct w:val="0"/>
              <w:autoSpaceDE w:val="0"/>
              <w:autoSpaceDN w:val="0"/>
              <w:adjustRightInd w:val="0"/>
              <w:contextualSpacing/>
              <w:textAlignment w:val="baseline"/>
              <w:rPr>
                <w:rFonts w:ascii="Times" w:eastAsia="Batang" w:hAnsi="Times"/>
                <w:szCs w:val="24"/>
                <w:lang w:eastAsia="ko-KR"/>
              </w:rPr>
            </w:pPr>
            <w:r w:rsidRPr="00B62723">
              <w:rPr>
                <w:rFonts w:ascii="Times" w:eastAsia="Batang" w:hAnsi="Times"/>
                <w:sz w:val="20"/>
                <w:lang w:eastAsia="ko-KR"/>
              </w:rPr>
              <w:t>FFS whether to use 2SB or 1SB for D2R</w:t>
            </w:r>
          </w:p>
        </w:tc>
      </w:tr>
    </w:tbl>
    <w:p w14:paraId="4CBD1036" w14:textId="77777777" w:rsidR="0096789F" w:rsidRDefault="00805EB2">
      <w:pPr>
        <w:snapToGrid/>
        <w:spacing w:beforeLines="50" w:before="180" w:beforeAutospacing="1" w:afterLines="50" w:after="180"/>
        <w:rPr>
          <w:rFonts w:eastAsia="宋体"/>
          <w:lang w:val="en-US" w:eastAsia="zh-CN"/>
        </w:rPr>
      </w:pPr>
      <w:r>
        <w:rPr>
          <w:rFonts w:eastAsia="宋体" w:hint="eastAsia"/>
          <w:lang w:val="en-US" w:eastAsia="zh-CN"/>
        </w:rPr>
        <w:t>Regarding the FFS on whether to use 2SB or 1SB for D2R, we see potential benefits for both 2SB and 1SB, and propose to consider the option of supporting both (i.e. up to the Reader to decide for each D2R transmission). 2SB has lower complexity (which is supposed to be affordable for a device already supporting 1SB) and can be used for scenarios where the diversity gain is important for D2R reception, and 1SB can be used for better D2R capacity in case D2R reception performance is not a problem.</w:t>
      </w:r>
    </w:p>
    <w:p w14:paraId="0C23C941" w14:textId="77777777" w:rsidR="0096789F" w:rsidRDefault="00805EB2">
      <w:pPr>
        <w:widowControl w:val="0"/>
        <w:numPr>
          <w:ilvl w:val="0"/>
          <w:numId w:val="8"/>
        </w:numPr>
        <w:tabs>
          <w:tab w:val="left" w:pos="1418"/>
        </w:tabs>
        <w:snapToGrid/>
        <w:spacing w:before="240" w:after="0" w:afterAutospacing="0"/>
        <w:ind w:left="1440" w:hanging="1440"/>
        <w:rPr>
          <w:rFonts w:eastAsia="宋体"/>
          <w:lang w:val="en-US" w:eastAsia="zh-CN"/>
        </w:rPr>
      </w:pPr>
      <w:r>
        <w:rPr>
          <w:rFonts w:eastAsia="宋体" w:hint="eastAsia"/>
          <w:lang w:val="en-US" w:eastAsia="zh-CN"/>
        </w:rPr>
        <w:t>Regarding the single-carrier waveform for D2R,</w:t>
      </w:r>
    </w:p>
    <w:p w14:paraId="53EC69BA" w14:textId="77777777" w:rsidR="0096789F" w:rsidRDefault="00805EB2" w:rsidP="00B62723">
      <w:pPr>
        <w:widowControl w:val="0"/>
        <w:numPr>
          <w:ilvl w:val="3"/>
          <w:numId w:val="9"/>
        </w:numPr>
        <w:snapToGrid/>
        <w:ind w:left="2098"/>
        <w:rPr>
          <w:rFonts w:eastAsia="宋体"/>
          <w:lang w:val="en-US" w:eastAsia="zh-CN"/>
        </w:rPr>
      </w:pPr>
      <w:r>
        <w:rPr>
          <w:rFonts w:eastAsia="宋体" w:hint="eastAsia"/>
          <w:lang w:val="en-US" w:eastAsia="zh-CN"/>
        </w:rPr>
        <w:t xml:space="preserve">Both 2SB and 1SB </w:t>
      </w:r>
      <w:r w:rsidR="00B62723">
        <w:rPr>
          <w:rFonts w:eastAsia="宋体"/>
          <w:lang w:val="en-US" w:eastAsia="zh-CN"/>
        </w:rPr>
        <w:t>are</w:t>
      </w:r>
      <w:r>
        <w:rPr>
          <w:rFonts w:eastAsia="宋体" w:hint="eastAsia"/>
          <w:lang w:val="en-US" w:eastAsia="zh-CN"/>
        </w:rPr>
        <w:t xml:space="preserve"> considered for Device 2b and Device C.</w:t>
      </w:r>
    </w:p>
    <w:p w14:paraId="2FA0D75E" w14:textId="77777777" w:rsidR="0096789F" w:rsidRDefault="00805EB2">
      <w:pPr>
        <w:widowControl w:val="0"/>
        <w:tabs>
          <w:tab w:val="left" w:pos="-420"/>
          <w:tab w:val="left" w:pos="0"/>
          <w:tab w:val="left" w:pos="420"/>
        </w:tabs>
        <w:snapToGrid/>
        <w:spacing w:after="0" w:afterAutospacing="0"/>
        <w:rPr>
          <w:rFonts w:eastAsia="宋体"/>
          <w:lang w:val="en-US" w:eastAsia="zh-CN"/>
        </w:rPr>
      </w:pPr>
      <w:r>
        <w:rPr>
          <w:rFonts w:eastAsia="宋体"/>
          <w:lang w:val="en-US" w:eastAsia="zh-CN"/>
        </w:rPr>
        <w:t xml:space="preserve">For the 2SB waveform, the </w:t>
      </w:r>
      <w:proofErr w:type="spellStart"/>
      <w:r>
        <w:rPr>
          <w:rFonts w:eastAsia="宋体"/>
          <w:lang w:val="en-US" w:eastAsia="zh-CN"/>
        </w:rPr>
        <w:t>FDMed</w:t>
      </w:r>
      <w:proofErr w:type="spellEnd"/>
      <w:r>
        <w:rPr>
          <w:rFonts w:eastAsia="宋体"/>
          <w:lang w:val="en-US" w:eastAsia="zh-CN"/>
        </w:rPr>
        <w:t xml:space="preserve"> resources expand symmetrically on both sides of the center frequency (CW) and are indexed using the SFS factor. For the active device to transmit a 1SB waveform, since it can adjust the LO toward the frequency of the desired D2R channel, the center frequency is not required. In this case, D2R channel can be defined for each 1SB waveform resource and the </w:t>
      </w:r>
      <w:proofErr w:type="spellStart"/>
      <w:r>
        <w:rPr>
          <w:rFonts w:eastAsia="宋体"/>
          <w:lang w:val="en-US" w:eastAsia="zh-CN"/>
        </w:rPr>
        <w:t>FDMed</w:t>
      </w:r>
      <w:proofErr w:type="spellEnd"/>
      <w:r>
        <w:rPr>
          <w:rFonts w:eastAsia="宋体"/>
          <w:lang w:val="en-US" w:eastAsia="zh-CN"/>
        </w:rPr>
        <w:t xml:space="preserve"> channels for D2R transmission can be sequentially indexed starting from the lowest frequency channel, and the </w:t>
      </w:r>
      <w:r>
        <w:rPr>
          <w:rFonts w:eastAsia="宋体"/>
          <w:lang w:val="en-US" w:eastAsia="zh-CN"/>
        </w:rPr>
        <w:lastRenderedPageBreak/>
        <w:t>desired channel for D2R transmission is determined based on its index.</w:t>
      </w:r>
    </w:p>
    <w:p w14:paraId="57A12C6F" w14:textId="54070508" w:rsidR="00EA51B8" w:rsidRPr="009633B5" w:rsidRDefault="00805EB2" w:rsidP="009633B5">
      <w:pPr>
        <w:widowControl w:val="0"/>
        <w:numPr>
          <w:ilvl w:val="0"/>
          <w:numId w:val="8"/>
        </w:numPr>
        <w:tabs>
          <w:tab w:val="left" w:pos="1418"/>
        </w:tabs>
        <w:snapToGrid/>
        <w:spacing w:before="240" w:after="0" w:afterAutospacing="0"/>
        <w:ind w:left="1440" w:hanging="1440"/>
        <w:rPr>
          <w:rFonts w:eastAsia="宋体"/>
          <w:b/>
          <w:lang w:val="en-US" w:eastAsia="zh-CN"/>
        </w:rPr>
      </w:pPr>
      <w:r>
        <w:rPr>
          <w:rFonts w:eastAsia="宋体" w:hint="eastAsia"/>
          <w:lang w:val="en-US" w:eastAsia="zh-CN"/>
        </w:rPr>
        <w:t xml:space="preserve">For Device 2b and Device C, for a </w:t>
      </w:r>
      <w:r>
        <w:rPr>
          <w:rFonts w:eastAsia="宋体"/>
          <w:lang w:val="en-US" w:eastAsia="zh-CN"/>
        </w:rPr>
        <w:t>D2R channel for 1SB waveform</w:t>
      </w:r>
      <w:r>
        <w:rPr>
          <w:rFonts w:eastAsia="宋体" w:hint="eastAsia"/>
          <w:lang w:val="en-US" w:eastAsia="zh-CN"/>
        </w:rPr>
        <w:t>,</w:t>
      </w:r>
      <w:r>
        <w:rPr>
          <w:rFonts w:eastAsia="宋体"/>
          <w:lang w:val="en-US" w:eastAsia="zh-CN"/>
        </w:rPr>
        <w:t xml:space="preserve"> </w:t>
      </w:r>
      <w:r>
        <w:rPr>
          <w:rFonts w:eastAsia="宋体" w:hint="eastAsia"/>
          <w:lang w:val="en-US" w:eastAsia="zh-CN"/>
        </w:rPr>
        <w:t xml:space="preserve">a </w:t>
      </w:r>
      <w:r>
        <w:rPr>
          <w:rFonts w:eastAsia="宋体"/>
          <w:lang w:val="en-US" w:eastAsia="zh-CN"/>
        </w:rPr>
        <w:t xml:space="preserve">device </w:t>
      </w:r>
      <w:r>
        <w:rPr>
          <w:rFonts w:eastAsia="宋体" w:hint="eastAsia"/>
          <w:lang w:val="en-US" w:eastAsia="zh-CN"/>
        </w:rPr>
        <w:t xml:space="preserve">can </w:t>
      </w:r>
      <w:r>
        <w:rPr>
          <w:rFonts w:eastAsia="宋体"/>
          <w:lang w:val="en-US" w:eastAsia="zh-CN"/>
        </w:rPr>
        <w:t>determine a frequency resource for D2R transmission based on reference D2R carrier frequency and D2R channel index.</w:t>
      </w:r>
    </w:p>
    <w:p w14:paraId="7ED2D097" w14:textId="42F9D5FB" w:rsidR="0096789F" w:rsidRDefault="00805EB2">
      <w:pPr>
        <w:pStyle w:val="2"/>
        <w:spacing w:after="180"/>
        <w:rPr>
          <w:lang w:val="en-US" w:eastAsia="zh-CN"/>
        </w:rPr>
      </w:pPr>
      <w:r>
        <w:rPr>
          <w:rFonts w:hint="eastAsia"/>
          <w:lang w:val="en-US" w:eastAsia="zh-CN"/>
        </w:rPr>
        <w:t>D2R scrambling</w:t>
      </w:r>
    </w:p>
    <w:p w14:paraId="78992896" w14:textId="77777777" w:rsidR="0096789F" w:rsidRDefault="00805EB2">
      <w:pPr>
        <w:snapToGrid/>
        <w:spacing w:beforeLines="50" w:before="180" w:beforeAutospacing="1" w:afterLines="50" w:after="180"/>
        <w:rPr>
          <w:rFonts w:eastAsia="宋体"/>
          <w:lang w:val="en-US" w:eastAsia="zh-CN"/>
        </w:rPr>
      </w:pPr>
      <w:r>
        <w:rPr>
          <w:rFonts w:eastAsia="宋体" w:hint="eastAsia"/>
          <w:lang w:val="en-US" w:eastAsia="zh-CN"/>
        </w:rPr>
        <w:t>The following was agreed in RAN1#122-bis,</w:t>
      </w:r>
    </w:p>
    <w:tbl>
      <w:tblPr>
        <w:tblStyle w:val="aa"/>
        <w:tblW w:w="0" w:type="auto"/>
        <w:tblLook w:val="04A0" w:firstRow="1" w:lastRow="0" w:firstColumn="1" w:lastColumn="0" w:noHBand="0" w:noVBand="1"/>
      </w:tblPr>
      <w:tblGrid>
        <w:gridCol w:w="9954"/>
      </w:tblGrid>
      <w:tr w:rsidR="0096789F" w14:paraId="45D1DA67" w14:textId="77777777">
        <w:tc>
          <w:tcPr>
            <w:tcW w:w="10180" w:type="dxa"/>
          </w:tcPr>
          <w:p w14:paraId="26B70CE3" w14:textId="77777777" w:rsidR="0096789F" w:rsidRDefault="00805EB2">
            <w:pPr>
              <w:snapToGrid/>
              <w:spacing w:after="0" w:afterAutospacing="0"/>
              <w:jc w:val="left"/>
              <w:rPr>
                <w:rFonts w:eastAsia="Batang"/>
                <w:b/>
                <w:bCs/>
                <w:sz w:val="20"/>
                <w:szCs w:val="24"/>
                <w:lang w:val="en-US" w:eastAsia="en-US"/>
              </w:rPr>
            </w:pPr>
            <w:r>
              <w:rPr>
                <w:rFonts w:eastAsia="Batang"/>
                <w:b/>
                <w:bCs/>
                <w:sz w:val="20"/>
                <w:szCs w:val="24"/>
                <w:highlight w:val="green"/>
                <w:lang w:eastAsia="en-US"/>
              </w:rPr>
              <w:t>Agreement</w:t>
            </w:r>
          </w:p>
          <w:p w14:paraId="577626D2" w14:textId="77777777" w:rsidR="0096789F" w:rsidRPr="00B62723" w:rsidRDefault="00805EB2">
            <w:pPr>
              <w:snapToGrid/>
              <w:spacing w:after="0" w:afterAutospacing="0"/>
              <w:jc w:val="left"/>
              <w:rPr>
                <w:rFonts w:eastAsia="Batang"/>
                <w:sz w:val="20"/>
                <w:lang w:eastAsia="en-US"/>
              </w:rPr>
            </w:pPr>
            <w:r w:rsidRPr="00B62723">
              <w:rPr>
                <w:rFonts w:eastAsia="Batang"/>
                <w:sz w:val="20"/>
                <w:lang w:eastAsia="en-US"/>
              </w:rPr>
              <w:t>For PDRCH, further study the necessity of scrambling with following details:</w:t>
            </w:r>
          </w:p>
          <w:p w14:paraId="6ABC35A1" w14:textId="77777777" w:rsidR="0096789F" w:rsidRPr="00B62723" w:rsidRDefault="00805EB2">
            <w:pPr>
              <w:numPr>
                <w:ilvl w:val="0"/>
                <w:numId w:val="7"/>
              </w:numPr>
              <w:overflowPunct w:val="0"/>
              <w:autoSpaceDE w:val="0"/>
              <w:autoSpaceDN w:val="0"/>
              <w:adjustRightInd w:val="0"/>
              <w:contextualSpacing/>
              <w:textAlignment w:val="baseline"/>
              <w:rPr>
                <w:rFonts w:ascii="Times" w:eastAsia="Batang" w:hAnsi="Times"/>
                <w:sz w:val="20"/>
                <w:lang w:eastAsia="ko-KR"/>
              </w:rPr>
            </w:pPr>
            <w:r w:rsidRPr="00B62723">
              <w:rPr>
                <w:rFonts w:ascii="Times" w:eastAsia="Batang" w:hAnsi="Times"/>
                <w:sz w:val="20"/>
                <w:lang w:eastAsia="ko-KR"/>
              </w:rPr>
              <w:t>Scrambling applied after block-level repetition (if applied) and channel coding (if applied, including interleaving if supported)</w:t>
            </w:r>
          </w:p>
          <w:p w14:paraId="51625E8B" w14:textId="77777777" w:rsidR="0096789F" w:rsidRPr="00B62723" w:rsidRDefault="00805EB2" w:rsidP="00B62723">
            <w:pPr>
              <w:numPr>
                <w:ilvl w:val="0"/>
                <w:numId w:val="7"/>
              </w:numPr>
              <w:overflowPunct w:val="0"/>
              <w:autoSpaceDE w:val="0"/>
              <w:autoSpaceDN w:val="0"/>
              <w:adjustRightInd w:val="0"/>
              <w:contextualSpacing/>
              <w:textAlignment w:val="baseline"/>
              <w:rPr>
                <w:rFonts w:ascii="Times" w:eastAsia="Batang" w:hAnsi="Times"/>
                <w:szCs w:val="24"/>
                <w:lang w:eastAsia="ko-KR"/>
              </w:rPr>
            </w:pPr>
            <w:r w:rsidRPr="00B62723">
              <w:rPr>
                <w:rFonts w:ascii="Times" w:eastAsia="Batang" w:hAnsi="Times"/>
                <w:sz w:val="20"/>
                <w:lang w:eastAsia="ko-KR"/>
              </w:rPr>
              <w:t>Scrambling sequence type and generation method</w:t>
            </w:r>
          </w:p>
        </w:tc>
      </w:tr>
    </w:tbl>
    <w:p w14:paraId="1EB48E71" w14:textId="77777777" w:rsidR="0096789F" w:rsidRDefault="00805EB2">
      <w:pPr>
        <w:snapToGrid/>
        <w:spacing w:beforeLines="50" w:before="180" w:beforeAutospacing="1" w:afterLines="50" w:after="180"/>
        <w:rPr>
          <w:rFonts w:eastAsia="宋体"/>
          <w:lang w:val="en-US" w:eastAsia="zh-CN"/>
        </w:rPr>
      </w:pPr>
      <w:r>
        <w:rPr>
          <w:rFonts w:eastAsia="宋体" w:hint="eastAsia"/>
          <w:lang w:val="en-US" w:eastAsia="zh-CN"/>
        </w:rPr>
        <w:t xml:space="preserve">One of the benefits of D2R scrambling is to randomize interference to device(s) served by </w:t>
      </w:r>
      <w:proofErr w:type="gramStart"/>
      <w:r>
        <w:rPr>
          <w:rFonts w:eastAsia="宋体" w:hint="eastAsia"/>
          <w:lang w:val="en-US" w:eastAsia="zh-CN"/>
        </w:rPr>
        <w:t>other</w:t>
      </w:r>
      <w:proofErr w:type="gramEnd"/>
      <w:r>
        <w:rPr>
          <w:rFonts w:eastAsia="宋体" w:hint="eastAsia"/>
          <w:lang w:val="en-US" w:eastAsia="zh-CN"/>
        </w:rPr>
        <w:t xml:space="preserve"> Reader(s). A scrambling sequence can be initialized by e.g. an ID of a higher layer </w:t>
      </w:r>
      <w:r>
        <w:rPr>
          <w:rFonts w:eastAsia="宋体"/>
          <w:lang w:val="en-US" w:eastAsia="zh-CN"/>
        </w:rPr>
        <w:t>“</w:t>
      </w:r>
      <w:r>
        <w:rPr>
          <w:rFonts w:eastAsia="宋体" w:hint="eastAsia"/>
          <w:lang w:val="en-US" w:eastAsia="zh-CN"/>
        </w:rPr>
        <w:t>session</w:t>
      </w:r>
      <w:r>
        <w:rPr>
          <w:rFonts w:eastAsia="宋体"/>
          <w:lang w:val="en-US" w:eastAsia="zh-CN"/>
        </w:rPr>
        <w:t>”</w:t>
      </w:r>
      <w:r>
        <w:rPr>
          <w:rFonts w:eastAsia="宋体" w:hint="eastAsia"/>
          <w:lang w:val="en-US" w:eastAsia="zh-CN"/>
        </w:rPr>
        <w:t xml:space="preserve"> such that it can be fully controlled by the Reader and can be changed sufficiently dynamically.</w:t>
      </w:r>
    </w:p>
    <w:p w14:paraId="0FC9438B" w14:textId="77777777" w:rsidR="0096789F" w:rsidRDefault="00805EB2">
      <w:pPr>
        <w:widowControl w:val="0"/>
        <w:numPr>
          <w:ilvl w:val="0"/>
          <w:numId w:val="8"/>
        </w:numPr>
        <w:tabs>
          <w:tab w:val="left" w:pos="1418"/>
        </w:tabs>
        <w:snapToGrid/>
        <w:spacing w:before="240" w:after="0" w:afterAutospacing="0"/>
        <w:ind w:left="1440" w:hanging="1440"/>
        <w:rPr>
          <w:rFonts w:eastAsia="宋体"/>
          <w:lang w:val="en-US" w:eastAsia="zh-CN"/>
        </w:rPr>
      </w:pPr>
      <w:r>
        <w:rPr>
          <w:rFonts w:eastAsia="宋体" w:hint="eastAsia"/>
          <w:lang w:val="en-US" w:eastAsia="zh-CN"/>
        </w:rPr>
        <w:t>For scrambling of PDRCH, the scrambling sequence initialization is controlled by the Reader, e.g. on a per-higher-layer-session basis.</w:t>
      </w:r>
    </w:p>
    <w:p w14:paraId="3B10089E" w14:textId="77777777" w:rsidR="00D77085" w:rsidRDefault="00D77085" w:rsidP="00D77085">
      <w:pPr>
        <w:pStyle w:val="2"/>
        <w:spacing w:after="180"/>
        <w:rPr>
          <w:rFonts w:eastAsiaTheme="minorEastAsia"/>
          <w:lang w:val="en-US" w:eastAsia="zh-CN"/>
        </w:rPr>
      </w:pPr>
      <w:r w:rsidRPr="009963A7">
        <w:rPr>
          <w:rFonts w:eastAsiaTheme="minorEastAsia"/>
          <w:lang w:val="en-US" w:eastAsia="zh-CN"/>
        </w:rPr>
        <w:t>D2R CDM(A)</w:t>
      </w:r>
      <w:r>
        <w:rPr>
          <w:rFonts w:eastAsiaTheme="minorEastAsia" w:hint="eastAsia"/>
          <w:lang w:val="en-US" w:eastAsia="zh-CN"/>
        </w:rPr>
        <w:t xml:space="preserve"> for Msg1</w:t>
      </w:r>
    </w:p>
    <w:p w14:paraId="71275B61" w14:textId="77777777" w:rsidR="00D77085" w:rsidRPr="009963A7" w:rsidRDefault="00D77085" w:rsidP="00D77085">
      <w:pPr>
        <w:rPr>
          <w:rFonts w:eastAsiaTheme="minorEastAsia"/>
          <w:lang w:val="en-US" w:eastAsia="zh-CN"/>
        </w:rPr>
      </w:pPr>
      <w:r>
        <w:rPr>
          <w:rFonts w:eastAsiaTheme="minorEastAsia"/>
          <w:lang w:val="en-US" w:eastAsia="zh-CN"/>
        </w:rPr>
        <w:t>I</w:t>
      </w:r>
      <w:r>
        <w:rPr>
          <w:rFonts w:eastAsiaTheme="minorEastAsia" w:hint="eastAsia"/>
          <w:lang w:val="en-US" w:eastAsia="zh-CN"/>
        </w:rPr>
        <w:t>t is agreed to study CDM(A) Msg1 transmission.</w:t>
      </w:r>
    </w:p>
    <w:tbl>
      <w:tblPr>
        <w:tblStyle w:val="aa"/>
        <w:tblW w:w="0" w:type="auto"/>
        <w:tblLook w:val="04A0" w:firstRow="1" w:lastRow="0" w:firstColumn="1" w:lastColumn="0" w:noHBand="0" w:noVBand="1"/>
      </w:tblPr>
      <w:tblGrid>
        <w:gridCol w:w="9954"/>
      </w:tblGrid>
      <w:tr w:rsidR="00D77085" w14:paraId="3E75CA8C" w14:textId="77777777" w:rsidTr="009A115C">
        <w:tc>
          <w:tcPr>
            <w:tcW w:w="9954" w:type="dxa"/>
          </w:tcPr>
          <w:p w14:paraId="0DE98B1B" w14:textId="77777777" w:rsidR="00D77085" w:rsidRPr="009963A7" w:rsidRDefault="00D77085" w:rsidP="009A115C">
            <w:pPr>
              <w:snapToGrid/>
              <w:spacing w:after="0" w:afterAutospacing="0"/>
              <w:jc w:val="left"/>
              <w:rPr>
                <w:rFonts w:ascii="Times" w:eastAsia="Batang" w:hAnsi="Times"/>
                <w:b/>
                <w:bCs/>
                <w:sz w:val="20"/>
                <w:lang w:val="en-US" w:eastAsia="en-US"/>
              </w:rPr>
            </w:pPr>
            <w:r w:rsidRPr="009963A7">
              <w:rPr>
                <w:rFonts w:ascii="Times" w:eastAsia="Batang" w:hAnsi="Times"/>
                <w:b/>
                <w:bCs/>
                <w:sz w:val="20"/>
                <w:highlight w:val="green"/>
                <w:lang w:val="en-US" w:eastAsia="en-US"/>
              </w:rPr>
              <w:t>Agreement</w:t>
            </w:r>
          </w:p>
          <w:p w14:paraId="538A4FD1" w14:textId="77777777" w:rsidR="00D77085" w:rsidRPr="009963A7" w:rsidRDefault="00D77085" w:rsidP="009A115C">
            <w:pPr>
              <w:snapToGrid/>
              <w:spacing w:after="0" w:afterAutospacing="0"/>
              <w:jc w:val="left"/>
              <w:rPr>
                <w:rFonts w:ascii="Times" w:eastAsia="Batang" w:hAnsi="Times"/>
                <w:sz w:val="20"/>
                <w:szCs w:val="24"/>
                <w:lang w:val="en-US" w:eastAsia="ko-KR"/>
              </w:rPr>
            </w:pPr>
            <w:r w:rsidRPr="009963A7">
              <w:rPr>
                <w:rFonts w:ascii="Times" w:eastAsia="Batang" w:hAnsi="Times"/>
                <w:sz w:val="20"/>
                <w:szCs w:val="24"/>
                <w:lang w:val="en-US" w:eastAsia="en-US"/>
              </w:rPr>
              <w:t>Study necessity and feasibility of D2R CDM(A) for Device 2b and for Device C with sequence-based Msg1 transmission and potential impact to random access procedures</w:t>
            </w:r>
            <w:r w:rsidRPr="009963A7">
              <w:rPr>
                <w:rFonts w:ascii="Times" w:eastAsia="Batang" w:hAnsi="Times"/>
                <w:sz w:val="20"/>
                <w:szCs w:val="24"/>
                <w:lang w:val="en-US" w:eastAsia="ko-KR"/>
              </w:rPr>
              <w:t>.</w:t>
            </w:r>
          </w:p>
          <w:p w14:paraId="7C24E9ED" w14:textId="77777777" w:rsidR="00D77085" w:rsidRPr="009963A7" w:rsidRDefault="00D77085" w:rsidP="009A115C">
            <w:pPr>
              <w:widowControl w:val="0"/>
              <w:numPr>
                <w:ilvl w:val="0"/>
                <w:numId w:val="7"/>
              </w:numPr>
              <w:snapToGrid/>
              <w:spacing w:after="0" w:afterAutospacing="0"/>
              <w:jc w:val="left"/>
              <w:rPr>
                <w:rFonts w:ascii="Times" w:eastAsia="Batang" w:hAnsi="Times"/>
                <w:sz w:val="20"/>
                <w:lang w:val="en-US" w:eastAsia="ko-KR"/>
              </w:rPr>
            </w:pPr>
            <w:r w:rsidRPr="009963A7">
              <w:rPr>
                <w:rFonts w:ascii="Times" w:eastAsia="Batang" w:hAnsi="Times" w:hint="eastAsia"/>
                <w:sz w:val="20"/>
                <w:lang w:val="en-US" w:eastAsia="ko-KR"/>
              </w:rPr>
              <w:t>F</w:t>
            </w:r>
            <w:r w:rsidRPr="009963A7">
              <w:rPr>
                <w:rFonts w:ascii="Times" w:eastAsia="Batang" w:hAnsi="Times"/>
                <w:sz w:val="20"/>
                <w:lang w:val="en-US" w:eastAsia="ko-KR"/>
              </w:rPr>
              <w:t>FS: other cases, except for data transmission</w:t>
            </w:r>
          </w:p>
          <w:p w14:paraId="2F2F239B" w14:textId="77777777" w:rsidR="00D77085" w:rsidRDefault="00D77085" w:rsidP="009A115C">
            <w:pPr>
              <w:rPr>
                <w:rFonts w:eastAsiaTheme="minorEastAsia"/>
                <w:lang w:val="en-US" w:eastAsia="zh-CN"/>
              </w:rPr>
            </w:pPr>
          </w:p>
        </w:tc>
      </w:tr>
    </w:tbl>
    <w:p w14:paraId="47E84383" w14:textId="77777777" w:rsidR="00D77085" w:rsidRPr="009A115C" w:rsidRDefault="00D77085" w:rsidP="009633B5">
      <w:pPr>
        <w:widowControl w:val="0"/>
        <w:tabs>
          <w:tab w:val="left" w:pos="-420"/>
          <w:tab w:val="left" w:pos="0"/>
          <w:tab w:val="left" w:pos="420"/>
        </w:tabs>
        <w:snapToGrid/>
        <w:spacing w:beforeLines="50" w:before="180" w:afterLines="50" w:after="180" w:afterAutospacing="0"/>
        <w:rPr>
          <w:rFonts w:eastAsia="宋体"/>
          <w:lang w:val="en-US" w:eastAsia="zh-CN"/>
        </w:rPr>
      </w:pPr>
      <w:r w:rsidRPr="009A115C">
        <w:rPr>
          <w:rFonts w:eastAsia="宋体"/>
          <w:lang w:val="en-US" w:eastAsia="zh-CN"/>
        </w:rPr>
        <w:t>CDM(A) with sequence-based transmission requires tight time and frequency synchronization. Considering that the residual carrier frequency offset (CFO) can reach up to 100</w:t>
      </w:r>
      <w:r>
        <w:rPr>
          <w:rFonts w:eastAsia="宋体" w:hint="eastAsia"/>
          <w:lang w:val="en-US" w:eastAsia="zh-CN"/>
        </w:rPr>
        <w:t>0</w:t>
      </w:r>
      <w:r w:rsidRPr="009A115C">
        <w:rPr>
          <w:rFonts w:eastAsia="宋体"/>
          <w:lang w:val="en-US" w:eastAsia="zh-CN"/>
        </w:rPr>
        <w:t xml:space="preserve"> ppm for device type 2b under the evaluation assumptions, it is difficult to maintain the required synchronization accuracy to preserve orthogonality among </w:t>
      </w:r>
      <w:proofErr w:type="spellStart"/>
      <w:r w:rsidRPr="009A115C">
        <w:rPr>
          <w:rFonts w:eastAsia="宋体"/>
          <w:lang w:val="en-US" w:eastAsia="zh-CN"/>
        </w:rPr>
        <w:t>CDMed</w:t>
      </w:r>
      <w:proofErr w:type="spellEnd"/>
      <w:r w:rsidRPr="009A115C">
        <w:rPr>
          <w:rFonts w:eastAsia="宋体"/>
          <w:lang w:val="en-US" w:eastAsia="zh-CN"/>
        </w:rPr>
        <w:t xml:space="preserve"> signals. In addition, 1SB-based FDM can support a larger number of channels compared to only eight channels in Rel-19, and a larger X for TDM can also be supported to provide more available D2R channels for Msg1 transmission. Therefore, it is suggested that the study of D2R CDM(A) for Msg1 transmission can be deprioritized.</w:t>
      </w:r>
    </w:p>
    <w:p w14:paraId="331F61B9" w14:textId="77777777" w:rsidR="00D77085" w:rsidRDefault="00D77085" w:rsidP="00D77085">
      <w:pPr>
        <w:widowControl w:val="0"/>
        <w:numPr>
          <w:ilvl w:val="0"/>
          <w:numId w:val="8"/>
        </w:numPr>
        <w:tabs>
          <w:tab w:val="left" w:pos="1418"/>
        </w:tabs>
        <w:snapToGrid/>
        <w:spacing w:before="240" w:after="0" w:afterAutospacing="0"/>
        <w:ind w:left="1440" w:hanging="1440"/>
        <w:rPr>
          <w:rFonts w:eastAsia="宋体"/>
          <w:lang w:val="en-US" w:eastAsia="zh-CN"/>
        </w:rPr>
      </w:pPr>
      <w:r w:rsidRPr="009A115C">
        <w:rPr>
          <w:rFonts w:eastAsia="宋体"/>
          <w:lang w:val="en-US" w:eastAsia="zh-CN"/>
        </w:rPr>
        <w:lastRenderedPageBreak/>
        <w:t>Deprioritize the study of D2R CDM(A) for Msg1 transmission.</w:t>
      </w:r>
    </w:p>
    <w:p w14:paraId="3730F1B4" w14:textId="77777777" w:rsidR="0096789F" w:rsidRDefault="00805EB2">
      <w:pPr>
        <w:pStyle w:val="1"/>
        <w:spacing w:after="180"/>
        <w:rPr>
          <w:lang w:val="en-US"/>
        </w:rPr>
      </w:pPr>
      <w:r>
        <w:rPr>
          <w:lang w:val="en-US"/>
        </w:rPr>
        <w:t>Conclusion</w:t>
      </w:r>
    </w:p>
    <w:p w14:paraId="6BB567CC" w14:textId="77777777" w:rsidR="0096789F" w:rsidRDefault="00805EB2">
      <w:pPr>
        <w:spacing w:beforeLines="50" w:before="180" w:beforeAutospacing="1" w:afterLines="50" w:after="180" w:afterAutospacing="0"/>
        <w:rPr>
          <w:rFonts w:eastAsia="宋体"/>
          <w:lang w:val="en-US" w:eastAsia="zh-CN"/>
        </w:rPr>
      </w:pPr>
      <w:r>
        <w:rPr>
          <w:lang w:val="en-US"/>
        </w:rPr>
        <w:t xml:space="preserve">In this contribution, </w:t>
      </w:r>
      <w:r>
        <w:rPr>
          <w:rFonts w:eastAsia="宋体" w:hint="eastAsia"/>
          <w:lang w:val="en-US" w:eastAsia="zh-CN"/>
        </w:rPr>
        <w:t xml:space="preserve">we </w:t>
      </w:r>
      <w:r>
        <w:rPr>
          <w:rFonts w:eastAsia="宋体"/>
          <w:lang w:val="en-US" w:eastAsia="zh-CN"/>
        </w:rPr>
        <w:t xml:space="preserve">share our views on </w:t>
      </w:r>
      <w:r>
        <w:rPr>
          <w:rFonts w:eastAsia="宋体" w:hint="eastAsia"/>
          <w:lang w:val="en-US" w:eastAsia="zh-CN"/>
        </w:rPr>
        <w:t>a few aspects of the D2R signals, channels, waveform and procedures for Device 2b and Device C in Rel-20 A-IoT</w:t>
      </w:r>
      <w:r>
        <w:rPr>
          <w:rFonts w:eastAsia="宋体"/>
          <w:lang w:val="en-US" w:eastAsia="zh-CN"/>
        </w:rPr>
        <w:t xml:space="preserve">, and make </w:t>
      </w:r>
      <w:r>
        <w:rPr>
          <w:lang w:val="en-US"/>
        </w:rPr>
        <w:t>the following proposals</w:t>
      </w:r>
      <w:r>
        <w:rPr>
          <w:rFonts w:eastAsia="宋体" w:hint="eastAsia"/>
          <w:lang w:val="en-US" w:eastAsia="zh-CN"/>
        </w:rPr>
        <w:t>:</w:t>
      </w:r>
    </w:p>
    <w:p w14:paraId="40155B1E" w14:textId="77777777" w:rsidR="00D77085" w:rsidRDefault="00D77085" w:rsidP="009633B5">
      <w:pPr>
        <w:widowControl w:val="0"/>
        <w:numPr>
          <w:ilvl w:val="0"/>
          <w:numId w:val="10"/>
        </w:numPr>
        <w:tabs>
          <w:tab w:val="left" w:pos="1418"/>
        </w:tabs>
        <w:snapToGrid/>
        <w:spacing w:before="240" w:after="0" w:afterAutospacing="0"/>
        <w:rPr>
          <w:rFonts w:eastAsia="宋体"/>
          <w:lang w:val="en-US" w:eastAsia="zh-CN"/>
        </w:rPr>
      </w:pPr>
      <w:r>
        <w:rPr>
          <w:rFonts w:eastAsia="宋体" w:hint="eastAsia"/>
          <w:lang w:val="en-US" w:eastAsia="zh-CN"/>
        </w:rPr>
        <w:t>Regarding the single-carrier waveform for D2R,</w:t>
      </w:r>
    </w:p>
    <w:p w14:paraId="0E557767" w14:textId="77777777" w:rsidR="00D77085" w:rsidRDefault="00D77085" w:rsidP="00D77085">
      <w:pPr>
        <w:widowControl w:val="0"/>
        <w:numPr>
          <w:ilvl w:val="3"/>
          <w:numId w:val="9"/>
        </w:numPr>
        <w:snapToGrid/>
        <w:ind w:left="2098"/>
        <w:rPr>
          <w:rFonts w:eastAsia="宋体"/>
          <w:lang w:val="en-US" w:eastAsia="zh-CN"/>
        </w:rPr>
      </w:pPr>
      <w:r>
        <w:rPr>
          <w:rFonts w:eastAsia="宋体" w:hint="eastAsia"/>
          <w:lang w:val="en-US" w:eastAsia="zh-CN"/>
        </w:rPr>
        <w:t xml:space="preserve">Both 2SB and 1SB </w:t>
      </w:r>
      <w:r>
        <w:rPr>
          <w:rFonts w:eastAsia="宋体"/>
          <w:lang w:val="en-US" w:eastAsia="zh-CN"/>
        </w:rPr>
        <w:t>are</w:t>
      </w:r>
      <w:r>
        <w:rPr>
          <w:rFonts w:eastAsia="宋体" w:hint="eastAsia"/>
          <w:lang w:val="en-US" w:eastAsia="zh-CN"/>
        </w:rPr>
        <w:t xml:space="preserve"> considered for Device 2b and Device C.</w:t>
      </w:r>
    </w:p>
    <w:p w14:paraId="7D7E3DDF" w14:textId="77777777" w:rsidR="00D77085" w:rsidRPr="00742A12" w:rsidRDefault="00D77085" w:rsidP="009633B5">
      <w:pPr>
        <w:widowControl w:val="0"/>
        <w:numPr>
          <w:ilvl w:val="0"/>
          <w:numId w:val="10"/>
        </w:numPr>
        <w:tabs>
          <w:tab w:val="left" w:pos="1418"/>
        </w:tabs>
        <w:snapToGrid/>
        <w:spacing w:before="240" w:after="0" w:afterAutospacing="0"/>
        <w:ind w:left="1440" w:hanging="1440"/>
        <w:rPr>
          <w:rFonts w:eastAsia="宋体"/>
          <w:lang w:val="en-US" w:eastAsia="zh-CN"/>
        </w:rPr>
      </w:pPr>
      <w:r>
        <w:rPr>
          <w:rFonts w:eastAsia="宋体" w:hint="eastAsia"/>
          <w:lang w:val="en-US" w:eastAsia="zh-CN"/>
        </w:rPr>
        <w:t xml:space="preserve">For Device 2b and Device C, for a </w:t>
      </w:r>
      <w:r>
        <w:rPr>
          <w:rFonts w:eastAsia="宋体"/>
          <w:lang w:val="en-US" w:eastAsia="zh-CN"/>
        </w:rPr>
        <w:t>D2R channel for 1SB waveform</w:t>
      </w:r>
      <w:r>
        <w:rPr>
          <w:rFonts w:eastAsia="宋体" w:hint="eastAsia"/>
          <w:lang w:val="en-US" w:eastAsia="zh-CN"/>
        </w:rPr>
        <w:t>,</w:t>
      </w:r>
      <w:r>
        <w:rPr>
          <w:rFonts w:eastAsia="宋体"/>
          <w:lang w:val="en-US" w:eastAsia="zh-CN"/>
        </w:rPr>
        <w:t xml:space="preserve"> </w:t>
      </w:r>
      <w:r>
        <w:rPr>
          <w:rFonts w:eastAsia="宋体" w:hint="eastAsia"/>
          <w:lang w:val="en-US" w:eastAsia="zh-CN"/>
        </w:rPr>
        <w:t xml:space="preserve">a </w:t>
      </w:r>
      <w:r>
        <w:rPr>
          <w:rFonts w:eastAsia="宋体"/>
          <w:lang w:val="en-US" w:eastAsia="zh-CN"/>
        </w:rPr>
        <w:t xml:space="preserve">device </w:t>
      </w:r>
      <w:r>
        <w:rPr>
          <w:rFonts w:eastAsia="宋体" w:hint="eastAsia"/>
          <w:lang w:val="en-US" w:eastAsia="zh-CN"/>
        </w:rPr>
        <w:t xml:space="preserve">can </w:t>
      </w:r>
      <w:r>
        <w:rPr>
          <w:rFonts w:eastAsia="宋体"/>
          <w:lang w:val="en-US" w:eastAsia="zh-CN"/>
        </w:rPr>
        <w:t>determine a frequency resource for D2R transmission based on reference D2R carrier frequency and D2R channel index.</w:t>
      </w:r>
    </w:p>
    <w:p w14:paraId="4A524C1B" w14:textId="77777777" w:rsidR="00D77085" w:rsidRDefault="00D77085" w:rsidP="009633B5">
      <w:pPr>
        <w:widowControl w:val="0"/>
        <w:numPr>
          <w:ilvl w:val="0"/>
          <w:numId w:val="10"/>
        </w:numPr>
        <w:tabs>
          <w:tab w:val="left" w:pos="1418"/>
        </w:tabs>
        <w:snapToGrid/>
        <w:spacing w:before="240" w:after="0" w:afterAutospacing="0"/>
        <w:ind w:left="1440" w:hanging="1440"/>
        <w:rPr>
          <w:rFonts w:eastAsia="宋体"/>
          <w:lang w:val="en-US" w:eastAsia="zh-CN"/>
        </w:rPr>
      </w:pPr>
      <w:r>
        <w:rPr>
          <w:rFonts w:eastAsia="宋体" w:hint="eastAsia"/>
          <w:lang w:val="en-US" w:eastAsia="zh-CN"/>
        </w:rPr>
        <w:t>For scrambling of PDRCH, the scrambling sequence initialization is controlled by the Reader, e.g. on a per-higher-layer-session basis.</w:t>
      </w:r>
    </w:p>
    <w:p w14:paraId="07648518" w14:textId="77777777" w:rsidR="00D77085" w:rsidRDefault="00D77085" w:rsidP="009633B5">
      <w:pPr>
        <w:widowControl w:val="0"/>
        <w:numPr>
          <w:ilvl w:val="0"/>
          <w:numId w:val="10"/>
        </w:numPr>
        <w:tabs>
          <w:tab w:val="left" w:pos="1418"/>
        </w:tabs>
        <w:snapToGrid/>
        <w:spacing w:before="240" w:after="0" w:afterAutospacing="0"/>
        <w:ind w:left="1440" w:hanging="1440"/>
        <w:rPr>
          <w:rFonts w:eastAsia="宋体"/>
          <w:lang w:val="en-US" w:eastAsia="zh-CN"/>
        </w:rPr>
      </w:pPr>
      <w:r w:rsidRPr="009A115C">
        <w:rPr>
          <w:rFonts w:eastAsia="宋体"/>
          <w:lang w:val="en-US" w:eastAsia="zh-CN"/>
        </w:rPr>
        <w:t>Deprioritize the study of D2R CDM(A) for Msg1 transmission.</w:t>
      </w:r>
    </w:p>
    <w:p w14:paraId="60ACB887" w14:textId="2C58D5F4" w:rsidR="00D77085" w:rsidRDefault="00D77085">
      <w:pPr>
        <w:spacing w:beforeLines="50" w:before="180" w:beforeAutospacing="1" w:afterLines="50" w:after="180" w:afterAutospacing="0"/>
        <w:rPr>
          <w:rFonts w:eastAsia="宋体"/>
          <w:lang w:val="en-US" w:eastAsia="zh-CN"/>
        </w:rPr>
      </w:pPr>
    </w:p>
    <w:p w14:paraId="4415713B" w14:textId="77777777" w:rsidR="0096789F" w:rsidRDefault="00805EB2">
      <w:pPr>
        <w:pStyle w:val="1"/>
        <w:spacing w:after="180"/>
        <w:rPr>
          <w:lang w:val="en-US"/>
        </w:rPr>
      </w:pPr>
      <w:r>
        <w:rPr>
          <w:lang w:val="en-US"/>
        </w:rPr>
        <w:t>References</w:t>
      </w:r>
    </w:p>
    <w:p w14:paraId="05A5B91B" w14:textId="77777777" w:rsidR="0096789F" w:rsidRDefault="00805EB2">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4" w:name="_Ref124764504"/>
      <w:r>
        <w:rPr>
          <w:rFonts w:eastAsia="MS Mincho" w:hint="eastAsia"/>
          <w:lang w:val="en-US" w:eastAsia="en-GB"/>
        </w:rPr>
        <w:t>RP-252964</w:t>
      </w:r>
      <w:r>
        <w:rPr>
          <w:rFonts w:eastAsia="MS Mincho"/>
          <w:lang w:val="en-US" w:eastAsia="en-GB"/>
        </w:rPr>
        <w:t>, “</w:t>
      </w:r>
      <w:r>
        <w:rPr>
          <w:rFonts w:eastAsia="MS Mincho" w:hint="eastAsia"/>
          <w:lang w:val="en-US" w:eastAsia="en-GB"/>
        </w:rPr>
        <w:t>Revised SID: Study on enhancements for solutions for Ambient IoT (Internet of Things) in NR outdoor for active devices</w:t>
      </w:r>
      <w:r>
        <w:rPr>
          <w:rFonts w:eastAsia="MS Mincho"/>
          <w:lang w:val="en-US" w:eastAsia="en-GB"/>
        </w:rPr>
        <w:t xml:space="preserve">”, </w:t>
      </w:r>
      <w:r>
        <w:rPr>
          <w:rFonts w:eastAsia="MS Mincho" w:hint="eastAsia"/>
          <w:lang w:val="en-US" w:eastAsia="en-GB"/>
        </w:rPr>
        <w:t>LG Electronics</w:t>
      </w:r>
      <w:r>
        <w:rPr>
          <w:rFonts w:eastAsia="MS Mincho"/>
          <w:lang w:val="en-US" w:eastAsia="en-GB"/>
        </w:rPr>
        <w:t>, RAN#10</w:t>
      </w:r>
      <w:r>
        <w:rPr>
          <w:rFonts w:eastAsia="宋体" w:hint="eastAsia"/>
          <w:lang w:val="en-US" w:eastAsia="zh-CN"/>
        </w:rPr>
        <w:t>9</w:t>
      </w:r>
      <w:r>
        <w:rPr>
          <w:rFonts w:eastAsia="MS Mincho"/>
          <w:lang w:val="en-US" w:eastAsia="en-GB"/>
        </w:rPr>
        <w:t>.</w:t>
      </w:r>
      <w:bookmarkEnd w:id="4"/>
    </w:p>
    <w:p w14:paraId="41BAFE06" w14:textId="77777777" w:rsidR="0096789F" w:rsidRDefault="00805EB2">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5" w:name="_Ref23969"/>
      <w:r>
        <w:rPr>
          <w:rFonts w:eastAsia="宋体" w:hint="eastAsia"/>
          <w:lang w:val="en-US" w:eastAsia="zh-CN"/>
        </w:rPr>
        <w:t xml:space="preserve">TR 38.769, </w:t>
      </w:r>
      <w:r>
        <w:rPr>
          <w:rFonts w:eastAsia="宋体"/>
          <w:lang w:val="en-US" w:eastAsia="zh-CN"/>
        </w:rPr>
        <w:t>“Study on solutions for Ambient IoT (Internet of Things) in NR”</w:t>
      </w:r>
      <w:r>
        <w:rPr>
          <w:rFonts w:eastAsia="宋体" w:hint="eastAsia"/>
          <w:lang w:val="en-US" w:eastAsia="zh-CN"/>
        </w:rPr>
        <w:t>.</w:t>
      </w:r>
      <w:bookmarkEnd w:id="5"/>
    </w:p>
    <w:p w14:paraId="3DB01561" w14:textId="77777777" w:rsidR="0096789F" w:rsidRDefault="00805EB2">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6" w:name="_Ref17278"/>
      <w:r>
        <w:rPr>
          <w:rFonts w:eastAsia="MS Mincho" w:hint="eastAsia"/>
          <w:lang w:val="en-US" w:eastAsia="en-GB"/>
        </w:rPr>
        <w:t>RP-252894</w:t>
      </w:r>
      <w:r>
        <w:rPr>
          <w:rFonts w:eastAsia="MS Mincho"/>
          <w:lang w:val="en-US" w:eastAsia="en-GB"/>
        </w:rPr>
        <w:t>, “</w:t>
      </w:r>
      <w:r>
        <w:rPr>
          <w:rFonts w:eastAsia="MS Mincho" w:hint="eastAsia"/>
          <w:lang w:val="en-US" w:eastAsia="en-GB"/>
        </w:rPr>
        <w:t>Revised WI: Solutions for Ambient IoT (Internet of Things) in NR Phase 2</w:t>
      </w:r>
      <w:r>
        <w:rPr>
          <w:rFonts w:eastAsia="MS Mincho"/>
          <w:lang w:val="en-US" w:eastAsia="en-GB"/>
        </w:rPr>
        <w:t xml:space="preserve">”, </w:t>
      </w:r>
      <w:r>
        <w:rPr>
          <w:rFonts w:eastAsia="MS Mincho" w:hint="eastAsia"/>
          <w:lang w:val="en-US" w:eastAsia="en-GB"/>
        </w:rPr>
        <w:t>Huawei</w:t>
      </w:r>
      <w:r>
        <w:rPr>
          <w:rFonts w:eastAsia="MS Mincho"/>
          <w:lang w:val="en-US" w:eastAsia="en-GB"/>
        </w:rPr>
        <w:t>, RAN#10</w:t>
      </w:r>
      <w:r>
        <w:rPr>
          <w:rFonts w:eastAsia="宋体" w:hint="eastAsia"/>
          <w:lang w:val="en-US" w:eastAsia="zh-CN"/>
        </w:rPr>
        <w:t>9</w:t>
      </w:r>
      <w:r>
        <w:rPr>
          <w:rFonts w:eastAsia="MS Mincho"/>
          <w:lang w:val="en-US" w:eastAsia="en-GB"/>
        </w:rPr>
        <w:t>.</w:t>
      </w:r>
      <w:bookmarkEnd w:id="6"/>
    </w:p>
    <w:p w14:paraId="273104FA" w14:textId="77777777" w:rsidR="0096789F" w:rsidRDefault="00805EB2">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7" w:name="_Ref24008"/>
      <w:r>
        <w:rPr>
          <w:rFonts w:eastAsia="MS Mincho" w:hint="eastAsia"/>
          <w:lang w:val="en-US" w:eastAsia="en-GB"/>
        </w:rPr>
        <w:t xml:space="preserve">RP-240826: </w:t>
      </w:r>
      <w:r>
        <w:rPr>
          <w:rFonts w:eastAsia="宋体"/>
          <w:lang w:val="en-US" w:eastAsia="zh-CN"/>
        </w:rPr>
        <w:t>“</w:t>
      </w:r>
      <w:r>
        <w:rPr>
          <w:rFonts w:eastAsia="MS Mincho" w:hint="eastAsia"/>
          <w:lang w:val="en-US" w:eastAsia="en-GB"/>
        </w:rPr>
        <w:t>Revised SID: Study on solutions for Ambient IoT (Internet of Things) in NR</w:t>
      </w:r>
      <w:r>
        <w:rPr>
          <w:rFonts w:eastAsia="宋体"/>
          <w:lang w:val="en-US" w:eastAsia="zh-CN"/>
        </w:rPr>
        <w:t>”</w:t>
      </w:r>
      <w:r>
        <w:rPr>
          <w:rFonts w:eastAsia="MS Mincho" w:hint="eastAsia"/>
          <w:lang w:val="en-US" w:eastAsia="en-GB"/>
        </w:rPr>
        <w:t>.</w:t>
      </w:r>
      <w:bookmarkEnd w:id="7"/>
    </w:p>
    <w:p w14:paraId="1E98C363" w14:textId="77777777" w:rsidR="0096789F" w:rsidRDefault="0096789F"/>
    <w:sectPr w:rsidR="0096789F">
      <w:headerReference w:type="default" r:id="rId7"/>
      <w:footerReference w:type="default" r:id="rId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36617" w14:textId="77777777" w:rsidR="00556C6B" w:rsidRDefault="00556C6B">
      <w:pPr>
        <w:spacing w:after="0"/>
      </w:pPr>
      <w:r>
        <w:separator/>
      </w:r>
    </w:p>
  </w:endnote>
  <w:endnote w:type="continuationSeparator" w:id="0">
    <w:p w14:paraId="17140D38" w14:textId="77777777" w:rsidR="00556C6B" w:rsidRDefault="00556C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41702" w14:textId="77777777" w:rsidR="0096789F" w:rsidRDefault="00805EB2">
    <w:pPr>
      <w:pStyle w:val="a8"/>
      <w:jc w:val="center"/>
    </w:pPr>
    <w:r>
      <w:rPr>
        <w:b/>
      </w:rPr>
      <w:fldChar w:fldCharType="begin"/>
    </w:r>
    <w:r>
      <w:rPr>
        <w:b/>
      </w:rPr>
      <w:instrText>PAGE</w:instrText>
    </w:r>
    <w:r>
      <w:rPr>
        <w:b/>
      </w:rPr>
      <w:fldChar w:fldCharType="separate"/>
    </w:r>
    <w:r w:rsidR="00B62723">
      <w:rPr>
        <w:b/>
        <w:noProof/>
      </w:rPr>
      <w:t>2</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73F07" w14:textId="77777777" w:rsidR="00556C6B" w:rsidRDefault="00556C6B">
      <w:pPr>
        <w:spacing w:after="0"/>
      </w:pPr>
      <w:r>
        <w:separator/>
      </w:r>
    </w:p>
  </w:footnote>
  <w:footnote w:type="continuationSeparator" w:id="0">
    <w:p w14:paraId="57D764F0" w14:textId="77777777" w:rsidR="00556C6B" w:rsidRDefault="00556C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A4901" w14:textId="77777777" w:rsidR="0096789F" w:rsidRDefault="0096789F">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2"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3"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686703D6"/>
    <w:multiLevelType w:val="multilevel"/>
    <w:tmpl w:val="6EB26E9E"/>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6EB26E9E"/>
    <w:multiLevelType w:val="multilevel"/>
    <w:tmpl w:val="6EB26E9E"/>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03157D4"/>
    <w:multiLevelType w:val="multilevel"/>
    <w:tmpl w:val="703157D4"/>
    <w:lvl w:ilvl="0">
      <w:start w:val="1"/>
      <w:numFmt w:val="decimal"/>
      <w:pStyle w:val="1"/>
      <w:lvlText w:val="%1."/>
      <w:lvlJc w:val="left"/>
      <w:pPr>
        <w:tabs>
          <w:tab w:val="left" w:pos="709"/>
        </w:tabs>
        <w:ind w:left="709" w:hanging="709"/>
      </w:pPr>
      <w:rPr>
        <w:rFonts w:cs="Times New Roman" w:hint="eastAsia"/>
        <w:b/>
        <w:lang w:val="en-GB"/>
      </w:rPr>
    </w:lvl>
    <w:lvl w:ilvl="1">
      <w:start w:val="1"/>
      <w:numFmt w:val="decimal"/>
      <w:pStyle w:val="2"/>
      <w:lvlText w:val="%1.%2."/>
      <w:lvlJc w:val="left"/>
      <w:pPr>
        <w:tabs>
          <w:tab w:val="left" w:pos="567"/>
        </w:tabs>
        <w:ind w:left="567" w:hanging="567"/>
      </w:pPr>
      <w:rPr>
        <w:rFonts w:cs="Times New Roman" w:hint="eastAsia"/>
        <w:b/>
      </w:rPr>
    </w:lvl>
    <w:lvl w:ilvl="2">
      <w:start w:val="1"/>
      <w:numFmt w:val="decimal"/>
      <w:pStyle w:val="3"/>
      <w:lvlText w:val="%1.%2.%3."/>
      <w:lvlJc w:val="left"/>
      <w:pPr>
        <w:tabs>
          <w:tab w:val="left" w:pos="709"/>
        </w:tabs>
        <w:ind w:left="709" w:hanging="709"/>
      </w:pPr>
      <w:rPr>
        <w:rFonts w:cs="Times New Roman" w:hint="eastAsia"/>
        <w:sz w:val="24"/>
        <w:szCs w:val="24"/>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8" w15:restartNumberingAfterBreak="0">
    <w:nsid w:val="72E04451"/>
    <w:multiLevelType w:val="multilevel"/>
    <w:tmpl w:val="72E04451"/>
    <w:lvl w:ilvl="0">
      <w:start w:val="1"/>
      <w:numFmt w:val="decimal"/>
      <w:pStyle w:val="a"/>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5074CB8"/>
    <w:multiLevelType w:val="multilevel"/>
    <w:tmpl w:val="75074CB8"/>
    <w:lvl w:ilvl="0">
      <w:start w:val="1"/>
      <w:numFmt w:val="bullet"/>
      <w:lvlText w:val=""/>
      <w:lvlJc w:val="left"/>
      <w:pPr>
        <w:tabs>
          <w:tab w:val="left" w:pos="420"/>
        </w:tabs>
        <w:ind w:left="840" w:hanging="420"/>
      </w:pPr>
      <w:rPr>
        <w:rFonts w:ascii="Wingdings" w:hAnsi="Wingdings" w:cs="Wingdings" w:hint="default"/>
        <w:sz w:val="13"/>
      </w:rPr>
    </w:lvl>
    <w:lvl w:ilvl="1">
      <w:start w:val="1"/>
      <w:numFmt w:val="bullet"/>
      <w:lvlText w:val=""/>
      <w:lvlJc w:val="left"/>
      <w:pPr>
        <w:tabs>
          <w:tab w:val="left" w:pos="-420"/>
        </w:tabs>
        <w:ind w:left="1260" w:hanging="420"/>
      </w:pPr>
      <w:rPr>
        <w:rFonts w:ascii="Wingdings" w:hAnsi="Wingdings" w:hint="default"/>
        <w:sz w:val="13"/>
      </w:rPr>
    </w:lvl>
    <w:lvl w:ilvl="2">
      <w:start w:val="1"/>
      <w:numFmt w:val="bullet"/>
      <w:lvlText w:val=""/>
      <w:lvlJc w:val="left"/>
      <w:pPr>
        <w:tabs>
          <w:tab w:val="left" w:pos="0"/>
        </w:tabs>
        <w:ind w:left="1680" w:hanging="420"/>
      </w:pPr>
      <w:rPr>
        <w:rFonts w:ascii="Wingdings" w:hAnsi="Wingdings" w:hint="default"/>
        <w:sz w:val="13"/>
      </w:rPr>
    </w:lvl>
    <w:lvl w:ilvl="3">
      <w:start w:val="1"/>
      <w:numFmt w:val="bullet"/>
      <w:lvlText w:val=""/>
      <w:lvlJc w:val="left"/>
      <w:pPr>
        <w:tabs>
          <w:tab w:val="left" w:pos="420"/>
        </w:tabs>
        <w:ind w:left="2100" w:hanging="420"/>
      </w:pPr>
      <w:rPr>
        <w:rFonts w:ascii="Wingdings" w:hAnsi="Wingdings" w:hint="default"/>
        <w:sz w:val="15"/>
      </w:rPr>
    </w:lvl>
    <w:lvl w:ilvl="4">
      <w:start w:val="1"/>
      <w:numFmt w:val="bullet"/>
      <w:lvlText w:val=""/>
      <w:lvlJc w:val="left"/>
      <w:pPr>
        <w:tabs>
          <w:tab w:val="left" w:pos="840"/>
        </w:tabs>
        <w:ind w:left="2520" w:hanging="420"/>
      </w:pPr>
      <w:rPr>
        <w:rFonts w:ascii="Wingdings" w:hAnsi="Wingdings" w:hint="default"/>
      </w:rPr>
    </w:lvl>
    <w:lvl w:ilvl="5">
      <w:start w:val="1"/>
      <w:numFmt w:val="bullet"/>
      <w:lvlText w:val=""/>
      <w:lvlJc w:val="left"/>
      <w:pPr>
        <w:tabs>
          <w:tab w:val="left" w:pos="1260"/>
        </w:tabs>
        <w:ind w:left="2940" w:hanging="420"/>
      </w:pPr>
      <w:rPr>
        <w:rFonts w:ascii="Wingdings" w:hAnsi="Wingdings" w:hint="default"/>
      </w:rPr>
    </w:lvl>
    <w:lvl w:ilvl="6">
      <w:start w:val="1"/>
      <w:numFmt w:val="bullet"/>
      <w:lvlText w:val=""/>
      <w:lvlJc w:val="left"/>
      <w:pPr>
        <w:tabs>
          <w:tab w:val="left" w:pos="1680"/>
        </w:tabs>
        <w:ind w:left="3360" w:hanging="420"/>
      </w:pPr>
      <w:rPr>
        <w:rFonts w:ascii="Wingdings" w:hAnsi="Wingdings" w:hint="default"/>
      </w:rPr>
    </w:lvl>
    <w:lvl w:ilvl="7">
      <w:start w:val="1"/>
      <w:numFmt w:val="bullet"/>
      <w:lvlText w:val=""/>
      <w:lvlJc w:val="left"/>
      <w:pPr>
        <w:tabs>
          <w:tab w:val="left" w:pos="2100"/>
        </w:tabs>
        <w:ind w:left="3780" w:hanging="420"/>
      </w:pPr>
      <w:rPr>
        <w:rFonts w:ascii="Wingdings" w:hAnsi="Wingdings" w:hint="default"/>
      </w:rPr>
    </w:lvl>
    <w:lvl w:ilvl="8">
      <w:start w:val="1"/>
      <w:numFmt w:val="bullet"/>
      <w:lvlText w:val=""/>
      <w:lvlJc w:val="left"/>
      <w:pPr>
        <w:tabs>
          <w:tab w:val="left" w:pos="2520"/>
        </w:tabs>
        <w:ind w:left="4200" w:hanging="420"/>
      </w:pPr>
      <w:rPr>
        <w:rFonts w:ascii="Wingdings" w:hAnsi="Wingdings" w:hint="default"/>
      </w:rPr>
    </w:lvl>
  </w:abstractNum>
  <w:num w:numId="1" w16cid:durableId="249241290">
    <w:abstractNumId w:val="7"/>
  </w:num>
  <w:num w:numId="2" w16cid:durableId="1267037212">
    <w:abstractNumId w:val="1"/>
  </w:num>
  <w:num w:numId="3" w16cid:durableId="407967162">
    <w:abstractNumId w:val="2"/>
  </w:num>
  <w:num w:numId="4" w16cid:durableId="860632580">
    <w:abstractNumId w:val="8"/>
  </w:num>
  <w:num w:numId="5" w16cid:durableId="1485659951">
    <w:abstractNumId w:val="0"/>
  </w:num>
  <w:num w:numId="6" w16cid:durableId="494229508">
    <w:abstractNumId w:val="3"/>
  </w:num>
  <w:num w:numId="7" w16cid:durableId="28383065">
    <w:abstractNumId w:val="5"/>
  </w:num>
  <w:num w:numId="8" w16cid:durableId="2004696015">
    <w:abstractNumId w:val="6"/>
  </w:num>
  <w:num w:numId="9" w16cid:durableId="2139060705">
    <w:abstractNumId w:val="9"/>
  </w:num>
  <w:num w:numId="10" w16cid:durableId="15659862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6CDA03F3"/>
    <w:rsid w:val="00001336"/>
    <w:rsid w:val="00017263"/>
    <w:rsid w:val="000674E7"/>
    <w:rsid w:val="00075809"/>
    <w:rsid w:val="000965A9"/>
    <w:rsid w:val="000C61A1"/>
    <w:rsid w:val="000C753C"/>
    <w:rsid w:val="00131081"/>
    <w:rsid w:val="00132A78"/>
    <w:rsid w:val="001516A0"/>
    <w:rsid w:val="0017082B"/>
    <w:rsid w:val="001724A0"/>
    <w:rsid w:val="00183B4B"/>
    <w:rsid w:val="00193F7A"/>
    <w:rsid w:val="001A02A8"/>
    <w:rsid w:val="001A767A"/>
    <w:rsid w:val="002579B3"/>
    <w:rsid w:val="002804C7"/>
    <w:rsid w:val="002D233F"/>
    <w:rsid w:val="002D5214"/>
    <w:rsid w:val="002E119A"/>
    <w:rsid w:val="002F0AB2"/>
    <w:rsid w:val="00301D43"/>
    <w:rsid w:val="0033458C"/>
    <w:rsid w:val="00342FE8"/>
    <w:rsid w:val="00356619"/>
    <w:rsid w:val="0037359D"/>
    <w:rsid w:val="003E3BAD"/>
    <w:rsid w:val="003F1BB8"/>
    <w:rsid w:val="003F4108"/>
    <w:rsid w:val="0040363B"/>
    <w:rsid w:val="00403CD6"/>
    <w:rsid w:val="004420D9"/>
    <w:rsid w:val="004455B5"/>
    <w:rsid w:val="00450704"/>
    <w:rsid w:val="00474E8B"/>
    <w:rsid w:val="004874D5"/>
    <w:rsid w:val="004B399E"/>
    <w:rsid w:val="004C0D76"/>
    <w:rsid w:val="00512250"/>
    <w:rsid w:val="0052397A"/>
    <w:rsid w:val="00523DBE"/>
    <w:rsid w:val="0054112B"/>
    <w:rsid w:val="00556C6B"/>
    <w:rsid w:val="00567643"/>
    <w:rsid w:val="00571122"/>
    <w:rsid w:val="00582606"/>
    <w:rsid w:val="005E6EBB"/>
    <w:rsid w:val="006010E5"/>
    <w:rsid w:val="0061437A"/>
    <w:rsid w:val="00637B55"/>
    <w:rsid w:val="00670945"/>
    <w:rsid w:val="006A6636"/>
    <w:rsid w:val="006B06C2"/>
    <w:rsid w:val="006F3E18"/>
    <w:rsid w:val="0070356C"/>
    <w:rsid w:val="007224F2"/>
    <w:rsid w:val="00766308"/>
    <w:rsid w:val="00770C63"/>
    <w:rsid w:val="00772197"/>
    <w:rsid w:val="007A48FC"/>
    <w:rsid w:val="007B42DB"/>
    <w:rsid w:val="0080110F"/>
    <w:rsid w:val="00805EB2"/>
    <w:rsid w:val="008061DA"/>
    <w:rsid w:val="00812B98"/>
    <w:rsid w:val="00826E73"/>
    <w:rsid w:val="00833587"/>
    <w:rsid w:val="008335FC"/>
    <w:rsid w:val="00855DDC"/>
    <w:rsid w:val="008C74ED"/>
    <w:rsid w:val="009121BB"/>
    <w:rsid w:val="009172EA"/>
    <w:rsid w:val="009412B9"/>
    <w:rsid w:val="0095592C"/>
    <w:rsid w:val="009633B5"/>
    <w:rsid w:val="009637E3"/>
    <w:rsid w:val="0096789F"/>
    <w:rsid w:val="0097076F"/>
    <w:rsid w:val="009963A7"/>
    <w:rsid w:val="009F3898"/>
    <w:rsid w:val="00A6466A"/>
    <w:rsid w:val="00A770A4"/>
    <w:rsid w:val="00AF3235"/>
    <w:rsid w:val="00B0227E"/>
    <w:rsid w:val="00B27957"/>
    <w:rsid w:val="00B31D34"/>
    <w:rsid w:val="00B62723"/>
    <w:rsid w:val="00B70030"/>
    <w:rsid w:val="00B95B6E"/>
    <w:rsid w:val="00C3548C"/>
    <w:rsid w:val="00C35FAF"/>
    <w:rsid w:val="00C36B03"/>
    <w:rsid w:val="00C4624C"/>
    <w:rsid w:val="00C53987"/>
    <w:rsid w:val="00C74513"/>
    <w:rsid w:val="00C9137D"/>
    <w:rsid w:val="00C93438"/>
    <w:rsid w:val="00C9566F"/>
    <w:rsid w:val="00CA1860"/>
    <w:rsid w:val="00CF3293"/>
    <w:rsid w:val="00D02040"/>
    <w:rsid w:val="00D24D00"/>
    <w:rsid w:val="00D374A2"/>
    <w:rsid w:val="00D46D22"/>
    <w:rsid w:val="00D61F3E"/>
    <w:rsid w:val="00D77085"/>
    <w:rsid w:val="00DD5BB0"/>
    <w:rsid w:val="00DE1E2A"/>
    <w:rsid w:val="00DF26C3"/>
    <w:rsid w:val="00DF2E77"/>
    <w:rsid w:val="00E47191"/>
    <w:rsid w:val="00E54F8C"/>
    <w:rsid w:val="00E551D9"/>
    <w:rsid w:val="00E77D83"/>
    <w:rsid w:val="00EA51B8"/>
    <w:rsid w:val="00F03BEF"/>
    <w:rsid w:val="00F133B3"/>
    <w:rsid w:val="00F302D0"/>
    <w:rsid w:val="00F4229E"/>
    <w:rsid w:val="00F57504"/>
    <w:rsid w:val="00F77A2B"/>
    <w:rsid w:val="00F9165D"/>
    <w:rsid w:val="00FE521D"/>
    <w:rsid w:val="018E1188"/>
    <w:rsid w:val="01A06523"/>
    <w:rsid w:val="01AD551E"/>
    <w:rsid w:val="01B23C6A"/>
    <w:rsid w:val="01E74260"/>
    <w:rsid w:val="020016E9"/>
    <w:rsid w:val="0233386D"/>
    <w:rsid w:val="02426D28"/>
    <w:rsid w:val="02C46F25"/>
    <w:rsid w:val="02FF5E45"/>
    <w:rsid w:val="033E2445"/>
    <w:rsid w:val="03434357"/>
    <w:rsid w:val="039810F7"/>
    <w:rsid w:val="0411293A"/>
    <w:rsid w:val="041E31DE"/>
    <w:rsid w:val="04A27754"/>
    <w:rsid w:val="04B44B79"/>
    <w:rsid w:val="04ED1679"/>
    <w:rsid w:val="04F14FE7"/>
    <w:rsid w:val="055E45B4"/>
    <w:rsid w:val="05635511"/>
    <w:rsid w:val="057766B9"/>
    <w:rsid w:val="05CC3E41"/>
    <w:rsid w:val="06DF6C0A"/>
    <w:rsid w:val="06FB68B7"/>
    <w:rsid w:val="070E6657"/>
    <w:rsid w:val="071212F9"/>
    <w:rsid w:val="0746571A"/>
    <w:rsid w:val="074A4D8B"/>
    <w:rsid w:val="0791770D"/>
    <w:rsid w:val="07A807FE"/>
    <w:rsid w:val="08143350"/>
    <w:rsid w:val="08244886"/>
    <w:rsid w:val="08C27377"/>
    <w:rsid w:val="08CA7368"/>
    <w:rsid w:val="08E76A46"/>
    <w:rsid w:val="092771A7"/>
    <w:rsid w:val="09371E95"/>
    <w:rsid w:val="093775DE"/>
    <w:rsid w:val="09447918"/>
    <w:rsid w:val="094F3DFC"/>
    <w:rsid w:val="09687854"/>
    <w:rsid w:val="098A1E34"/>
    <w:rsid w:val="09B47989"/>
    <w:rsid w:val="09FE2E06"/>
    <w:rsid w:val="0AA910D5"/>
    <w:rsid w:val="0ABE6216"/>
    <w:rsid w:val="0ACC65DB"/>
    <w:rsid w:val="0B36617C"/>
    <w:rsid w:val="0B6F1D18"/>
    <w:rsid w:val="0B9F6417"/>
    <w:rsid w:val="0BF95B27"/>
    <w:rsid w:val="0BF96E42"/>
    <w:rsid w:val="0C3D430D"/>
    <w:rsid w:val="0C690BB1"/>
    <w:rsid w:val="0C727688"/>
    <w:rsid w:val="0CDD1A9B"/>
    <w:rsid w:val="0CFC20EE"/>
    <w:rsid w:val="0DA5373F"/>
    <w:rsid w:val="0DCE397A"/>
    <w:rsid w:val="0E625C06"/>
    <w:rsid w:val="0EB9159E"/>
    <w:rsid w:val="0F0E18EA"/>
    <w:rsid w:val="0F2949AD"/>
    <w:rsid w:val="0F9827E1"/>
    <w:rsid w:val="0FC34B48"/>
    <w:rsid w:val="102C48A3"/>
    <w:rsid w:val="10783643"/>
    <w:rsid w:val="10F468BD"/>
    <w:rsid w:val="10FC5772"/>
    <w:rsid w:val="11E54EED"/>
    <w:rsid w:val="11F5397D"/>
    <w:rsid w:val="12073C61"/>
    <w:rsid w:val="120F41BF"/>
    <w:rsid w:val="129C348E"/>
    <w:rsid w:val="12A926B4"/>
    <w:rsid w:val="12C43913"/>
    <w:rsid w:val="12D71181"/>
    <w:rsid w:val="13A40A8D"/>
    <w:rsid w:val="13D44784"/>
    <w:rsid w:val="13E42DD7"/>
    <w:rsid w:val="1419533D"/>
    <w:rsid w:val="14226315"/>
    <w:rsid w:val="14C17B98"/>
    <w:rsid w:val="15464EAC"/>
    <w:rsid w:val="154D79B3"/>
    <w:rsid w:val="154F0748"/>
    <w:rsid w:val="155142DE"/>
    <w:rsid w:val="15584B16"/>
    <w:rsid w:val="157306F8"/>
    <w:rsid w:val="1591488A"/>
    <w:rsid w:val="160F5096"/>
    <w:rsid w:val="16457228"/>
    <w:rsid w:val="16967603"/>
    <w:rsid w:val="16A9014A"/>
    <w:rsid w:val="16E551AE"/>
    <w:rsid w:val="17015F54"/>
    <w:rsid w:val="17072BD0"/>
    <w:rsid w:val="171C6B6E"/>
    <w:rsid w:val="17231CAA"/>
    <w:rsid w:val="1779132E"/>
    <w:rsid w:val="17966ABA"/>
    <w:rsid w:val="179A479E"/>
    <w:rsid w:val="17AF693B"/>
    <w:rsid w:val="18077F32"/>
    <w:rsid w:val="187A1D9E"/>
    <w:rsid w:val="18997C8A"/>
    <w:rsid w:val="18FF2114"/>
    <w:rsid w:val="191E305A"/>
    <w:rsid w:val="19C239FC"/>
    <w:rsid w:val="1A4109B4"/>
    <w:rsid w:val="1A681259"/>
    <w:rsid w:val="1A732F49"/>
    <w:rsid w:val="1AC92880"/>
    <w:rsid w:val="1AF71484"/>
    <w:rsid w:val="1B36335B"/>
    <w:rsid w:val="1B7A239B"/>
    <w:rsid w:val="1B7C2EE5"/>
    <w:rsid w:val="1B893FE1"/>
    <w:rsid w:val="1BB00AB5"/>
    <w:rsid w:val="1BF5201E"/>
    <w:rsid w:val="1C4D70A1"/>
    <w:rsid w:val="1C521910"/>
    <w:rsid w:val="1C664EB8"/>
    <w:rsid w:val="1C747A0F"/>
    <w:rsid w:val="1C882636"/>
    <w:rsid w:val="1D2A2269"/>
    <w:rsid w:val="1D507571"/>
    <w:rsid w:val="1D7F048B"/>
    <w:rsid w:val="1DEB104E"/>
    <w:rsid w:val="1E667736"/>
    <w:rsid w:val="1EA11A7B"/>
    <w:rsid w:val="1EA86AA8"/>
    <w:rsid w:val="1EFF77AF"/>
    <w:rsid w:val="1F1B770F"/>
    <w:rsid w:val="1F492655"/>
    <w:rsid w:val="1F4E2AC1"/>
    <w:rsid w:val="1F931065"/>
    <w:rsid w:val="1FA84328"/>
    <w:rsid w:val="1FFF4ECD"/>
    <w:rsid w:val="206D65AF"/>
    <w:rsid w:val="20763782"/>
    <w:rsid w:val="20A7394C"/>
    <w:rsid w:val="20B76AB2"/>
    <w:rsid w:val="210E39CB"/>
    <w:rsid w:val="2115448B"/>
    <w:rsid w:val="21F36BB6"/>
    <w:rsid w:val="21F6420C"/>
    <w:rsid w:val="22097CEF"/>
    <w:rsid w:val="22AC5447"/>
    <w:rsid w:val="22F47B2B"/>
    <w:rsid w:val="230C3F3A"/>
    <w:rsid w:val="2332056D"/>
    <w:rsid w:val="23847F75"/>
    <w:rsid w:val="238939C4"/>
    <w:rsid w:val="238E2BA1"/>
    <w:rsid w:val="239216AF"/>
    <w:rsid w:val="23AD3218"/>
    <w:rsid w:val="23B605C6"/>
    <w:rsid w:val="23CF438F"/>
    <w:rsid w:val="23DA1943"/>
    <w:rsid w:val="23E46662"/>
    <w:rsid w:val="243E3BD2"/>
    <w:rsid w:val="24422476"/>
    <w:rsid w:val="245D56D7"/>
    <w:rsid w:val="24A51F50"/>
    <w:rsid w:val="25280B87"/>
    <w:rsid w:val="255A29BD"/>
    <w:rsid w:val="25886712"/>
    <w:rsid w:val="25982986"/>
    <w:rsid w:val="259F752B"/>
    <w:rsid w:val="260F3EEA"/>
    <w:rsid w:val="262F63A5"/>
    <w:rsid w:val="268C6973"/>
    <w:rsid w:val="26DC7A58"/>
    <w:rsid w:val="26EA589A"/>
    <w:rsid w:val="26FB6398"/>
    <w:rsid w:val="27CD500C"/>
    <w:rsid w:val="27F54F9D"/>
    <w:rsid w:val="284C1C5F"/>
    <w:rsid w:val="286B4E12"/>
    <w:rsid w:val="28706D19"/>
    <w:rsid w:val="287E2C63"/>
    <w:rsid w:val="289A78F2"/>
    <w:rsid w:val="298E7457"/>
    <w:rsid w:val="2A557F75"/>
    <w:rsid w:val="2A5E615F"/>
    <w:rsid w:val="2B286380"/>
    <w:rsid w:val="2B4F6CE6"/>
    <w:rsid w:val="2B577D1D"/>
    <w:rsid w:val="2B666D45"/>
    <w:rsid w:val="2B7D7783"/>
    <w:rsid w:val="2BA77E28"/>
    <w:rsid w:val="2BD31A99"/>
    <w:rsid w:val="2BF274DA"/>
    <w:rsid w:val="2C1061FC"/>
    <w:rsid w:val="2C191624"/>
    <w:rsid w:val="2C4209CD"/>
    <w:rsid w:val="2CD31625"/>
    <w:rsid w:val="2CF35334"/>
    <w:rsid w:val="2D1D6773"/>
    <w:rsid w:val="2D3C541C"/>
    <w:rsid w:val="2D6D5A2A"/>
    <w:rsid w:val="2DAF5F6C"/>
    <w:rsid w:val="2DBE6880"/>
    <w:rsid w:val="2DC43E7F"/>
    <w:rsid w:val="2E032864"/>
    <w:rsid w:val="2E4F41CD"/>
    <w:rsid w:val="2E67662E"/>
    <w:rsid w:val="2EDE178E"/>
    <w:rsid w:val="2EF44200"/>
    <w:rsid w:val="2F2D7712"/>
    <w:rsid w:val="2F4800A8"/>
    <w:rsid w:val="2FE70A33"/>
    <w:rsid w:val="300F504A"/>
    <w:rsid w:val="30450E91"/>
    <w:rsid w:val="307563EC"/>
    <w:rsid w:val="30A1529E"/>
    <w:rsid w:val="30CC4E64"/>
    <w:rsid w:val="315E7D2D"/>
    <w:rsid w:val="31EE0B4F"/>
    <w:rsid w:val="32235CBE"/>
    <w:rsid w:val="323002F6"/>
    <w:rsid w:val="33172A43"/>
    <w:rsid w:val="339E473B"/>
    <w:rsid w:val="33B026C0"/>
    <w:rsid w:val="33D339B0"/>
    <w:rsid w:val="340722E1"/>
    <w:rsid w:val="34470162"/>
    <w:rsid w:val="346054E9"/>
    <w:rsid w:val="3466105C"/>
    <w:rsid w:val="34802092"/>
    <w:rsid w:val="35A60B32"/>
    <w:rsid w:val="35F663A6"/>
    <w:rsid w:val="3670627F"/>
    <w:rsid w:val="369A1636"/>
    <w:rsid w:val="36DB4C53"/>
    <w:rsid w:val="37B95A6E"/>
    <w:rsid w:val="37BA58BB"/>
    <w:rsid w:val="38241434"/>
    <w:rsid w:val="38784692"/>
    <w:rsid w:val="38995E18"/>
    <w:rsid w:val="39041808"/>
    <w:rsid w:val="394D7D09"/>
    <w:rsid w:val="398B750F"/>
    <w:rsid w:val="39A729A9"/>
    <w:rsid w:val="39D91D43"/>
    <w:rsid w:val="39EB7CEF"/>
    <w:rsid w:val="39FB65D4"/>
    <w:rsid w:val="3A6836C4"/>
    <w:rsid w:val="3ABE120A"/>
    <w:rsid w:val="3B0C6BD4"/>
    <w:rsid w:val="3B476D9A"/>
    <w:rsid w:val="3BF764DE"/>
    <w:rsid w:val="3C6A5B02"/>
    <w:rsid w:val="3CDE1303"/>
    <w:rsid w:val="3CF72D5F"/>
    <w:rsid w:val="3D3D0FB6"/>
    <w:rsid w:val="3D4857BF"/>
    <w:rsid w:val="3D8400B1"/>
    <w:rsid w:val="3D9F17DB"/>
    <w:rsid w:val="3DB3624E"/>
    <w:rsid w:val="3E1729ED"/>
    <w:rsid w:val="3EA3322E"/>
    <w:rsid w:val="3EFD0EAF"/>
    <w:rsid w:val="3F081602"/>
    <w:rsid w:val="3F287962"/>
    <w:rsid w:val="3F3746D6"/>
    <w:rsid w:val="3F604F9A"/>
    <w:rsid w:val="3FBC08CA"/>
    <w:rsid w:val="3FCB25AE"/>
    <w:rsid w:val="401747B4"/>
    <w:rsid w:val="40392E41"/>
    <w:rsid w:val="408B53C4"/>
    <w:rsid w:val="40A01A22"/>
    <w:rsid w:val="41503B6E"/>
    <w:rsid w:val="415733AE"/>
    <w:rsid w:val="41630D72"/>
    <w:rsid w:val="417567D4"/>
    <w:rsid w:val="41B31CF9"/>
    <w:rsid w:val="41CA6261"/>
    <w:rsid w:val="41DF2AEE"/>
    <w:rsid w:val="421D1C63"/>
    <w:rsid w:val="428D6698"/>
    <w:rsid w:val="429C03A0"/>
    <w:rsid w:val="42D80E0B"/>
    <w:rsid w:val="43127FE0"/>
    <w:rsid w:val="432C1FA4"/>
    <w:rsid w:val="435E7A42"/>
    <w:rsid w:val="4409148E"/>
    <w:rsid w:val="44213C29"/>
    <w:rsid w:val="44262281"/>
    <w:rsid w:val="442F1049"/>
    <w:rsid w:val="446C43E1"/>
    <w:rsid w:val="448B5670"/>
    <w:rsid w:val="44953938"/>
    <w:rsid w:val="44F543D6"/>
    <w:rsid w:val="45105096"/>
    <w:rsid w:val="45257562"/>
    <w:rsid w:val="458A08AB"/>
    <w:rsid w:val="459E3015"/>
    <w:rsid w:val="45F141CB"/>
    <w:rsid w:val="46576133"/>
    <w:rsid w:val="46737CA9"/>
    <w:rsid w:val="467C5D54"/>
    <w:rsid w:val="46B1153B"/>
    <w:rsid w:val="46C27032"/>
    <w:rsid w:val="46CD299F"/>
    <w:rsid w:val="473B1090"/>
    <w:rsid w:val="47BD1E59"/>
    <w:rsid w:val="47FD50B0"/>
    <w:rsid w:val="48456D36"/>
    <w:rsid w:val="485E2293"/>
    <w:rsid w:val="48917F72"/>
    <w:rsid w:val="49024135"/>
    <w:rsid w:val="494769C6"/>
    <w:rsid w:val="499576D3"/>
    <w:rsid w:val="49D654CD"/>
    <w:rsid w:val="49ED71B6"/>
    <w:rsid w:val="4A0B0698"/>
    <w:rsid w:val="4A3A4A66"/>
    <w:rsid w:val="4A6432EA"/>
    <w:rsid w:val="4A6C0C97"/>
    <w:rsid w:val="4AA020C5"/>
    <w:rsid w:val="4AA4557D"/>
    <w:rsid w:val="4ADE5710"/>
    <w:rsid w:val="4AE321D2"/>
    <w:rsid w:val="4B2F47E2"/>
    <w:rsid w:val="4C3A6B73"/>
    <w:rsid w:val="4CE76CFB"/>
    <w:rsid w:val="4D2717ED"/>
    <w:rsid w:val="4D6D5452"/>
    <w:rsid w:val="4D8136E7"/>
    <w:rsid w:val="4DD227B5"/>
    <w:rsid w:val="4E007704"/>
    <w:rsid w:val="4EBB3F9B"/>
    <w:rsid w:val="4EFA1A7A"/>
    <w:rsid w:val="4F2A2ECF"/>
    <w:rsid w:val="4F6B5958"/>
    <w:rsid w:val="4F6C6CE7"/>
    <w:rsid w:val="4FA97A3E"/>
    <w:rsid w:val="4FF62D91"/>
    <w:rsid w:val="50010784"/>
    <w:rsid w:val="500A3750"/>
    <w:rsid w:val="502821F7"/>
    <w:rsid w:val="507951F2"/>
    <w:rsid w:val="50E8780F"/>
    <w:rsid w:val="51200A2D"/>
    <w:rsid w:val="514C537E"/>
    <w:rsid w:val="516E572D"/>
    <w:rsid w:val="518604E5"/>
    <w:rsid w:val="51F83758"/>
    <w:rsid w:val="51FB0B52"/>
    <w:rsid w:val="52460A81"/>
    <w:rsid w:val="526C4FB9"/>
    <w:rsid w:val="5279211E"/>
    <w:rsid w:val="52987B17"/>
    <w:rsid w:val="52AE13FB"/>
    <w:rsid w:val="5380612E"/>
    <w:rsid w:val="54994D7E"/>
    <w:rsid w:val="549D793C"/>
    <w:rsid w:val="54B22CB0"/>
    <w:rsid w:val="54C2581F"/>
    <w:rsid w:val="54F2623D"/>
    <w:rsid w:val="550E5862"/>
    <w:rsid w:val="554747DA"/>
    <w:rsid w:val="558873CD"/>
    <w:rsid w:val="559A7563"/>
    <w:rsid w:val="55E33464"/>
    <w:rsid w:val="560C1DE6"/>
    <w:rsid w:val="562F3EBC"/>
    <w:rsid w:val="5682640F"/>
    <w:rsid w:val="56CE4A87"/>
    <w:rsid w:val="56E31ADE"/>
    <w:rsid w:val="575F06E8"/>
    <w:rsid w:val="57B01B5E"/>
    <w:rsid w:val="5853793A"/>
    <w:rsid w:val="58771CF0"/>
    <w:rsid w:val="58774269"/>
    <w:rsid w:val="58983FE9"/>
    <w:rsid w:val="58CF0EC3"/>
    <w:rsid w:val="59524889"/>
    <w:rsid w:val="595B34BE"/>
    <w:rsid w:val="599E3709"/>
    <w:rsid w:val="59B759D6"/>
    <w:rsid w:val="5A051897"/>
    <w:rsid w:val="5A0719EF"/>
    <w:rsid w:val="5A4440A8"/>
    <w:rsid w:val="5AD05976"/>
    <w:rsid w:val="5AD31A2C"/>
    <w:rsid w:val="5AE560BE"/>
    <w:rsid w:val="5B7A47F3"/>
    <w:rsid w:val="5BB66216"/>
    <w:rsid w:val="5BBF5D60"/>
    <w:rsid w:val="5BC85F49"/>
    <w:rsid w:val="5BCD17B1"/>
    <w:rsid w:val="5BD4490C"/>
    <w:rsid w:val="5C3F6B12"/>
    <w:rsid w:val="5C6B7770"/>
    <w:rsid w:val="5C891B7C"/>
    <w:rsid w:val="5C924F37"/>
    <w:rsid w:val="5CCE20D2"/>
    <w:rsid w:val="5CF7221A"/>
    <w:rsid w:val="5D2418A5"/>
    <w:rsid w:val="5D5932FD"/>
    <w:rsid w:val="5DA645CD"/>
    <w:rsid w:val="5DB87A6E"/>
    <w:rsid w:val="5EA52572"/>
    <w:rsid w:val="5ED15115"/>
    <w:rsid w:val="5EE74938"/>
    <w:rsid w:val="5F053010"/>
    <w:rsid w:val="5F230E48"/>
    <w:rsid w:val="5F5F2BB5"/>
    <w:rsid w:val="5FA657D7"/>
    <w:rsid w:val="5FB71C31"/>
    <w:rsid w:val="60066868"/>
    <w:rsid w:val="60333CB3"/>
    <w:rsid w:val="60A1369C"/>
    <w:rsid w:val="61120392"/>
    <w:rsid w:val="61D20FDE"/>
    <w:rsid w:val="62CC2FB6"/>
    <w:rsid w:val="63386986"/>
    <w:rsid w:val="637624DE"/>
    <w:rsid w:val="63830B14"/>
    <w:rsid w:val="63AC363C"/>
    <w:rsid w:val="642977BB"/>
    <w:rsid w:val="64345776"/>
    <w:rsid w:val="64C73510"/>
    <w:rsid w:val="64F93617"/>
    <w:rsid w:val="65A4405F"/>
    <w:rsid w:val="65A82571"/>
    <w:rsid w:val="65F85C51"/>
    <w:rsid w:val="663234CF"/>
    <w:rsid w:val="666B1B28"/>
    <w:rsid w:val="66770C98"/>
    <w:rsid w:val="66AB2F48"/>
    <w:rsid w:val="67065B78"/>
    <w:rsid w:val="671F0C66"/>
    <w:rsid w:val="67A05FCC"/>
    <w:rsid w:val="68387A47"/>
    <w:rsid w:val="685369CB"/>
    <w:rsid w:val="6897715F"/>
    <w:rsid w:val="68C5436B"/>
    <w:rsid w:val="68D0468F"/>
    <w:rsid w:val="690E58E3"/>
    <w:rsid w:val="694A465A"/>
    <w:rsid w:val="69591B58"/>
    <w:rsid w:val="695B21AB"/>
    <w:rsid w:val="699D06A3"/>
    <w:rsid w:val="69A3163D"/>
    <w:rsid w:val="69FA1AD9"/>
    <w:rsid w:val="6A467D2E"/>
    <w:rsid w:val="6AB21941"/>
    <w:rsid w:val="6AC92664"/>
    <w:rsid w:val="6B8813B5"/>
    <w:rsid w:val="6B9D1220"/>
    <w:rsid w:val="6BCA3618"/>
    <w:rsid w:val="6C2A5117"/>
    <w:rsid w:val="6C391AED"/>
    <w:rsid w:val="6C432A11"/>
    <w:rsid w:val="6C47110C"/>
    <w:rsid w:val="6C5D505A"/>
    <w:rsid w:val="6CA64085"/>
    <w:rsid w:val="6CC60283"/>
    <w:rsid w:val="6CDA03F3"/>
    <w:rsid w:val="6D436291"/>
    <w:rsid w:val="6D93510E"/>
    <w:rsid w:val="6DE86C68"/>
    <w:rsid w:val="6E4A50D6"/>
    <w:rsid w:val="6E572D1F"/>
    <w:rsid w:val="6FFE1AE2"/>
    <w:rsid w:val="705E076B"/>
    <w:rsid w:val="705F156B"/>
    <w:rsid w:val="70D35D7E"/>
    <w:rsid w:val="7159783F"/>
    <w:rsid w:val="7201141F"/>
    <w:rsid w:val="72CB77F1"/>
    <w:rsid w:val="72D22799"/>
    <w:rsid w:val="730808D4"/>
    <w:rsid w:val="73697BBA"/>
    <w:rsid w:val="73764075"/>
    <w:rsid w:val="73C95B29"/>
    <w:rsid w:val="74152946"/>
    <w:rsid w:val="74352EE3"/>
    <w:rsid w:val="74C1265A"/>
    <w:rsid w:val="75245A93"/>
    <w:rsid w:val="752913AF"/>
    <w:rsid w:val="753164B5"/>
    <w:rsid w:val="76063C85"/>
    <w:rsid w:val="7646256A"/>
    <w:rsid w:val="767E25F0"/>
    <w:rsid w:val="76AA6753"/>
    <w:rsid w:val="76EE2BB4"/>
    <w:rsid w:val="774C41F5"/>
    <w:rsid w:val="7771703D"/>
    <w:rsid w:val="778A5E1B"/>
    <w:rsid w:val="77CD4BBB"/>
    <w:rsid w:val="7880506B"/>
    <w:rsid w:val="789568D9"/>
    <w:rsid w:val="78A31DD6"/>
    <w:rsid w:val="791804DB"/>
    <w:rsid w:val="793244A0"/>
    <w:rsid w:val="798A53C1"/>
    <w:rsid w:val="79CC49FF"/>
    <w:rsid w:val="79E14F94"/>
    <w:rsid w:val="79E84606"/>
    <w:rsid w:val="7A326F58"/>
    <w:rsid w:val="7A7255A6"/>
    <w:rsid w:val="7AAC2856"/>
    <w:rsid w:val="7AB91380"/>
    <w:rsid w:val="7B3B065B"/>
    <w:rsid w:val="7B455BCC"/>
    <w:rsid w:val="7B5F552E"/>
    <w:rsid w:val="7B694BFB"/>
    <w:rsid w:val="7B95154C"/>
    <w:rsid w:val="7BC14128"/>
    <w:rsid w:val="7BE14E88"/>
    <w:rsid w:val="7C351B7C"/>
    <w:rsid w:val="7E3F3C38"/>
    <w:rsid w:val="7EAB7A4E"/>
    <w:rsid w:val="7EFA18FF"/>
    <w:rsid w:val="7EFC18E2"/>
    <w:rsid w:val="7F177286"/>
    <w:rsid w:val="7F4E2B3D"/>
    <w:rsid w:val="7F58525A"/>
    <w:rsid w:val="7F690977"/>
    <w:rsid w:val="7F7A3631"/>
    <w:rsid w:val="7FBC3457"/>
    <w:rsid w:val="7FC8567D"/>
    <w:rsid w:val="7FD74880"/>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4D059C"/>
  <w15:docId w15:val="{290C5FC5-5FBE-4024-A7E3-8BB70C8AB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napToGrid w:val="0"/>
      <w:spacing w:after="100" w:afterAutospacing="1"/>
      <w:jc w:val="both"/>
    </w:pPr>
    <w:rPr>
      <w:rFonts w:eastAsia="MS Gothic"/>
      <w:sz w:val="24"/>
      <w:lang w:val="en-GB" w:eastAsia="ja-JP"/>
    </w:rPr>
  </w:style>
  <w:style w:type="paragraph" w:styleId="1">
    <w:name w:val="heading 1"/>
    <w:basedOn w:val="a0"/>
    <w:next w:val="a0"/>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basedOn w:val="1"/>
    <w:next w:val="a0"/>
    <w:uiPriority w:val="9"/>
    <w:qFormat/>
    <w:pPr>
      <w:numPr>
        <w:ilvl w:val="1"/>
      </w:numPr>
      <w:tabs>
        <w:tab w:val="clear" w:pos="0"/>
      </w:tabs>
      <w:spacing w:before="100" w:beforeAutospacing="1"/>
      <w:outlineLvl w:val="1"/>
    </w:pPr>
    <w:rPr>
      <w:rFonts w:eastAsia="MS Mincho"/>
      <w:sz w:val="28"/>
      <w:szCs w:val="28"/>
    </w:rPr>
  </w:style>
  <w:style w:type="paragraph" w:styleId="3">
    <w:name w:val="heading 3"/>
    <w:basedOn w:val="2"/>
    <w:next w:val="a0"/>
    <w:uiPriority w:val="9"/>
    <w:qFormat/>
    <w:pPr>
      <w:numPr>
        <w:ilvl w:val="2"/>
      </w:numPr>
      <w:spacing w:before="240" w:after="60"/>
      <w:outlineLvl w:val="2"/>
    </w:pPr>
  </w:style>
  <w:style w:type="paragraph" w:styleId="4">
    <w:name w:val="heading 4"/>
    <w:basedOn w:val="a0"/>
    <w:next w:val="a0"/>
    <w:unhideWhenUsed/>
    <w:qFormat/>
    <w:pPr>
      <w:keepLines/>
      <w:tabs>
        <w:tab w:val="left" w:pos="709"/>
      </w:tabs>
      <w:spacing w:before="280" w:after="290" w:line="372" w:lineRule="auto"/>
      <w:outlineLvl w:val="3"/>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semiHidden/>
    <w:unhideWhenUsed/>
    <w:qFormat/>
    <w:rPr>
      <w:rFonts w:ascii="Arial" w:eastAsia="黑体" w:hAnsi="Arial"/>
      <w:sz w:val="20"/>
    </w:rPr>
  </w:style>
  <w:style w:type="paragraph" w:styleId="20">
    <w:name w:val="List 2"/>
    <w:basedOn w:val="a5"/>
    <w:qFormat/>
    <w:pPr>
      <w:ind w:left="851"/>
    </w:pPr>
  </w:style>
  <w:style w:type="paragraph" w:styleId="a5">
    <w:name w:val="List"/>
    <w:basedOn w:val="a0"/>
    <w:qFormat/>
    <w:pPr>
      <w:ind w:left="568" w:hanging="284"/>
    </w:pPr>
  </w:style>
  <w:style w:type="paragraph" w:styleId="a6">
    <w:name w:val="Balloon Text"/>
    <w:basedOn w:val="a0"/>
    <w:link w:val="a7"/>
    <w:qFormat/>
    <w:pPr>
      <w:spacing w:after="0"/>
    </w:pPr>
    <w:rPr>
      <w:sz w:val="18"/>
      <w:szCs w:val="18"/>
    </w:rPr>
  </w:style>
  <w:style w:type="paragraph" w:styleId="a8">
    <w:name w:val="footer"/>
    <w:basedOn w:val="a0"/>
    <w:uiPriority w:val="99"/>
    <w:qFormat/>
    <w:pPr>
      <w:tabs>
        <w:tab w:val="center" w:pos="4252"/>
        <w:tab w:val="right" w:pos="8504"/>
      </w:tabs>
    </w:pPr>
  </w:style>
  <w:style w:type="paragraph" w:styleId="a9">
    <w:name w:val="header"/>
    <w:basedOn w:val="a0"/>
    <w:uiPriority w:val="99"/>
    <w:qFormat/>
    <w:pPr>
      <w:widowControl w:val="0"/>
    </w:pPr>
    <w:rPr>
      <w:rFonts w:ascii="Arial" w:eastAsia="MS Mincho" w:hAnsi="Arial"/>
      <w:b/>
      <w:sz w:val="18"/>
    </w:rPr>
  </w:style>
  <w:style w:type="table" w:styleId="a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uiPriority w:val="22"/>
    <w:qFormat/>
    <w:rPr>
      <w:rFonts w:cs="Times New Roman"/>
      <w:b/>
    </w:rPr>
  </w:style>
  <w:style w:type="character" w:styleId="ac">
    <w:name w:val="Hyperlink"/>
    <w:basedOn w:val="a1"/>
    <w:qFormat/>
    <w:rPr>
      <w:color w:val="0000FF"/>
      <w:u w:val="single"/>
    </w:rPr>
  </w:style>
  <w:style w:type="paragraph" w:customStyle="1" w:styleId="textintend2">
    <w:name w:val="text intend 2"/>
    <w:basedOn w:val="text"/>
    <w:qFormat/>
    <w:pPr>
      <w:widowControl/>
      <w:numPr>
        <w:numId w:val="2"/>
      </w:numPr>
      <w:tabs>
        <w:tab w:val="clear" w:pos="992"/>
      </w:tabs>
      <w:spacing w:after="120"/>
    </w:pPr>
    <w:rPr>
      <w:lang w:val="en-US"/>
    </w:rPr>
  </w:style>
  <w:style w:type="paragraph" w:customStyle="1" w:styleId="text">
    <w:name w:val="text"/>
    <w:basedOn w:val="a0"/>
    <w:qFormat/>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a">
    <w:name w:val="List Paragraph"/>
    <w:basedOn w:val="a0"/>
    <w:link w:val="ad"/>
    <w:uiPriority w:val="34"/>
    <w:qFormat/>
    <w:pPr>
      <w:numPr>
        <w:numId w:val="4"/>
      </w:numPr>
      <w:spacing w:before="240" w:after="0" w:afterAutospacing="0"/>
    </w:pPr>
  </w:style>
  <w:style w:type="character" w:customStyle="1" w:styleId="a7">
    <w:name w:val="批注框文本 字符"/>
    <w:basedOn w:val="a1"/>
    <w:link w:val="a6"/>
    <w:qFormat/>
    <w:rPr>
      <w:rFonts w:eastAsia="MS Gothic"/>
      <w:sz w:val="18"/>
      <w:szCs w:val="18"/>
      <w:lang w:val="en-GB" w:eastAsia="ja-JP"/>
    </w:rPr>
  </w:style>
  <w:style w:type="character" w:customStyle="1" w:styleId="ad">
    <w:name w:val="列表段落 字符"/>
    <w:link w:val="a"/>
    <w:uiPriority w:val="34"/>
    <w:qFormat/>
    <w:locked/>
    <w:rPr>
      <w:rFonts w:eastAsia="MS Gothic"/>
      <w:sz w:val="24"/>
      <w:lang w:val="en-GB" w:eastAsia="ja-JP"/>
    </w:rPr>
  </w:style>
  <w:style w:type="paragraph" w:customStyle="1" w:styleId="0Maintext">
    <w:name w:val="0 Main text"/>
    <w:basedOn w:val="a0"/>
    <w:qFormat/>
    <w:rPr>
      <w:rFonts w:eastAsia="Malgun Gothic"/>
    </w:rPr>
  </w:style>
  <w:style w:type="paragraph" w:customStyle="1" w:styleId="B1">
    <w:name w:val="B1"/>
    <w:basedOn w:val="a5"/>
    <w:qFormat/>
  </w:style>
  <w:style w:type="paragraph" w:customStyle="1" w:styleId="B2">
    <w:name w:val="B2"/>
    <w:basedOn w:val="20"/>
    <w:qFormat/>
  </w:style>
  <w:style w:type="paragraph" w:customStyle="1" w:styleId="EX">
    <w:name w:val="EX"/>
    <w:basedOn w:val="a0"/>
    <w:qFormat/>
    <w:pPr>
      <w:keepLines/>
      <w:ind w:left="1702" w:hanging="1418"/>
    </w:pPr>
  </w:style>
  <w:style w:type="paragraph" w:customStyle="1" w:styleId="EQ">
    <w:name w:val="EQ"/>
    <w:basedOn w:val="a0"/>
    <w:next w:val="a0"/>
    <w:qFormat/>
    <w:pPr>
      <w:keepLines/>
      <w:tabs>
        <w:tab w:val="center" w:pos="4536"/>
        <w:tab w:val="right" w:pos="9072"/>
      </w:tabs>
    </w:pPr>
  </w:style>
  <w:style w:type="paragraph" w:customStyle="1" w:styleId="10">
    <w:name w:val="修订1"/>
    <w:hidden/>
    <w:uiPriority w:val="99"/>
    <w:unhideWhenUsed/>
    <w:qFormat/>
    <w:rPr>
      <w:rFonts w:eastAsia="MS Gothic"/>
      <w:sz w:val="24"/>
      <w:lang w:val="en-GB" w:eastAsia="ja-JP"/>
    </w:rPr>
  </w:style>
  <w:style w:type="paragraph" w:styleId="ae">
    <w:name w:val="Revision"/>
    <w:hidden/>
    <w:uiPriority w:val="99"/>
    <w:semiHidden/>
    <w:rsid w:val="00512250"/>
    <w:rPr>
      <w:rFonts w:eastAsia="MS Gothic"/>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4</Pages>
  <Words>1033</Words>
  <Characters>5892</Characters>
  <Application>Microsoft Office Word</Application>
  <DocSecurity>0</DocSecurity>
  <Lines>49</Lines>
  <Paragraphs>13</Paragraphs>
  <ScaleCrop>false</ScaleCrop>
  <Company/>
  <LinksUpToDate>false</LinksUpToDate>
  <CharactersWithSpaces>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Sharp</dc:creator>
  <cp:lastModifiedBy>马小骏(Ma Xiaojun)</cp:lastModifiedBy>
  <cp:revision>14</cp:revision>
  <dcterms:created xsi:type="dcterms:W3CDTF">2023-12-27T23:54:00Z</dcterms:created>
  <dcterms:modified xsi:type="dcterms:W3CDTF">2025-11-07T08:19:00Z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951C511CB9AE4CB983F3883D1778BFEE_13</vt:lpwstr>
  </property>
  <property fmtid="{D5CDD505-2E9C-101B-9397-08002B2CF9AE}" pid="4" name="KSOTemplateDocerSaveRecord">
    <vt:lpwstr>eyJoZGlkIjoiNjg5YTE3M2RiMjhjZDUyY2MxZjU4MzFhNTRmNWZiNWEiLCJ1c2VySWQiOiI0NDM1NzkyNzAifQ==</vt:lpwstr>
  </property>
</Properties>
</file>