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D73EA" w14:textId="6DD2FBBA"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472B2">
        <w:rPr>
          <w:rFonts w:cs="Times New Roman"/>
          <w:b/>
          <w:noProof/>
          <w:kern w:val="2"/>
          <w:sz w:val="21"/>
          <w:szCs w:val="21"/>
        </w:rPr>
        <w:t xml:space="preserve"> </w:t>
      </w:r>
      <w:r w:rsidRPr="00E56CB7">
        <w:rPr>
          <w:rFonts w:cs="Times New Roman"/>
          <w:b/>
          <w:noProof/>
          <w:kern w:val="2"/>
          <w:sz w:val="21"/>
          <w:szCs w:val="21"/>
        </w:rPr>
        <w:t>RAN WG1 Meeting #</w:t>
      </w:r>
      <w:r w:rsidR="00210846" w:rsidRPr="00E56CB7">
        <w:rPr>
          <w:rFonts w:cs="Times New Roman"/>
          <w:b/>
          <w:noProof/>
          <w:kern w:val="2"/>
          <w:sz w:val="21"/>
          <w:szCs w:val="21"/>
        </w:rPr>
        <w:t>1</w:t>
      </w:r>
      <w:r w:rsidR="00210846" w:rsidRPr="00E56CB7">
        <w:rPr>
          <w:rFonts w:cs="Times New Roman" w:hint="eastAsia"/>
          <w:b/>
          <w:noProof/>
          <w:kern w:val="2"/>
          <w:sz w:val="21"/>
          <w:szCs w:val="21"/>
        </w:rPr>
        <w:t>2</w:t>
      </w:r>
      <w:r w:rsidR="00210846">
        <w:rPr>
          <w:rFonts w:cs="Times New Roman"/>
          <w:b/>
          <w:noProof/>
          <w:kern w:val="2"/>
          <w:sz w:val="21"/>
          <w:szCs w:val="21"/>
        </w:rPr>
        <w:t>3</w:t>
      </w:r>
      <w:r w:rsidRPr="00E56CB7">
        <w:rPr>
          <w:rFonts w:cs="Times New Roman"/>
          <w:b/>
          <w:kern w:val="2"/>
          <w:sz w:val="21"/>
          <w:szCs w:val="21"/>
        </w:rPr>
        <w:tab/>
      </w:r>
      <w:r w:rsidR="00523BF6" w:rsidRPr="00523BF6">
        <w:rPr>
          <w:rFonts w:cs="Times New Roman"/>
          <w:b/>
          <w:kern w:val="2"/>
          <w:sz w:val="21"/>
          <w:szCs w:val="21"/>
        </w:rPr>
        <w:t>R1-</w:t>
      </w:r>
      <w:r w:rsidR="00210846" w:rsidRPr="00523BF6">
        <w:rPr>
          <w:rFonts w:cs="Times New Roman"/>
          <w:b/>
          <w:kern w:val="2"/>
          <w:sz w:val="21"/>
          <w:szCs w:val="21"/>
        </w:rPr>
        <w:t>25</w:t>
      </w:r>
      <w:r w:rsidR="00FC40FC">
        <w:rPr>
          <w:rFonts w:cs="Times New Roman"/>
          <w:b/>
          <w:kern w:val="2"/>
          <w:sz w:val="21"/>
          <w:szCs w:val="21"/>
        </w:rPr>
        <w:t>08985</w:t>
      </w:r>
    </w:p>
    <w:p w14:paraId="48C4CB66" w14:textId="10B98DB1" w:rsidR="00E56CB7" w:rsidRPr="00E56CB7" w:rsidRDefault="00FC40FC" w:rsidP="00FC40FC">
      <w:pPr>
        <w:autoSpaceDE w:val="0"/>
        <w:autoSpaceDN w:val="0"/>
        <w:adjustRightInd w:val="0"/>
        <w:snapToGrid w:val="0"/>
        <w:spacing w:before="60" w:after="60"/>
        <w:ind w:left="1554" w:hanging="1554"/>
        <w:rPr>
          <w:rFonts w:cs="Times New Roman"/>
          <w:b/>
          <w:kern w:val="2"/>
          <w:sz w:val="21"/>
          <w:szCs w:val="21"/>
        </w:rPr>
      </w:pPr>
      <w:r w:rsidRPr="00FC40FC">
        <w:rPr>
          <w:rFonts w:cs="Times New Roman"/>
          <w:b/>
          <w:kern w:val="2"/>
          <w:sz w:val="21"/>
          <w:szCs w:val="21"/>
        </w:rPr>
        <w:t>Dallas, USA, Nov 17th – 21st</w:t>
      </w:r>
      <w:r w:rsidR="001112E9" w:rsidRPr="001112E9">
        <w:rPr>
          <w:rFonts w:cs="Times New Roman"/>
          <w:b/>
          <w:kern w:val="2"/>
          <w:sz w:val="21"/>
          <w:szCs w:val="21"/>
        </w:rPr>
        <w:t>, 2025</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62D76F63"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1112E9" w:rsidRPr="001112E9">
        <w:rPr>
          <w:rFonts w:cs="Times New Roman"/>
          <w:b/>
          <w:kern w:val="2"/>
          <w:sz w:val="21"/>
          <w:szCs w:val="21"/>
        </w:rPr>
        <w:t>10.1.1.1</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53010602"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1112E9" w:rsidRPr="001112E9">
        <w:rPr>
          <w:rFonts w:cs="Times New Roman"/>
          <w:b/>
          <w:kern w:val="2"/>
          <w:sz w:val="21"/>
          <w:szCs w:val="21"/>
        </w:rPr>
        <w:t>Inference related aspects for CSI compression</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rsidP="007E4DE3">
      <w:pPr>
        <w:keepNext/>
        <w:widowControl w:val="0"/>
        <w:numPr>
          <w:ilvl w:val="0"/>
          <w:numId w:val="7"/>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0DF6DB18" w:rsidR="000017E3" w:rsidRDefault="000017E3" w:rsidP="00EF38CE">
      <w:pPr>
        <w:pStyle w:val="a0"/>
        <w:snapToGrid w:val="0"/>
        <w:spacing w:before="120"/>
        <w:jc w:val="both"/>
      </w:pPr>
      <w:r>
        <w:t>In RAN#10</w:t>
      </w:r>
      <w:r w:rsidR="001112E9">
        <w:t>8</w:t>
      </w:r>
      <w:r>
        <w:t xml:space="preserve">, it is concluded that CSI </w:t>
      </w:r>
      <w:r w:rsidR="001112E9">
        <w:t>compression</w:t>
      </w:r>
      <w:r>
        <w:t xml:space="preserve"> moves to normative phase. Following objectives are captured in updated WID [1] as below</w:t>
      </w:r>
      <w:r w:rsidR="00A33E5A">
        <w:t>:</w:t>
      </w:r>
    </w:p>
    <w:tbl>
      <w:tblPr>
        <w:tblStyle w:val="ae"/>
        <w:tblW w:w="9016" w:type="dxa"/>
        <w:tblLayout w:type="fixed"/>
        <w:tblLook w:val="04A0" w:firstRow="1" w:lastRow="0" w:firstColumn="1" w:lastColumn="0" w:noHBand="0" w:noVBand="1"/>
      </w:tblPr>
      <w:tblGrid>
        <w:gridCol w:w="9016"/>
      </w:tblGrid>
      <w:tr w:rsidR="000017E3" w14:paraId="43D3D907" w14:textId="77777777" w:rsidTr="006C4D64">
        <w:tc>
          <w:tcPr>
            <w:tcW w:w="9016" w:type="dxa"/>
          </w:tcPr>
          <w:p w14:paraId="6532AA15" w14:textId="77777777" w:rsidR="001112E9" w:rsidRPr="001112E9" w:rsidRDefault="001112E9" w:rsidP="00EF38CE">
            <w:pPr>
              <w:snapToGrid w:val="0"/>
              <w:spacing w:before="120" w:after="120"/>
              <w:jc w:val="both"/>
              <w:rPr>
                <w:rFonts w:ascii="Times" w:eastAsia="Times New Roman" w:hAnsi="Times" w:cs="Times"/>
                <w:bCs/>
                <w:sz w:val="20"/>
                <w:szCs w:val="20"/>
                <w:lang w:eastAsia="en-GB"/>
              </w:rPr>
            </w:pPr>
            <w:r w:rsidRPr="001112E9">
              <w:rPr>
                <w:rFonts w:ascii="Times" w:eastAsia="Times New Roman" w:hAnsi="Times" w:cs="Times"/>
                <w:b/>
                <w:color w:val="0000FF"/>
                <w:sz w:val="20"/>
                <w:szCs w:val="20"/>
                <w:lang w:eastAsia="en-GB"/>
              </w:rPr>
              <w:t>CSI feedback enhancement</w:t>
            </w:r>
            <w:r w:rsidRPr="001112E9">
              <w:rPr>
                <w:rFonts w:ascii="Times" w:eastAsia="Times New Roman" w:hAnsi="Times" w:cs="Times"/>
                <w:bCs/>
                <w:sz w:val="20"/>
                <w:szCs w:val="20"/>
                <w:lang w:eastAsia="en-GB"/>
              </w:rPr>
              <w:t>, encompassing (two-sided model) [RAN1, RAN2]:</w:t>
            </w:r>
          </w:p>
          <w:p w14:paraId="63B3E6C8" w14:textId="77777777" w:rsidR="001112E9" w:rsidRPr="001112E9" w:rsidRDefault="001112E9" w:rsidP="007E4DE3">
            <w:pPr>
              <w:widowControl w:val="0"/>
              <w:numPr>
                <w:ilvl w:val="0"/>
                <w:numId w:val="10"/>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CSI spatial/frequency compression without temporal aspects (“Case 0”), </w:t>
            </w:r>
          </w:p>
          <w:p w14:paraId="07A969DD" w14:textId="77777777" w:rsidR="001112E9" w:rsidRPr="001112E9" w:rsidRDefault="001112E9" w:rsidP="007E4DE3">
            <w:pPr>
              <w:widowControl w:val="0"/>
              <w:numPr>
                <w:ilvl w:val="0"/>
                <w:numId w:val="10"/>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Specify necessary </w:t>
            </w:r>
            <w:proofErr w:type="spellStart"/>
            <w:r w:rsidRPr="001112E9">
              <w:rPr>
                <w:rFonts w:ascii="Times" w:eastAsia="Calibri" w:hAnsi="Times" w:cs="Times"/>
                <w:bCs/>
                <w:sz w:val="20"/>
                <w:szCs w:val="20"/>
                <w:lang w:eastAsia="en-US"/>
              </w:rPr>
              <w:t>signalling</w:t>
            </w:r>
            <w:proofErr w:type="spellEnd"/>
            <w:r w:rsidRPr="001112E9">
              <w:rPr>
                <w:rFonts w:ascii="Times" w:eastAsia="Calibri" w:hAnsi="Times" w:cs="Times"/>
                <w:bCs/>
                <w:sz w:val="20"/>
                <w:szCs w:val="20"/>
                <w:lang w:eastAsia="en-US"/>
              </w:rPr>
              <w:t xml:space="preserve">/mechanism(s) as per the identified potential specification impacts in </w:t>
            </w:r>
            <w:proofErr w:type="spellStart"/>
            <w:r w:rsidRPr="001112E9">
              <w:rPr>
                <w:rFonts w:ascii="Times" w:eastAsia="Calibri" w:hAnsi="Times" w:cs="Times"/>
                <w:bCs/>
                <w:sz w:val="20"/>
                <w:szCs w:val="20"/>
                <w:lang w:eastAsia="en-US"/>
              </w:rPr>
              <w:t>FS_NR_AIML_</w:t>
            </w:r>
            <w:proofErr w:type="gramStart"/>
            <w:r w:rsidRPr="001112E9">
              <w:rPr>
                <w:rFonts w:ascii="Times" w:eastAsia="Calibri" w:hAnsi="Times" w:cs="Times"/>
                <w:bCs/>
                <w:sz w:val="20"/>
                <w:szCs w:val="20"/>
                <w:lang w:eastAsia="en-US"/>
              </w:rPr>
              <w:t>Air</w:t>
            </w:r>
            <w:proofErr w:type="spellEnd"/>
            <w:r w:rsidRPr="001112E9">
              <w:rPr>
                <w:rFonts w:ascii="Times" w:eastAsia="Calibri" w:hAnsi="Times" w:cs="Times"/>
                <w:bCs/>
                <w:sz w:val="20"/>
                <w:szCs w:val="20"/>
                <w:lang w:eastAsia="en-US"/>
              </w:rPr>
              <w:t xml:space="preserve"> ,</w:t>
            </w:r>
            <w:proofErr w:type="gramEnd"/>
            <w:r w:rsidRPr="001112E9">
              <w:rPr>
                <w:rFonts w:ascii="Times" w:eastAsia="Calibri" w:hAnsi="Times" w:cs="Times"/>
                <w:bCs/>
                <w:sz w:val="20"/>
                <w:szCs w:val="20"/>
                <w:lang w:eastAsia="en-US"/>
              </w:rPr>
              <w:t xml:space="preserve"> including:</w:t>
            </w:r>
          </w:p>
          <w:p w14:paraId="094F09A6" w14:textId="77777777" w:rsidR="001112E9" w:rsidRPr="001112E9" w:rsidRDefault="001112E9" w:rsidP="007E4DE3">
            <w:pPr>
              <w:widowControl w:val="0"/>
              <w:numPr>
                <w:ilvl w:val="1"/>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Model pairing procedure including ID and applicability reporting</w:t>
            </w:r>
          </w:p>
          <w:p w14:paraId="3831C7EC" w14:textId="77777777" w:rsidR="001112E9" w:rsidRPr="001112E9" w:rsidRDefault="001112E9" w:rsidP="007E4DE3">
            <w:pPr>
              <w:widowControl w:val="0"/>
              <w:numPr>
                <w:ilvl w:val="1"/>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Inference aspects including target CSI type, measurement and report configuration, CQI RI determination, payload determination, quantization configuration codebook, UCI mapping, CSI processing criteria and timeline, priority rules for CSI reports</w:t>
            </w:r>
          </w:p>
          <w:p w14:paraId="68CF7F6D" w14:textId="77777777" w:rsidR="001112E9" w:rsidRPr="001112E9" w:rsidRDefault="001112E9" w:rsidP="007E4DE3">
            <w:pPr>
              <w:widowControl w:val="0"/>
              <w:numPr>
                <w:ilvl w:val="1"/>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NW and UE side data collection for training,</w:t>
            </w:r>
          </w:p>
          <w:p w14:paraId="7B585881" w14:textId="77777777" w:rsidR="001112E9" w:rsidRPr="001112E9" w:rsidRDefault="001112E9" w:rsidP="007E4DE3">
            <w:pPr>
              <w:widowControl w:val="0"/>
              <w:numPr>
                <w:ilvl w:val="2"/>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Target CSI format</w:t>
            </w:r>
          </w:p>
          <w:p w14:paraId="074839E3" w14:textId="77777777" w:rsidR="001112E9" w:rsidRPr="001112E9" w:rsidRDefault="001112E9" w:rsidP="007E4DE3">
            <w:pPr>
              <w:widowControl w:val="0"/>
              <w:numPr>
                <w:ilvl w:val="2"/>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Note The framework defined in BM and CSI prediction use cases could be reused</w:t>
            </w:r>
          </w:p>
          <w:p w14:paraId="5DE8B77B" w14:textId="78E17807" w:rsidR="000017E3" w:rsidRDefault="001112E9" w:rsidP="007E4DE3">
            <w:pPr>
              <w:widowControl w:val="0"/>
              <w:numPr>
                <w:ilvl w:val="2"/>
                <w:numId w:val="6"/>
              </w:numPr>
              <w:snapToGrid w:val="0"/>
              <w:spacing w:before="120" w:after="120"/>
              <w:jc w:val="both"/>
              <w:textAlignment w:val="baseline"/>
              <w:rPr>
                <w:bCs/>
              </w:rPr>
            </w:pPr>
            <w:r w:rsidRPr="001112E9">
              <w:rPr>
                <w:rFonts w:ascii="Times" w:eastAsia="Times New Roman" w:hAnsi="Times" w:cs="Times"/>
                <w:bCs/>
                <w:sz w:val="20"/>
                <w:szCs w:val="20"/>
                <w:lang w:eastAsia="en-GB"/>
              </w:rPr>
              <w:t>Specify performance monitoring</w:t>
            </w:r>
          </w:p>
        </w:tc>
      </w:tr>
    </w:tbl>
    <w:p w14:paraId="0E9022FC" w14:textId="5B41EB89" w:rsidR="00671A4E" w:rsidRPr="001112E9" w:rsidRDefault="001112E9" w:rsidP="00EF38CE">
      <w:pPr>
        <w:pStyle w:val="a0"/>
        <w:snapToGrid w:val="0"/>
        <w:spacing w:before="120"/>
        <w:jc w:val="both"/>
      </w:pPr>
      <w:r w:rsidRPr="0071530E">
        <w:rPr>
          <w:rFonts w:eastAsiaTheme="minorEastAsia" w:cs="Times New Roman"/>
          <w:bCs/>
        </w:rPr>
        <w:t>In this paper, we</w:t>
      </w:r>
      <w:r>
        <w:rPr>
          <w:rFonts w:eastAsiaTheme="minorEastAsia" w:cs="Times New Roman"/>
          <w:bCs/>
        </w:rPr>
        <w:t xml:space="preserve"> provide our view on inference related aspects including </w:t>
      </w:r>
      <w:r w:rsidRPr="008B1E43">
        <w:rPr>
          <w:rFonts w:eastAsiaTheme="minorEastAsia" w:cs="Times New Roman"/>
          <w:bCs/>
        </w:rPr>
        <w:t>CQI RI determination, payload determination, quantization configuration codebook, UCI mapping, CSI processing criteria and timeline</w:t>
      </w:r>
      <w:r>
        <w:rPr>
          <w:rFonts w:eastAsiaTheme="minorEastAsia" w:cs="Times New Roman"/>
          <w:bCs/>
        </w:rPr>
        <w:t>.</w:t>
      </w:r>
      <w:r w:rsidRPr="0071530E">
        <w:rPr>
          <w:rFonts w:eastAsiaTheme="minorEastAsia" w:cs="Times New Roman"/>
          <w:bCs/>
        </w:rPr>
        <w:t xml:space="preserve"> </w:t>
      </w:r>
    </w:p>
    <w:p w14:paraId="32B2AD96" w14:textId="51B36508" w:rsidR="00106A8C" w:rsidRPr="00D67AC8" w:rsidRDefault="001112E9" w:rsidP="007E4DE3">
      <w:pPr>
        <w:keepNext/>
        <w:widowControl w:val="0"/>
        <w:numPr>
          <w:ilvl w:val="0"/>
          <w:numId w:val="7"/>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rPr>
        <w:t>Discussion</w:t>
      </w:r>
    </w:p>
    <w:p w14:paraId="0E2755AE" w14:textId="099086D8" w:rsidR="001112E9" w:rsidRDefault="001112E9" w:rsidP="000B4122">
      <w:pPr>
        <w:pStyle w:val="2"/>
        <w:numPr>
          <w:ilvl w:val="1"/>
          <w:numId w:val="1"/>
        </w:numPr>
        <w:autoSpaceDE w:val="0"/>
        <w:autoSpaceDN w:val="0"/>
        <w:adjustRightInd w:val="0"/>
        <w:snapToGrid w:val="0"/>
        <w:spacing w:after="240"/>
        <w:ind w:left="0" w:firstLine="0"/>
        <w:jc w:val="both"/>
        <w:rPr>
          <w:rFonts w:ascii="Times New Roman" w:eastAsiaTheme="minorEastAsia" w:hAnsi="Times New Roman" w:cs="Times New Roman"/>
          <w:b/>
          <w:iCs w:val="0"/>
          <w:szCs w:val="22"/>
        </w:rPr>
      </w:pPr>
      <w:r w:rsidRPr="00D57824">
        <w:rPr>
          <w:rFonts w:ascii="Times New Roman" w:eastAsiaTheme="minorEastAsia" w:hAnsi="Times New Roman" w:cs="Times New Roman"/>
          <w:b/>
          <w:iCs w:val="0"/>
          <w:szCs w:val="22"/>
        </w:rPr>
        <w:t xml:space="preserve">Payload and quantization related aspects </w:t>
      </w:r>
    </w:p>
    <w:p w14:paraId="77149643" w14:textId="77777777" w:rsidR="009A462C" w:rsidRPr="00EF38CE" w:rsidRDefault="009A462C" w:rsidP="009A462C">
      <w:pPr>
        <w:snapToGrid w:val="0"/>
        <w:spacing w:before="120" w:after="120"/>
        <w:jc w:val="both"/>
        <w:rPr>
          <w:rFonts w:eastAsiaTheme="minorEastAsia" w:cs="Times New Roman"/>
          <w:bCs/>
        </w:rPr>
      </w:pPr>
      <w:r w:rsidRPr="00EF38CE">
        <w:rPr>
          <w:rFonts w:eastAsiaTheme="minorEastAsia" w:cs="Times New Roman"/>
          <w:bCs/>
        </w:rPr>
        <w:t>In the RAN1#122 meeting, the following agreements ware made regarding payload size determination and quantization method.</w:t>
      </w:r>
    </w:p>
    <w:tbl>
      <w:tblPr>
        <w:tblStyle w:val="ae"/>
        <w:tblW w:w="0" w:type="auto"/>
        <w:tblLook w:val="04A0" w:firstRow="1" w:lastRow="0" w:firstColumn="1" w:lastColumn="0" w:noHBand="0" w:noVBand="1"/>
      </w:tblPr>
      <w:tblGrid>
        <w:gridCol w:w="9060"/>
      </w:tblGrid>
      <w:tr w:rsidR="009A462C" w14:paraId="2061BD15" w14:textId="77777777" w:rsidTr="00DA13A1">
        <w:tc>
          <w:tcPr>
            <w:tcW w:w="9060" w:type="dxa"/>
          </w:tcPr>
          <w:p w14:paraId="6BD58458" w14:textId="77777777" w:rsidR="009A462C" w:rsidRPr="00375AE7" w:rsidRDefault="009A462C" w:rsidP="00DA13A1">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7943157B" w14:textId="77777777" w:rsidR="009A462C" w:rsidRPr="001112E9" w:rsidRDefault="009A462C" w:rsidP="00DA13A1">
            <w:pPr>
              <w:snapToGrid w:val="0"/>
              <w:spacing w:before="120" w:after="120"/>
              <w:jc w:val="both"/>
              <w:rPr>
                <w:rFonts w:eastAsia="Batang" w:cs="Times New Roman"/>
                <w:lang w:val="en-GB" w:eastAsia="en-US"/>
              </w:rPr>
            </w:pPr>
            <w:r w:rsidRPr="001112E9">
              <w:rPr>
                <w:rFonts w:eastAsia="Batang" w:cs="Times New Roman"/>
                <w:lang w:val="en-GB" w:eastAsia="en-US"/>
              </w:rPr>
              <w:t>For precoding matrix feedback, consider the following aspects for payload determination</w:t>
            </w:r>
          </w:p>
          <w:p w14:paraId="1D9C1715" w14:textId="77777777" w:rsidR="009A462C" w:rsidRPr="001112E9" w:rsidRDefault="009A462C" w:rsidP="00DA13A1">
            <w:pPr>
              <w:numPr>
                <w:ilvl w:val="0"/>
                <w:numId w:val="11"/>
              </w:numPr>
              <w:suppressAutoHyphens/>
              <w:snapToGrid w:val="0"/>
              <w:spacing w:before="120" w:after="120"/>
              <w:jc w:val="both"/>
              <w:rPr>
                <w:rFonts w:eastAsia="Batang" w:cs="Times New Roman"/>
                <w:lang w:val="en-GB" w:eastAsia="x-none"/>
              </w:rPr>
            </w:pPr>
            <w:r w:rsidRPr="001112E9">
              <w:rPr>
                <w:rFonts w:eastAsia="Batang" w:cs="Times New Roman"/>
                <w:lang w:val="en-GB" w:eastAsia="x-none"/>
              </w:rPr>
              <w:t xml:space="preserve">Support only SQ, or only VQ or both </w:t>
            </w:r>
          </w:p>
          <w:p w14:paraId="082E3CCD" w14:textId="77777777" w:rsidR="009A462C" w:rsidRPr="001112E9" w:rsidRDefault="005D4598" w:rsidP="00DA13A1">
            <w:pPr>
              <w:numPr>
                <w:ilvl w:val="0"/>
                <w:numId w:val="11"/>
              </w:numPr>
              <w:suppressAutoHyphens/>
              <w:snapToGrid w:val="0"/>
              <w:spacing w:before="120" w:after="120"/>
              <w:jc w:val="both"/>
              <w:rPr>
                <w:rFonts w:eastAsia="Batang" w:cs="Times New Roman"/>
                <w:lang w:val="en-GB" w:eastAsia="x-none"/>
              </w:rPr>
            </w:pP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m:t>
                  </m:r>
                  <m:r>
                    <m:rPr>
                      <m:sty m:val="bi"/>
                    </m:rPr>
                    <w:rPr>
                      <w:rFonts w:ascii="Cambria Math" w:eastAsia="Batang" w:hAnsi="Cambria Math" w:cs="Times New Roman"/>
                      <w:lang w:val="en-GB" w:eastAsia="en-US"/>
                    </w:rPr>
                    <m:t>,</m:t>
                  </m:r>
                  <m:r>
                    <m:rPr>
                      <m:sty m:val="bi"/>
                    </m:rPr>
                    <w:rPr>
                      <w:rFonts w:ascii="Cambria Math" w:eastAsia="Batang" w:hAnsi="Cambria Math" w:cs="Times New Roman"/>
                      <w:lang w:val="en-GB" w:eastAsia="en-US"/>
                    </w:rPr>
                    <m:t>ν</m:t>
                  </m:r>
                </m:sup>
              </m:sSubSup>
              <m:r>
                <m:rPr>
                  <m:sty m:val="bi"/>
                </m:rPr>
                <w:rPr>
                  <w:rFonts w:ascii="Cambria Math" w:eastAsia="Batang" w:hAnsi="Cambria Math" w:cs="Times New Roman"/>
                  <w:lang w:val="en-GB" w:eastAsia="en-US"/>
                </w:rPr>
                <m:t xml:space="preserve"> </m:t>
              </m:r>
            </m:oMath>
            <w:r w:rsidR="009A462C" w:rsidRPr="001112E9">
              <w:rPr>
                <w:rFonts w:eastAsia="Batang" w:cs="Times New Roman"/>
                <w:lang w:val="en-GB" w:eastAsia="x-none"/>
              </w:rPr>
              <w:t xml:space="preserve">and / or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m:t>
                  </m:r>
                  <m:r>
                    <m:rPr>
                      <m:sty m:val="bi"/>
                    </m:rPr>
                    <w:rPr>
                      <w:rFonts w:ascii="Cambria Math" w:eastAsia="Batang" w:hAnsi="Cambria Math" w:cs="Times New Roman"/>
                      <w:lang w:val="en-GB" w:eastAsia="en-US"/>
                    </w:rPr>
                    <m:t>,</m:t>
                  </m:r>
                  <m:r>
                    <m:rPr>
                      <m:sty m:val="bi"/>
                    </m:rPr>
                    <w:rPr>
                      <w:rFonts w:ascii="Cambria Math" w:eastAsia="Batang" w:hAnsi="Cambria Math" w:cs="Times New Roman"/>
                      <w:lang w:val="en-GB" w:eastAsia="en-US"/>
                    </w:rPr>
                    <m:t>ν</m:t>
                  </m:r>
                </m:sup>
              </m:sSup>
            </m:oMath>
            <w:r w:rsidR="009A462C" w:rsidRPr="001112E9">
              <w:rPr>
                <w:rFonts w:eastAsia="Batang" w:cs="Times New Roman"/>
                <w:lang w:val="en-GB" w:eastAsia="x-none"/>
              </w:rPr>
              <w:t xml:space="preserve"> and / or </w:t>
            </w:r>
            <m:oMath>
              <m:r>
                <m:rPr>
                  <m:sty m:val="bi"/>
                </m:rPr>
                <w:rPr>
                  <w:rFonts w:ascii="Cambria Math" w:eastAsia="Batang" w:hAnsi="Cambria Math" w:cs="Times New Roman"/>
                  <w:lang w:val="en-GB" w:eastAsia="en-US"/>
                </w:rPr>
                <m:t>L</m:t>
              </m:r>
            </m:oMath>
            <w:r w:rsidR="009A462C" w:rsidRPr="001112E9">
              <w:rPr>
                <w:rFonts w:eastAsia="Batang" w:cs="Times New Roman"/>
                <w:lang w:val="en-GB" w:eastAsia="x-none"/>
              </w:rPr>
              <w:t xml:space="preserve"> are fixed values or determined from multiple values based on NW configuration or UE reporting.</w:t>
            </w:r>
          </w:p>
          <w:p w14:paraId="70DF327A" w14:textId="77777777" w:rsidR="009A462C" w:rsidRPr="001112E9" w:rsidRDefault="005D4598" w:rsidP="00DA13A1">
            <w:pPr>
              <w:numPr>
                <w:ilvl w:val="0"/>
                <w:numId w:val="11"/>
              </w:numPr>
              <w:suppressAutoHyphens/>
              <w:snapToGrid w:val="0"/>
              <w:spacing w:before="120" w:after="120"/>
              <w:jc w:val="both"/>
              <w:rPr>
                <w:rFonts w:eastAsia="Batang" w:cs="Times New Roman"/>
                <w:lang w:val="en-GB" w:eastAsia="x-none"/>
              </w:rPr>
            </w:pP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m:t>
                  </m:r>
                  <m:r>
                    <m:rPr>
                      <m:sty m:val="bi"/>
                    </m:rPr>
                    <w:rPr>
                      <w:rFonts w:ascii="Cambria Math" w:eastAsia="Batang" w:hAnsi="Cambria Math" w:cs="Times New Roman"/>
                      <w:lang w:val="en-GB" w:eastAsia="en-US"/>
                    </w:rPr>
                    <m:t>,</m:t>
                  </m:r>
                  <m:r>
                    <m:rPr>
                      <m:sty m:val="bi"/>
                    </m:rPr>
                    <w:rPr>
                      <w:rFonts w:ascii="Cambria Math" w:eastAsia="Batang" w:hAnsi="Cambria Math" w:cs="Times New Roman"/>
                      <w:lang w:val="en-GB" w:eastAsia="en-US"/>
                    </w:rPr>
                    <m:t>ν</m:t>
                  </m:r>
                </m:sup>
              </m:sSubSup>
            </m:oMath>
            <w:r w:rsidR="009A462C" w:rsidRPr="001112E9">
              <w:rPr>
                <w:rFonts w:eastAsia="Batang" w:cs="Times New Roman"/>
                <w:lang w:val="en-GB" w:eastAsia="x-none"/>
              </w:rPr>
              <w:t xml:space="preserve">and / or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m:t>
                  </m:r>
                  <m:r>
                    <m:rPr>
                      <m:sty m:val="bi"/>
                    </m:rPr>
                    <w:rPr>
                      <w:rFonts w:ascii="Cambria Math" w:eastAsia="Batang" w:hAnsi="Cambria Math" w:cs="Times New Roman"/>
                      <w:lang w:val="en-GB" w:eastAsia="en-US"/>
                    </w:rPr>
                    <m:t>,</m:t>
                  </m:r>
                  <m:r>
                    <m:rPr>
                      <m:sty m:val="bi"/>
                    </m:rPr>
                    <w:rPr>
                      <w:rFonts w:ascii="Cambria Math" w:eastAsia="Batang" w:hAnsi="Cambria Math" w:cs="Times New Roman"/>
                      <w:lang w:val="en-GB" w:eastAsia="en-US"/>
                    </w:rPr>
                    <m:t>ν</m:t>
                  </m:r>
                </m:sup>
              </m:sSup>
            </m:oMath>
            <w:r w:rsidR="009A462C" w:rsidRPr="001112E9">
              <w:rPr>
                <w:rFonts w:eastAsia="Batang" w:cs="Times New Roman"/>
                <w:lang w:val="en-GB" w:eastAsia="x-none"/>
              </w:rPr>
              <w:t xml:space="preserve"> is layer-common or layer-specific, rank-common or rank-specific.</w:t>
            </w:r>
          </w:p>
          <w:p w14:paraId="3DA06064" w14:textId="77777777" w:rsidR="009A462C" w:rsidRPr="001112E9" w:rsidRDefault="009A462C" w:rsidP="00DA13A1">
            <w:pPr>
              <w:numPr>
                <w:ilvl w:val="0"/>
                <w:numId w:val="11"/>
              </w:numPr>
              <w:suppressAutoHyphens/>
              <w:snapToGrid w:val="0"/>
              <w:spacing w:before="120" w:after="120"/>
              <w:jc w:val="both"/>
              <w:rPr>
                <w:rFonts w:eastAsia="Batang" w:cs="Times New Roman"/>
                <w:lang w:val="en-GB" w:eastAsia="x-none"/>
              </w:rPr>
            </w:pPr>
            <w:r w:rsidRPr="001112E9">
              <w:rPr>
                <w:rFonts w:eastAsia="Batang" w:cs="Times New Roman"/>
                <w:lang w:val="en-GB" w:eastAsia="x-none"/>
              </w:rPr>
              <w:t xml:space="preserve">If configured,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1112E9">
              <w:rPr>
                <w:rFonts w:eastAsia="Batang" w:cs="Times New Roman"/>
                <w:lang w:val="en-GB" w:eastAsia="x-none"/>
              </w:rPr>
              <w:t xml:space="preserve">and / or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1112E9">
              <w:rPr>
                <w:rFonts w:eastAsia="Batang" w:cs="Times New Roman"/>
                <w:lang w:val="en-GB" w:eastAsia="x-none"/>
              </w:rPr>
              <w:t xml:space="preserve"> and / or </w:t>
            </w:r>
            <m:oMath>
              <m:r>
                <m:rPr>
                  <m:sty m:val="bi"/>
                </m:rPr>
                <w:rPr>
                  <w:rFonts w:ascii="Cambria Math" w:eastAsia="Batang" w:hAnsi="Cambria Math" w:cs="Times New Roman"/>
                  <w:lang w:val="en-GB" w:eastAsia="en-US"/>
                </w:rPr>
                <m:t>L</m:t>
              </m:r>
            </m:oMath>
            <w:r w:rsidRPr="001112E9">
              <w:rPr>
                <w:rFonts w:eastAsia="Batang" w:cs="Times New Roman"/>
                <w:lang w:val="en-GB" w:eastAsia="x-none"/>
              </w:rPr>
              <w:t xml:space="preserve"> above are configured separately from pairing ID, or configured by Pairing ID.</w:t>
            </w:r>
          </w:p>
          <w:p w14:paraId="4C9EAFB9" w14:textId="77777777" w:rsidR="009A462C" w:rsidRPr="001112E9" w:rsidRDefault="009A462C" w:rsidP="00DA13A1">
            <w:pPr>
              <w:numPr>
                <w:ilvl w:val="1"/>
                <w:numId w:val="11"/>
              </w:numPr>
              <w:suppressAutoHyphens/>
              <w:snapToGrid w:val="0"/>
              <w:spacing w:before="120" w:after="120"/>
              <w:jc w:val="both"/>
              <w:rPr>
                <w:rFonts w:eastAsia="Batang" w:cs="Times New Roman"/>
                <w:lang w:val="en-GB" w:eastAsia="x-none"/>
              </w:rPr>
            </w:pPr>
            <w:r w:rsidRPr="001112E9">
              <w:rPr>
                <w:rFonts w:eastAsia="Batang" w:cs="Times New Roman"/>
                <w:lang w:val="en-GB" w:eastAsia="x-none"/>
              </w:rPr>
              <w:t xml:space="preserve">The configuration may be via other parameters which are used to derive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1112E9">
              <w:rPr>
                <w:rFonts w:eastAsia="Batang" w:cs="Times New Roman"/>
                <w:lang w:val="en-GB" w:eastAsia="x-none"/>
              </w:rPr>
              <w:t xml:space="preserve">, L and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1112E9">
              <w:rPr>
                <w:rFonts w:eastAsia="Batang" w:cs="Times New Roman"/>
                <w:lang w:val="en-GB" w:eastAsia="x-none"/>
              </w:rPr>
              <w:t>.</w:t>
            </w:r>
          </w:p>
          <w:p w14:paraId="7EC82C69" w14:textId="77777777" w:rsidR="009A462C" w:rsidRPr="001112E9" w:rsidRDefault="009A462C" w:rsidP="00DA13A1">
            <w:pPr>
              <w:snapToGrid w:val="0"/>
              <w:spacing w:before="120" w:after="120"/>
              <w:jc w:val="both"/>
              <w:rPr>
                <w:rFonts w:eastAsia="Batang" w:cs="Times New Roman"/>
                <w:lang w:val="en-GB" w:eastAsia="en-US"/>
              </w:rPr>
            </w:pPr>
            <w:r w:rsidRPr="001112E9">
              <w:rPr>
                <w:rFonts w:eastAsia="Batang" w:cs="Times New Roman"/>
                <w:lang w:val="en-GB" w:eastAsia="en-US"/>
              </w:rPr>
              <w:lastRenderedPageBreak/>
              <w:t>Note: Consider limiting the total number of possible payload sizes considering the inter-vendor training challenges.</w:t>
            </w:r>
          </w:p>
          <w:p w14:paraId="605CC109" w14:textId="77777777" w:rsidR="009A462C" w:rsidRPr="001112E9" w:rsidRDefault="009A462C" w:rsidP="00DA13A1">
            <w:pPr>
              <w:snapToGrid w:val="0"/>
              <w:spacing w:before="120" w:after="120"/>
              <w:jc w:val="both"/>
              <w:rPr>
                <w:rFonts w:eastAsia="Batang" w:cs="Times New Roman"/>
                <w:lang w:val="en-GB" w:eastAsia="en-US"/>
              </w:rPr>
            </w:pPr>
            <w:r w:rsidRPr="001112E9">
              <w:rPr>
                <w:rFonts w:eastAsia="Batang" w:cs="Times New Roman"/>
                <w:lang w:val="en-GB" w:eastAsia="en-US"/>
              </w:rPr>
              <w:t xml:space="preserve">Note: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1112E9">
              <w:rPr>
                <w:rFonts w:eastAsia="Batang" w:cs="Times New Roman"/>
                <w:lang w:val="en-GB" w:eastAsia="en-US"/>
              </w:rPr>
              <w:t xml:space="preserve">,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1112E9">
              <w:rPr>
                <w:rFonts w:eastAsia="Batang" w:cs="Times New Roman"/>
                <w:lang w:val="en-GB" w:eastAsia="en-US"/>
              </w:rPr>
              <w:t xml:space="preserve"> and </w:t>
            </w:r>
            <m:oMath>
              <m:r>
                <m:rPr>
                  <m:sty m:val="bi"/>
                </m:rPr>
                <w:rPr>
                  <w:rFonts w:ascii="Cambria Math" w:eastAsia="Batang" w:hAnsi="Cambria Math" w:cs="Times New Roman"/>
                  <w:lang w:val="en-GB" w:eastAsia="en-US"/>
                </w:rPr>
                <m:t>L</m:t>
              </m:r>
            </m:oMath>
            <w:r w:rsidRPr="001112E9">
              <w:rPr>
                <w:rFonts w:eastAsia="Batang" w:cs="Times New Roman"/>
                <w:lang w:val="en-GB" w:eastAsia="en-US"/>
              </w:rPr>
              <w:t xml:space="preserve"> are independent on subband and port configurations, </w:t>
            </w:r>
          </w:p>
          <w:p w14:paraId="61667113" w14:textId="77777777" w:rsidR="009A462C" w:rsidRPr="00FB78E5" w:rsidRDefault="009A462C" w:rsidP="00DA13A1">
            <w:pPr>
              <w:numPr>
                <w:ilvl w:val="0"/>
                <w:numId w:val="12"/>
              </w:numPr>
              <w:suppressAutoHyphens/>
              <w:snapToGrid w:val="0"/>
              <w:spacing w:before="120" w:after="120"/>
              <w:jc w:val="both"/>
              <w:rPr>
                <w:rFonts w:eastAsia="Batang" w:cs="Times New Roman"/>
                <w:lang w:val="en-GB" w:eastAsia="x-none"/>
              </w:rPr>
            </w:pPr>
            <w:r w:rsidRPr="00FB78E5">
              <w:rPr>
                <w:rFonts w:eastAsia="Batang" w:cs="Times New Roman"/>
                <w:lang w:val="en-GB" w:eastAsia="x-none"/>
              </w:rPr>
              <w:t xml:space="preserve">FFS each combination of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FB78E5">
              <w:rPr>
                <w:rFonts w:eastAsia="Batang" w:cs="Times New Roman"/>
                <w:lang w:val="en-GB" w:eastAsia="x-none"/>
              </w:rPr>
              <w:t xml:space="preserve">,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FB78E5">
              <w:rPr>
                <w:rFonts w:eastAsia="Batang" w:cs="Times New Roman"/>
                <w:lang w:val="en-GB" w:eastAsia="x-none"/>
              </w:rPr>
              <w:t xml:space="preserve"> and </w:t>
            </w:r>
            <m:oMath>
              <m:r>
                <m:rPr>
                  <m:sty m:val="bi"/>
                </m:rPr>
                <w:rPr>
                  <w:rFonts w:ascii="Cambria Math" w:eastAsia="Batang" w:hAnsi="Cambria Math" w:cs="Times New Roman"/>
                  <w:lang w:val="en-GB" w:eastAsia="en-US"/>
                </w:rPr>
                <m:t xml:space="preserve">L </m:t>
              </m:r>
            </m:oMath>
            <w:r w:rsidRPr="00FB78E5">
              <w:rPr>
                <w:rFonts w:eastAsia="Batang" w:cs="Times New Roman"/>
                <w:lang w:val="en-GB" w:eastAsia="x-none"/>
              </w:rPr>
              <w:t>is applicable to a certain set of subband and port configurations.</w:t>
            </w:r>
          </w:p>
          <w:p w14:paraId="320CDAF1" w14:textId="77777777" w:rsidR="009A462C" w:rsidRPr="00FB78E5" w:rsidRDefault="009A462C" w:rsidP="00DA13A1">
            <w:pPr>
              <w:snapToGrid w:val="0"/>
              <w:spacing w:before="120" w:after="120"/>
              <w:jc w:val="both"/>
              <w:rPr>
                <w:rFonts w:eastAsia="等线" w:cs="Times New Roman"/>
                <w:b/>
                <w:bCs/>
                <w:lang w:val="en-GB"/>
              </w:rPr>
            </w:pPr>
            <w:r w:rsidRPr="00FB78E5">
              <w:rPr>
                <w:rFonts w:eastAsia="等线" w:cs="Times New Roman" w:hint="eastAsia"/>
                <w:b/>
                <w:bCs/>
                <w:lang w:val="en-GB"/>
              </w:rPr>
              <w:t>Agreement</w:t>
            </w:r>
            <w:r w:rsidRPr="00FB78E5">
              <w:rPr>
                <w:rFonts w:eastAsia="等线" w:cs="Times New Roman"/>
                <w:b/>
                <w:bCs/>
                <w:lang w:val="en-GB"/>
              </w:rPr>
              <w:t xml:space="preserve"> in RAN1#122</w:t>
            </w:r>
          </w:p>
          <w:p w14:paraId="32381EC0" w14:textId="77777777" w:rsidR="009A462C" w:rsidRPr="00375AE7" w:rsidRDefault="009A462C" w:rsidP="00DA13A1">
            <w:pPr>
              <w:tabs>
                <w:tab w:val="left" w:pos="0"/>
              </w:tabs>
              <w:suppressAutoHyphens/>
              <w:snapToGrid w:val="0"/>
              <w:spacing w:before="120" w:after="120"/>
              <w:jc w:val="both"/>
              <w:rPr>
                <w:rFonts w:eastAsia="Malgun Gothic"/>
                <w:lang w:val="en-GB" w:eastAsia="ko-KR"/>
              </w:rPr>
            </w:pPr>
            <w:r w:rsidRPr="00FB78E5">
              <w:rPr>
                <w:rFonts w:eastAsia="Malgun Gothic"/>
                <w:lang w:val="en-GB" w:eastAsia="ko-KR"/>
              </w:rPr>
              <w:t xml:space="preserve">For inference report configuration, support separate configuration of </w:t>
            </w:r>
            <w:proofErr w:type="spellStart"/>
            <w:r w:rsidRPr="00FB78E5">
              <w:rPr>
                <w:rFonts w:eastAsia="Malgun Gothic"/>
                <w:lang w:val="en-GB" w:eastAsia="ko-KR"/>
              </w:rPr>
              <w:t>subband</w:t>
            </w:r>
            <w:proofErr w:type="spellEnd"/>
            <w:r w:rsidRPr="00FB78E5">
              <w:rPr>
                <w:rFonts w:eastAsia="Malgun Gothic"/>
                <w:lang w:val="en-GB" w:eastAsia="ko-KR"/>
              </w:rPr>
              <w:t>, Tx port and payload size from pairing ID.</w:t>
            </w:r>
          </w:p>
          <w:p w14:paraId="2E00855E" w14:textId="77777777" w:rsidR="009A462C" w:rsidRPr="00375AE7" w:rsidRDefault="009A462C" w:rsidP="00DA13A1">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650923EA" w14:textId="77777777" w:rsidR="009A462C" w:rsidRPr="00375AE7" w:rsidRDefault="009A462C" w:rsidP="00DA13A1">
            <w:pPr>
              <w:tabs>
                <w:tab w:val="left" w:pos="0"/>
              </w:tabs>
              <w:suppressAutoHyphens/>
              <w:snapToGrid w:val="0"/>
              <w:spacing w:before="120" w:after="120"/>
              <w:jc w:val="both"/>
              <w:rPr>
                <w:rFonts w:eastAsia="Malgun Gothic"/>
                <w:lang w:val="en-GB" w:eastAsia="ko-KR"/>
              </w:rPr>
            </w:pPr>
            <w:r w:rsidRPr="00375AE7">
              <w:rPr>
                <w:rFonts w:eastAsia="Malgun Gothic"/>
                <w:lang w:val="en-GB" w:eastAsia="ko-KR"/>
              </w:rPr>
              <w:t xml:space="preserve">For quantization codebook used for quantizing the feedback, </w:t>
            </w:r>
          </w:p>
          <w:p w14:paraId="2AB3ADC3" w14:textId="77777777" w:rsidR="009A462C" w:rsidRPr="00375AE7" w:rsidRDefault="009A462C" w:rsidP="00DA13A1">
            <w:pPr>
              <w:numPr>
                <w:ilvl w:val="0"/>
                <w:numId w:val="12"/>
              </w:numPr>
              <w:suppressAutoHyphens/>
              <w:snapToGrid w:val="0"/>
              <w:spacing w:before="120" w:after="120"/>
              <w:jc w:val="both"/>
              <w:rPr>
                <w:rFonts w:eastAsia="Batang" w:cs="Times New Roman"/>
                <w:lang w:val="en-GB" w:eastAsia="x-none"/>
              </w:rPr>
            </w:pPr>
            <w:r w:rsidRPr="00375AE7">
              <w:rPr>
                <w:rFonts w:eastAsia="Batang" w:cs="Times New Roman"/>
                <w:lang w:val="en-GB" w:eastAsia="x-none"/>
              </w:rPr>
              <w:t xml:space="preserve">For inter-vendor collaboration </w:t>
            </w:r>
            <w:proofErr w:type="gramStart"/>
            <w:r w:rsidRPr="00375AE7">
              <w:rPr>
                <w:rFonts w:eastAsia="Batang" w:cs="Times New Roman"/>
                <w:lang w:val="en-GB" w:eastAsia="x-none"/>
              </w:rPr>
              <w:t>Direction</w:t>
            </w:r>
            <w:proofErr w:type="gramEnd"/>
            <w:r w:rsidRPr="00375AE7">
              <w:rPr>
                <w:rFonts w:eastAsia="Batang" w:cs="Times New Roman"/>
                <w:lang w:val="en-GB" w:eastAsia="x-none"/>
              </w:rPr>
              <w:t xml:space="preserve"> A, select one of the following:</w:t>
            </w:r>
          </w:p>
          <w:p w14:paraId="4A1DDEF1" w14:textId="77777777" w:rsidR="009A462C" w:rsidRPr="00375AE7" w:rsidRDefault="009A462C" w:rsidP="00DA13A1">
            <w:pPr>
              <w:numPr>
                <w:ilvl w:val="1"/>
                <w:numId w:val="11"/>
              </w:numPr>
              <w:suppressAutoHyphens/>
              <w:snapToGrid w:val="0"/>
              <w:spacing w:before="120" w:after="120"/>
              <w:jc w:val="both"/>
              <w:rPr>
                <w:rFonts w:eastAsia="Batang" w:cs="Times New Roman"/>
                <w:lang w:val="en-GB" w:eastAsia="x-none"/>
              </w:rPr>
            </w:pPr>
            <w:r w:rsidRPr="00375AE7">
              <w:rPr>
                <w:rFonts w:eastAsia="Batang" w:cs="Times New Roman"/>
                <w:lang w:val="en-GB" w:eastAsia="x-none"/>
              </w:rPr>
              <w:t>Alt1: Exchange quantization codebook from NW-side to UE-side along with each exchanged dataset or model parameters</w:t>
            </w:r>
          </w:p>
          <w:p w14:paraId="76FE99DD" w14:textId="77777777" w:rsidR="009A462C" w:rsidRPr="000E3E4E" w:rsidRDefault="009A462C" w:rsidP="00DA13A1">
            <w:pPr>
              <w:numPr>
                <w:ilvl w:val="1"/>
                <w:numId w:val="11"/>
              </w:numPr>
              <w:suppressAutoHyphens/>
              <w:snapToGrid w:val="0"/>
              <w:spacing w:before="120" w:after="120"/>
              <w:jc w:val="both"/>
              <w:rPr>
                <w:rFonts w:eastAsia="Batang" w:cs="Times New Roman"/>
                <w:sz w:val="20"/>
                <w:szCs w:val="20"/>
                <w:lang w:val="en-GB" w:eastAsia="x-none"/>
              </w:rPr>
            </w:pPr>
            <w:r w:rsidRPr="00375AE7">
              <w:rPr>
                <w:rFonts w:eastAsia="Batang" w:cs="Times New Roman"/>
                <w:lang w:val="en-GB" w:eastAsia="x-none"/>
              </w:rPr>
              <w:t>Alt2: Use a standardized quantization codebook decided by RAN1.</w:t>
            </w:r>
          </w:p>
        </w:tc>
      </w:tr>
    </w:tbl>
    <w:p w14:paraId="609F839A" w14:textId="77777777" w:rsidR="009A462C" w:rsidRDefault="009A462C" w:rsidP="009A462C"/>
    <w:p w14:paraId="628894E4" w14:textId="663F52A8" w:rsidR="009A462C" w:rsidRDefault="009A462C" w:rsidP="009A462C">
      <w:r>
        <w:t>In RAN1#122bis meeting, the following agreements was achieved.</w:t>
      </w:r>
    </w:p>
    <w:tbl>
      <w:tblPr>
        <w:tblStyle w:val="ae"/>
        <w:tblW w:w="0" w:type="auto"/>
        <w:tblLook w:val="04A0" w:firstRow="1" w:lastRow="0" w:firstColumn="1" w:lastColumn="0" w:noHBand="0" w:noVBand="1"/>
      </w:tblPr>
      <w:tblGrid>
        <w:gridCol w:w="9060"/>
      </w:tblGrid>
      <w:tr w:rsidR="009A462C" w14:paraId="1F998EBA" w14:textId="77777777" w:rsidTr="00DA13A1">
        <w:tc>
          <w:tcPr>
            <w:tcW w:w="9060" w:type="dxa"/>
          </w:tcPr>
          <w:p w14:paraId="583170AE" w14:textId="77777777" w:rsidR="00C91A92" w:rsidRDefault="00C91A92" w:rsidP="00C91A92">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r>
              <w:rPr>
                <w:rFonts w:eastAsia="等线" w:cs="Times New Roman"/>
                <w:b/>
                <w:bCs/>
                <w:lang w:val="en-GB"/>
              </w:rPr>
              <w:t>bis</w:t>
            </w:r>
          </w:p>
          <w:p w14:paraId="56317DFF" w14:textId="77777777" w:rsidR="00C91A92" w:rsidRPr="00C91A92" w:rsidRDefault="00C91A92" w:rsidP="00C91A92">
            <w:pPr>
              <w:rPr>
                <w:rFonts w:eastAsia="Malgun Gothic"/>
                <w:lang w:val="en-GB" w:eastAsia="ko-KR"/>
              </w:rPr>
            </w:pPr>
            <w:r w:rsidRPr="00C91A92">
              <w:rPr>
                <w:rFonts w:eastAsia="Malgun Gothic"/>
                <w:lang w:val="en-GB" w:eastAsia="ko-KR"/>
              </w:rPr>
              <w:t>Support precoding matrix with port-</w:t>
            </w:r>
            <w:proofErr w:type="spellStart"/>
            <w:r w:rsidRPr="00C91A92">
              <w:rPr>
                <w:rFonts w:eastAsia="Malgun Gothic"/>
                <w:lang w:val="en-GB" w:eastAsia="ko-KR"/>
              </w:rPr>
              <w:t>subband</w:t>
            </w:r>
            <w:proofErr w:type="spellEnd"/>
            <w:r w:rsidRPr="00C91A92">
              <w:rPr>
                <w:rFonts w:eastAsia="Malgun Gothic"/>
                <w:lang w:val="en-GB" w:eastAsia="ko-KR"/>
              </w:rPr>
              <w:t xml:space="preserve"> domain representation as target CSI type.</w:t>
            </w:r>
          </w:p>
          <w:p w14:paraId="43BB817E" w14:textId="77777777" w:rsidR="00C91A92" w:rsidRPr="00C91A92" w:rsidRDefault="00C91A92" w:rsidP="00C91A92">
            <w:pPr>
              <w:pStyle w:val="aa"/>
              <w:numPr>
                <w:ilvl w:val="0"/>
                <w:numId w:val="29"/>
              </w:numPr>
              <w:suppressAutoHyphens/>
              <w:contextualSpacing/>
              <w:jc w:val="both"/>
              <w:rPr>
                <w:rFonts w:ascii="Times New Roman" w:eastAsia="Malgun Gothic" w:hAnsi="Times New Roman" w:cs="宋体"/>
                <w:lang w:val="en-GB" w:eastAsia="ko-KR"/>
              </w:rPr>
            </w:pPr>
            <w:r w:rsidRPr="00C91A92">
              <w:rPr>
                <w:rFonts w:ascii="Times New Roman" w:eastAsia="Malgun Gothic" w:hAnsi="Times New Roman" w:cs="宋体"/>
                <w:lang w:val="en-GB" w:eastAsia="ko-KR"/>
              </w:rPr>
              <w:t xml:space="preserve">For a certain layer </w:t>
            </w:r>
            <m:oMath>
              <m:r>
                <m:rPr>
                  <m:sty m:val="p"/>
                </m:rPr>
                <w:rPr>
                  <w:rFonts w:ascii="Cambria Math" w:eastAsia="Malgun Gothic" w:hAnsi="Cambria Math" w:cs="宋体"/>
                  <w:lang w:val="en-GB" w:eastAsia="ko-KR"/>
                </w:rPr>
                <m:t>l</m:t>
              </m:r>
            </m:oMath>
            <w:r w:rsidRPr="00C91A92">
              <w:rPr>
                <w:rFonts w:ascii="Times New Roman" w:eastAsia="Malgun Gothic" w:hAnsi="Times New Roman" w:cs="宋体"/>
                <w:lang w:val="en-GB" w:eastAsia="ko-KR"/>
              </w:rPr>
              <w:t xml:space="preserve">, a precoding matrix on N_sb subband and P CSI-RS ports is </w:t>
            </w:r>
            <m:oMath>
              <m:sSubSup>
                <m:sSubSupPr>
                  <m:ctrlPr>
                    <w:rPr>
                      <w:rFonts w:ascii="Cambria Math" w:eastAsia="Malgun Gothic" w:hAnsi="Cambria Math" w:cs="宋体"/>
                      <w:lang w:val="en-GB" w:eastAsia="ko-KR"/>
                    </w:rPr>
                  </m:ctrlPr>
                </m:sSubSupPr>
                <m:e>
                  <m:r>
                    <m:rPr>
                      <m:sty m:val="p"/>
                    </m:rPr>
                    <w:rPr>
                      <w:rFonts w:ascii="Cambria Math" w:eastAsia="Malgun Gothic" w:hAnsi="Cambria Math" w:cs="宋体"/>
                      <w:lang w:val="en-GB" w:eastAsia="ko-KR"/>
                    </w:rPr>
                    <m:t>W</m:t>
                  </m:r>
                </m:e>
                <m:sub>
                  <m:r>
                    <m:rPr>
                      <m:sty m:val="p"/>
                    </m:rPr>
                    <w:rPr>
                      <w:rFonts w:ascii="Cambria Math" w:eastAsia="Malgun Gothic" w:hAnsi="Cambria Math" w:cs="宋体"/>
                      <w:lang w:val="en-GB" w:eastAsia="ko-KR"/>
                    </w:rPr>
                    <m:t>in</m:t>
                  </m:r>
                </m:sub>
                <m:sup>
                  <m:r>
                    <m:rPr>
                      <m:sty m:val="p"/>
                    </m:rPr>
                    <w:rPr>
                      <w:rFonts w:ascii="Cambria Math" w:eastAsia="Malgun Gothic" w:hAnsi="Cambria Math" w:cs="宋体"/>
                      <w:lang w:val="en-GB" w:eastAsia="ko-KR"/>
                    </w:rPr>
                    <m:t>l</m:t>
                  </m:r>
                </m:sup>
              </m:sSubSup>
              <m:r>
                <m:rPr>
                  <m:sty m:val="p"/>
                </m:rPr>
                <w:rPr>
                  <w:rFonts w:ascii="Cambria Math" w:eastAsia="Malgun Gothic" w:hAnsi="Cambria Math" w:cs="宋体"/>
                  <w:lang w:val="en-GB" w:eastAsia="ko-KR"/>
                </w:rPr>
                <m:t>=[</m:t>
              </m:r>
              <m:sSubSup>
                <m:sSubSupPr>
                  <m:ctrlPr>
                    <w:rPr>
                      <w:rFonts w:ascii="Cambria Math" w:eastAsia="Malgun Gothic" w:hAnsi="Cambria Math" w:cs="宋体"/>
                      <w:lang w:val="en-GB" w:eastAsia="ko-KR"/>
                    </w:rPr>
                  </m:ctrlPr>
                </m:sSubSupPr>
                <m:e>
                  <m:r>
                    <m:rPr>
                      <m:sty m:val="p"/>
                    </m:rPr>
                    <w:rPr>
                      <w:rFonts w:ascii="Cambria Math" w:eastAsia="Malgun Gothic" w:hAnsi="Cambria Math" w:cs="宋体"/>
                      <w:lang w:val="en-GB" w:eastAsia="ko-KR"/>
                    </w:rPr>
                    <m:t>W</m:t>
                  </m:r>
                </m:e>
                <m:sub>
                  <m:r>
                    <m:rPr>
                      <m:sty m:val="p"/>
                    </m:rPr>
                    <w:rPr>
                      <w:rFonts w:ascii="Cambria Math" w:eastAsia="Malgun Gothic" w:hAnsi="Cambria Math" w:cs="宋体"/>
                      <w:lang w:val="en-GB" w:eastAsia="ko-KR"/>
                    </w:rPr>
                    <m:t>in,0</m:t>
                  </m:r>
                </m:sub>
                <m:sup>
                  <m:r>
                    <m:rPr>
                      <m:sty m:val="p"/>
                    </m:rPr>
                    <w:rPr>
                      <w:rFonts w:ascii="Cambria Math" w:eastAsia="Malgun Gothic" w:hAnsi="Cambria Math" w:cs="宋体"/>
                      <w:lang w:val="en-GB" w:eastAsia="ko-KR"/>
                    </w:rPr>
                    <m:t>l</m:t>
                  </m:r>
                </m:sup>
              </m:sSubSup>
              <m:r>
                <m:rPr>
                  <m:sty m:val="p"/>
                </m:rPr>
                <w:rPr>
                  <w:rFonts w:ascii="Cambria Math" w:eastAsia="Malgun Gothic" w:hAnsi="Cambria Math" w:cs="宋体"/>
                  <w:lang w:val="en-GB" w:eastAsia="ko-KR"/>
                </w:rPr>
                <m:t xml:space="preserve">, </m:t>
              </m:r>
              <m:sSubSup>
                <m:sSubSupPr>
                  <m:ctrlPr>
                    <w:rPr>
                      <w:rFonts w:ascii="Cambria Math" w:eastAsia="Malgun Gothic" w:hAnsi="Cambria Math" w:cs="宋体"/>
                      <w:lang w:val="en-GB" w:eastAsia="ko-KR"/>
                    </w:rPr>
                  </m:ctrlPr>
                </m:sSubSupPr>
                <m:e>
                  <m:r>
                    <m:rPr>
                      <m:sty m:val="p"/>
                    </m:rPr>
                    <w:rPr>
                      <w:rFonts w:ascii="Cambria Math" w:eastAsia="Malgun Gothic" w:hAnsi="Cambria Math" w:cs="宋体"/>
                      <w:lang w:val="en-GB" w:eastAsia="ko-KR"/>
                    </w:rPr>
                    <m:t>W</m:t>
                  </m:r>
                </m:e>
                <m:sub>
                  <m:r>
                    <m:rPr>
                      <m:sty m:val="p"/>
                    </m:rPr>
                    <w:rPr>
                      <w:rFonts w:ascii="Cambria Math" w:eastAsia="Malgun Gothic" w:hAnsi="Cambria Math" w:cs="宋体"/>
                      <w:lang w:val="en-GB" w:eastAsia="ko-KR"/>
                    </w:rPr>
                    <m:t>in,1</m:t>
                  </m:r>
                </m:sub>
                <m:sup>
                  <m:r>
                    <m:rPr>
                      <m:sty m:val="p"/>
                    </m:rPr>
                    <w:rPr>
                      <w:rFonts w:ascii="Cambria Math" w:eastAsia="Malgun Gothic" w:hAnsi="Cambria Math" w:cs="宋体"/>
                      <w:lang w:val="en-GB" w:eastAsia="ko-KR"/>
                    </w:rPr>
                    <m:t>l</m:t>
                  </m:r>
                </m:sup>
              </m:sSubSup>
              <m:r>
                <m:rPr>
                  <m:sty m:val="p"/>
                </m:rPr>
                <w:rPr>
                  <w:rFonts w:ascii="Cambria Math" w:eastAsia="Malgun Gothic" w:hAnsi="Cambria Math" w:cs="宋体"/>
                  <w:lang w:val="en-GB" w:eastAsia="ko-KR"/>
                </w:rPr>
                <m:t>,⋯,</m:t>
              </m:r>
              <m:sSubSup>
                <m:sSubSupPr>
                  <m:ctrlPr>
                    <w:rPr>
                      <w:rFonts w:ascii="Cambria Math" w:eastAsia="Malgun Gothic" w:hAnsi="Cambria Math" w:cs="宋体"/>
                      <w:lang w:val="en-GB" w:eastAsia="ko-KR"/>
                    </w:rPr>
                  </m:ctrlPr>
                </m:sSubSupPr>
                <m:e>
                  <m:r>
                    <m:rPr>
                      <m:sty m:val="p"/>
                    </m:rPr>
                    <w:rPr>
                      <w:rFonts w:ascii="Cambria Math" w:eastAsia="Malgun Gothic" w:hAnsi="Cambria Math" w:cs="宋体"/>
                      <w:lang w:val="en-GB" w:eastAsia="ko-KR"/>
                    </w:rPr>
                    <m:t>W</m:t>
                  </m:r>
                </m:e>
                <m:sub>
                  <m:r>
                    <m:rPr>
                      <m:sty m:val="p"/>
                    </m:rPr>
                    <w:rPr>
                      <w:rFonts w:ascii="Cambria Math" w:eastAsia="Malgun Gothic" w:hAnsi="Cambria Math" w:cs="宋体"/>
                      <w:lang w:val="en-GB" w:eastAsia="ko-KR"/>
                    </w:rPr>
                    <m:t xml:space="preserve">in, </m:t>
                  </m:r>
                  <m:sSub>
                    <m:sSubPr>
                      <m:ctrlPr>
                        <w:rPr>
                          <w:rFonts w:ascii="Cambria Math" w:eastAsia="Malgun Gothic" w:hAnsi="Cambria Math" w:cs="宋体"/>
                          <w:lang w:val="en-GB" w:eastAsia="ko-KR"/>
                        </w:rPr>
                      </m:ctrlPr>
                    </m:sSubPr>
                    <m:e>
                      <m:r>
                        <m:rPr>
                          <m:sty m:val="p"/>
                        </m:rPr>
                        <w:rPr>
                          <w:rFonts w:ascii="Cambria Math" w:eastAsia="Malgun Gothic" w:hAnsi="Cambria Math" w:cs="宋体"/>
                          <w:lang w:val="en-GB" w:eastAsia="ko-KR"/>
                        </w:rPr>
                        <m:t>N</m:t>
                      </m:r>
                    </m:e>
                    <m:sub>
                      <m:r>
                        <m:rPr>
                          <m:sty m:val="p"/>
                        </m:rPr>
                        <w:rPr>
                          <w:rFonts w:ascii="Cambria Math" w:eastAsia="Malgun Gothic" w:hAnsi="Cambria Math" w:cs="宋体"/>
                          <w:lang w:val="en-GB" w:eastAsia="ko-KR"/>
                        </w:rPr>
                        <m:t>sb</m:t>
                      </m:r>
                    </m:sub>
                  </m:sSub>
                  <m:r>
                    <m:rPr>
                      <m:sty m:val="p"/>
                    </m:rPr>
                    <w:rPr>
                      <w:rFonts w:ascii="Cambria Math" w:eastAsia="Malgun Gothic" w:hAnsi="Cambria Math" w:cs="宋体"/>
                      <w:lang w:val="en-GB" w:eastAsia="ko-KR"/>
                    </w:rPr>
                    <m:t>-1</m:t>
                  </m:r>
                </m:sub>
                <m:sup>
                  <m:r>
                    <m:rPr>
                      <m:sty m:val="p"/>
                    </m:rPr>
                    <w:rPr>
                      <w:rFonts w:ascii="Cambria Math" w:eastAsia="Malgun Gothic" w:hAnsi="Cambria Math" w:cs="宋体"/>
                      <w:lang w:val="en-GB" w:eastAsia="ko-KR"/>
                    </w:rPr>
                    <m:t>l</m:t>
                  </m:r>
                </m:sup>
              </m:sSubSup>
              <m:r>
                <m:rPr>
                  <m:sty m:val="p"/>
                </m:rPr>
                <w:rPr>
                  <w:rFonts w:ascii="Cambria Math" w:eastAsia="Malgun Gothic" w:hAnsi="Cambria Math" w:cs="宋体"/>
                  <w:lang w:val="en-GB" w:eastAsia="ko-KR"/>
                </w:rPr>
                <m:t>]</m:t>
              </m:r>
            </m:oMath>
            <w:r w:rsidRPr="00C91A92">
              <w:rPr>
                <w:rFonts w:ascii="Times New Roman" w:eastAsia="Malgun Gothic" w:hAnsi="Times New Roman" w:cs="宋体"/>
                <w:lang w:val="en-GB" w:eastAsia="ko-KR"/>
              </w:rPr>
              <w:t xml:space="preserve"> with </w:t>
            </w:r>
            <m:oMath>
              <m:sSubSup>
                <m:sSubSupPr>
                  <m:ctrlPr>
                    <w:rPr>
                      <w:rFonts w:ascii="Cambria Math" w:eastAsia="Malgun Gothic" w:hAnsi="Cambria Math" w:cs="宋体"/>
                      <w:lang w:val="en-GB" w:eastAsia="ko-KR"/>
                    </w:rPr>
                  </m:ctrlPr>
                </m:sSubSupPr>
                <m:e>
                  <m:r>
                    <m:rPr>
                      <m:sty m:val="p"/>
                    </m:rPr>
                    <w:rPr>
                      <w:rFonts w:ascii="Cambria Math" w:eastAsia="Malgun Gothic" w:hAnsi="Cambria Math" w:cs="宋体"/>
                      <w:lang w:val="en-GB" w:eastAsia="ko-KR"/>
                    </w:rPr>
                    <m:t>W</m:t>
                  </m:r>
                </m:e>
                <m:sub>
                  <m:r>
                    <m:rPr>
                      <m:sty m:val="p"/>
                    </m:rPr>
                    <w:rPr>
                      <w:rFonts w:ascii="Cambria Math" w:eastAsia="Malgun Gothic" w:hAnsi="Cambria Math" w:cs="宋体"/>
                      <w:lang w:val="en-GB" w:eastAsia="ko-KR"/>
                    </w:rPr>
                    <m:t>in,k</m:t>
                  </m:r>
                </m:sub>
                <m:sup>
                  <m:r>
                    <m:rPr>
                      <m:sty m:val="p"/>
                    </m:rPr>
                    <w:rPr>
                      <w:rFonts w:ascii="Cambria Math" w:eastAsia="Malgun Gothic" w:hAnsi="Cambria Math" w:cs="宋体"/>
                      <w:lang w:val="en-GB" w:eastAsia="ko-KR"/>
                    </w:rPr>
                    <m:t>l</m:t>
                  </m:r>
                </m:sup>
              </m:sSubSup>
            </m:oMath>
            <w:r w:rsidRPr="00C91A92">
              <w:rPr>
                <w:rFonts w:ascii="Times New Roman" w:eastAsia="Malgun Gothic" w:hAnsi="Times New Roman" w:cs="宋体"/>
                <w:lang w:val="en-GB" w:eastAsia="ko-KR"/>
              </w:rPr>
              <w:t xml:space="preserve"> being a </w:t>
            </w:r>
            <m:oMath>
              <m:r>
                <m:rPr>
                  <m:sty m:val="p"/>
                </m:rPr>
                <w:rPr>
                  <w:rFonts w:ascii="Cambria Math" w:eastAsia="Malgun Gothic" w:hAnsi="Cambria Math" w:cs="宋体"/>
                  <w:lang w:val="en-GB" w:eastAsia="ko-KR"/>
                </w:rPr>
                <m:t>P×1</m:t>
              </m:r>
            </m:oMath>
            <w:r w:rsidRPr="00C91A92">
              <w:rPr>
                <w:rFonts w:ascii="Times New Roman" w:eastAsia="Malgun Gothic" w:hAnsi="Times New Roman" w:cs="宋体"/>
                <w:lang w:val="en-GB" w:eastAsia="ko-KR"/>
              </w:rPr>
              <w:t xml:space="preserve"> vector.</w:t>
            </w:r>
          </w:p>
          <w:p w14:paraId="0B4B63C6" w14:textId="6C8669ED" w:rsidR="00C91A92" w:rsidRPr="00C91A92" w:rsidRDefault="00C91A92" w:rsidP="00C91A92">
            <w:pPr>
              <w:pStyle w:val="aa"/>
              <w:numPr>
                <w:ilvl w:val="0"/>
                <w:numId w:val="29"/>
              </w:numPr>
              <w:suppressAutoHyphens/>
              <w:contextualSpacing/>
              <w:jc w:val="both"/>
              <w:rPr>
                <w:rFonts w:ascii="Times New Roman" w:eastAsia="Malgun Gothic" w:hAnsi="Times New Roman" w:cs="宋体"/>
                <w:lang w:val="en-GB" w:eastAsia="ko-KR"/>
              </w:rPr>
            </w:pPr>
            <w:r w:rsidRPr="00C91A92">
              <w:rPr>
                <w:rFonts w:ascii="Times New Roman" w:eastAsia="Malgun Gothic" w:hAnsi="Times New Roman" w:cs="宋体"/>
                <w:lang w:val="en-GB" w:eastAsia="ko-KR"/>
              </w:rPr>
              <w:t>Note: Only sub-band PMI reporting is supported.</w:t>
            </w:r>
          </w:p>
          <w:p w14:paraId="2CC4E8E3" w14:textId="67C4FDD9" w:rsidR="009A462C" w:rsidRDefault="009A462C" w:rsidP="00DA13A1">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r>
              <w:rPr>
                <w:rFonts w:eastAsia="等线" w:cs="Times New Roman"/>
                <w:b/>
                <w:bCs/>
                <w:lang w:val="en-GB"/>
              </w:rPr>
              <w:t>bis</w:t>
            </w:r>
          </w:p>
          <w:p w14:paraId="1927222F" w14:textId="77777777" w:rsidR="009A462C" w:rsidRPr="00D1209C" w:rsidRDefault="009A462C" w:rsidP="00DA13A1">
            <w:pPr>
              <w:rPr>
                <w:rFonts w:eastAsia="Malgun Gothic"/>
                <w:lang w:val="en-GB" w:eastAsia="ko-KR"/>
              </w:rPr>
            </w:pPr>
            <w:r w:rsidRPr="00D1209C">
              <w:rPr>
                <w:rFonts w:eastAsia="Malgun Gothic"/>
                <w:lang w:val="en-GB" w:eastAsia="ko-KR"/>
              </w:rPr>
              <w:t xml:space="preserve">For determining the payload parameters combinations </w:t>
            </w:r>
            <m:oMath>
              <m:d>
                <m:dPr>
                  <m:begChr m:val="{"/>
                  <m:endChr m:val="}"/>
                  <m:ctrlPr>
                    <w:rPr>
                      <w:rFonts w:ascii="Cambria Math" w:eastAsia="Malgun Gothic" w:hAnsi="Cambria Math"/>
                      <w:lang w:val="en-GB" w:eastAsia="ko-KR"/>
                    </w:rPr>
                  </m:ctrlPr>
                </m:dPr>
                <m:e>
                  <m:sSup>
                    <m:sSupPr>
                      <m:ctrlPr>
                        <w:rPr>
                          <w:rFonts w:ascii="Cambria Math" w:eastAsia="Malgun Gothic" w:hAnsi="Cambria Math"/>
                          <w:lang w:val="en-GB" w:eastAsia="ko-KR"/>
                        </w:rPr>
                      </m:ctrlPr>
                    </m:sSupPr>
                    <m:e>
                      <m:r>
                        <m:rPr>
                          <m:sty m:val="p"/>
                        </m:rPr>
                        <w:rPr>
                          <w:rFonts w:ascii="Cambria Math" w:eastAsia="Malgun Gothic" w:hAnsi="Cambria Math"/>
                          <w:lang w:val="en-GB" w:eastAsia="ko-KR"/>
                        </w:rPr>
                        <m:t>d</m:t>
                      </m:r>
                    </m:e>
                    <m:sup>
                      <m:r>
                        <m:rPr>
                          <m:sty m:val="p"/>
                        </m:rPr>
                        <w:rPr>
                          <w:rFonts w:ascii="Cambria Math" w:eastAsia="Malgun Gothic" w:hAnsi="Cambria Math"/>
                          <w:lang w:val="en-GB" w:eastAsia="ko-KR"/>
                        </w:rPr>
                        <m:t>l,ν</m:t>
                      </m:r>
                    </m:sup>
                  </m:sSup>
                  <m:r>
                    <m:rPr>
                      <m:sty m:val="p"/>
                    </m:rPr>
                    <w:rPr>
                      <w:rFonts w:ascii="Cambria Math" w:eastAsia="Malgun Gothic" w:hAnsi="Cambria Math"/>
                      <w:lang w:val="en-GB" w:eastAsia="ko-KR"/>
                    </w:rPr>
                    <m:t>,</m:t>
                  </m:r>
                  <m:sSup>
                    <m:sSupPr>
                      <m:ctrlPr>
                        <w:rPr>
                          <w:rFonts w:ascii="Cambria Math" w:eastAsia="Malgun Gothic" w:hAnsi="Cambria Math"/>
                          <w:lang w:val="en-GB" w:eastAsia="ko-KR"/>
                        </w:rPr>
                      </m:ctrlPr>
                    </m:sSupPr>
                    <m:e>
                      <m:r>
                        <m:rPr>
                          <m:sty m:val="p"/>
                        </m:rPr>
                        <w:rPr>
                          <w:rFonts w:ascii="Cambria Math" w:eastAsia="Malgun Gothic" w:hAnsi="Cambria Math"/>
                          <w:lang w:val="en-GB" w:eastAsia="ko-KR"/>
                        </w:rPr>
                        <m:t>Q</m:t>
                      </m:r>
                    </m:e>
                    <m:sup>
                      <m:r>
                        <m:rPr>
                          <m:sty m:val="p"/>
                        </m:rPr>
                        <w:rPr>
                          <w:rFonts w:ascii="Cambria Math" w:eastAsia="Malgun Gothic" w:hAnsi="Cambria Math"/>
                          <w:lang w:val="en-GB" w:eastAsia="ko-KR"/>
                        </w:rPr>
                        <m:t>l,ν</m:t>
                      </m:r>
                    </m:sup>
                  </m:sSup>
                </m:e>
              </m:d>
            </m:oMath>
            <w:r w:rsidRPr="00D1209C">
              <w:rPr>
                <w:rFonts w:eastAsia="Malgun Gothic"/>
                <w:lang w:val="en-GB" w:eastAsia="ko-KR"/>
              </w:rPr>
              <w:t xml:space="preserve"> or </w:t>
            </w:r>
            <m:oMath>
              <m:d>
                <m:dPr>
                  <m:begChr m:val="{"/>
                  <m:endChr m:val="}"/>
                  <m:ctrlPr>
                    <w:rPr>
                      <w:rFonts w:ascii="Cambria Math" w:eastAsia="Malgun Gothic" w:hAnsi="Cambria Math"/>
                      <w:lang w:val="en-GB" w:eastAsia="ko-KR"/>
                    </w:rPr>
                  </m:ctrlPr>
                </m:dPr>
                <m:e>
                  <m:sSup>
                    <m:sSupPr>
                      <m:ctrlPr>
                        <w:rPr>
                          <w:rFonts w:ascii="Cambria Math" w:eastAsia="Malgun Gothic" w:hAnsi="Cambria Math"/>
                          <w:lang w:val="en-GB" w:eastAsia="ko-KR"/>
                        </w:rPr>
                      </m:ctrlPr>
                    </m:sSupPr>
                    <m:e>
                      <m:r>
                        <m:rPr>
                          <m:sty m:val="p"/>
                        </m:rPr>
                        <w:rPr>
                          <w:rFonts w:ascii="Cambria Math" w:eastAsia="Malgun Gothic" w:hAnsi="Cambria Math"/>
                          <w:lang w:val="en-GB" w:eastAsia="ko-KR"/>
                        </w:rPr>
                        <m:t>d</m:t>
                      </m:r>
                    </m:e>
                    <m:sup>
                      <m:r>
                        <m:rPr>
                          <m:sty m:val="p"/>
                        </m:rPr>
                        <w:rPr>
                          <w:rFonts w:ascii="Cambria Math" w:eastAsia="Malgun Gothic" w:hAnsi="Cambria Math"/>
                          <w:lang w:val="en-GB" w:eastAsia="ko-KR"/>
                        </w:rPr>
                        <m:t>l,ν</m:t>
                      </m:r>
                    </m:sup>
                  </m:sSup>
                  <m:r>
                    <m:rPr>
                      <m:sty m:val="p"/>
                    </m:rPr>
                    <w:rPr>
                      <w:rFonts w:ascii="Cambria Math" w:eastAsia="Malgun Gothic" w:hAnsi="Cambria Math"/>
                      <w:lang w:val="en-GB" w:eastAsia="ko-KR"/>
                    </w:rPr>
                    <m:t>,L,</m:t>
                  </m:r>
                  <m:sSup>
                    <m:sSupPr>
                      <m:ctrlPr>
                        <w:rPr>
                          <w:rFonts w:ascii="Cambria Math" w:eastAsia="Malgun Gothic" w:hAnsi="Cambria Math"/>
                          <w:lang w:val="en-GB" w:eastAsia="ko-KR"/>
                        </w:rPr>
                      </m:ctrlPr>
                    </m:sSupPr>
                    <m:e>
                      <m:r>
                        <m:rPr>
                          <m:sty m:val="p"/>
                        </m:rPr>
                        <w:rPr>
                          <w:rFonts w:ascii="Cambria Math" w:eastAsia="Malgun Gothic" w:hAnsi="Cambria Math"/>
                          <w:lang w:val="en-GB" w:eastAsia="ko-KR"/>
                        </w:rPr>
                        <m:t>Q</m:t>
                      </m:r>
                    </m:e>
                    <m:sup>
                      <m:r>
                        <m:rPr>
                          <m:sty m:val="p"/>
                        </m:rPr>
                        <w:rPr>
                          <w:rFonts w:ascii="Cambria Math" w:eastAsia="Malgun Gothic" w:hAnsi="Cambria Math"/>
                          <w:lang w:val="en-GB" w:eastAsia="ko-KR"/>
                        </w:rPr>
                        <m:t>l,ν</m:t>
                      </m:r>
                    </m:sup>
                  </m:sSup>
                </m:e>
              </m:d>
            </m:oMath>
            <w:r w:rsidRPr="00D1209C">
              <w:rPr>
                <w:rFonts w:eastAsia="Malgun Gothic"/>
                <w:lang w:val="en-GB" w:eastAsia="ko-KR"/>
              </w:rPr>
              <w:t xml:space="preserve">  across all layers and ranks, consider following general principles for precoding matrix-based target CSI</w:t>
            </w:r>
          </w:p>
          <w:p w14:paraId="0D573720" w14:textId="77777777" w:rsidR="009A462C" w:rsidRPr="00D1209C" w:rsidRDefault="009A462C" w:rsidP="009A462C">
            <w:pPr>
              <w:pStyle w:val="aa"/>
              <w:numPr>
                <w:ilvl w:val="0"/>
                <w:numId w:val="26"/>
              </w:numPr>
              <w:spacing w:after="160" w:line="278" w:lineRule="auto"/>
              <w:contextualSpacing/>
              <w:rPr>
                <w:rFonts w:ascii="Times New Roman" w:eastAsia="Malgun Gothic" w:hAnsi="Times New Roman" w:cs="宋体"/>
                <w:lang w:val="en-GB" w:eastAsia="ko-KR"/>
              </w:rPr>
            </w:pPr>
            <w:r w:rsidRPr="00D1209C">
              <w:rPr>
                <w:rFonts w:ascii="Times New Roman" w:eastAsia="Malgun Gothic" w:hAnsi="Times New Roman" w:cs="宋体"/>
                <w:lang w:val="en-GB" w:eastAsia="ko-KR"/>
              </w:rPr>
              <w:t xml:space="preserve">Rank-common and layer-common model with payload-scalable design is considered as the baseline implementation for discussion purpose. </w:t>
            </w:r>
          </w:p>
          <w:p w14:paraId="65EA7621" w14:textId="77777777" w:rsidR="009A462C" w:rsidRPr="00D1209C" w:rsidRDefault="009A462C" w:rsidP="009A462C">
            <w:pPr>
              <w:pStyle w:val="aa"/>
              <w:numPr>
                <w:ilvl w:val="1"/>
                <w:numId w:val="26"/>
              </w:numPr>
              <w:spacing w:after="160" w:line="278" w:lineRule="auto"/>
              <w:contextualSpacing/>
              <w:rPr>
                <w:rFonts w:ascii="Times New Roman" w:eastAsia="Malgun Gothic" w:hAnsi="Times New Roman" w:cs="宋体"/>
                <w:lang w:val="en-GB" w:eastAsia="ko-KR"/>
              </w:rPr>
            </w:pPr>
            <w:r w:rsidRPr="00D1209C">
              <w:rPr>
                <w:rFonts w:ascii="Times New Roman" w:eastAsia="Malgun Gothic" w:hAnsi="Times New Roman" w:cs="宋体"/>
                <w:lang w:val="en-GB" w:eastAsia="ko-KR"/>
              </w:rPr>
              <w:t>Note: layer-specific / rank-specific (if supported) payload parameters are supported by this rank-common and layer-common model with payload-scalable design.</w:t>
            </w:r>
          </w:p>
          <w:p w14:paraId="6EC2AFF8" w14:textId="77777777" w:rsidR="009A462C" w:rsidRPr="00D1209C" w:rsidRDefault="009A462C" w:rsidP="009A462C">
            <w:pPr>
              <w:pStyle w:val="aa"/>
              <w:numPr>
                <w:ilvl w:val="0"/>
                <w:numId w:val="26"/>
              </w:numPr>
              <w:spacing w:after="160" w:line="278" w:lineRule="auto"/>
              <w:contextualSpacing/>
              <w:rPr>
                <w:rFonts w:ascii="Times New Roman" w:eastAsia="Malgun Gothic" w:hAnsi="Times New Roman" w:cs="宋体"/>
                <w:lang w:val="en-GB" w:eastAsia="ko-KR"/>
              </w:rPr>
            </w:pPr>
            <w:r w:rsidRPr="00D1209C">
              <w:rPr>
                <w:rFonts w:ascii="Times New Roman" w:eastAsia="Malgun Gothic" w:hAnsi="Times New Roman" w:cs="宋体"/>
                <w:lang w:val="en-GB" w:eastAsia="ko-KR"/>
              </w:rPr>
              <w:t xml:space="preserve">Limiting the total number of (per-layer) payload parameters combinations </w:t>
            </w:r>
            <m:oMath>
              <m:d>
                <m:dPr>
                  <m:begChr m:val="{"/>
                  <m:endChr m:val="}"/>
                  <m:ctrlPr>
                    <w:rPr>
                      <w:rFonts w:ascii="Cambria Math" w:eastAsia="Malgun Gothic" w:hAnsi="Cambria Math" w:cs="宋体"/>
                      <w:lang w:val="en-GB" w:eastAsia="ko-KR"/>
                    </w:rPr>
                  </m:ctrlPr>
                </m:dPr>
                <m:e>
                  <m:sSup>
                    <m:sSupPr>
                      <m:ctrlPr>
                        <w:rPr>
                          <w:rFonts w:ascii="Cambria Math" w:eastAsia="Malgun Gothic" w:hAnsi="Cambria Math" w:cs="宋体"/>
                          <w:lang w:val="en-GB" w:eastAsia="ko-KR"/>
                        </w:rPr>
                      </m:ctrlPr>
                    </m:sSupPr>
                    <m:e>
                      <m:r>
                        <m:rPr>
                          <m:sty m:val="p"/>
                        </m:rPr>
                        <w:rPr>
                          <w:rFonts w:ascii="Cambria Math" w:eastAsia="Malgun Gothic" w:hAnsi="Cambria Math" w:cs="宋体"/>
                          <w:lang w:val="en-GB" w:eastAsia="ko-KR"/>
                        </w:rPr>
                        <m:t>d</m:t>
                      </m:r>
                    </m:e>
                    <m:sup>
                      <m:r>
                        <m:rPr>
                          <m:sty m:val="p"/>
                        </m:rPr>
                        <w:rPr>
                          <w:rFonts w:ascii="Cambria Math" w:eastAsia="Malgun Gothic" w:hAnsi="Cambria Math" w:cs="宋体"/>
                          <w:lang w:val="en-GB" w:eastAsia="ko-KR"/>
                        </w:rPr>
                        <m:t>l,ν</m:t>
                      </m:r>
                    </m:sup>
                  </m:sSup>
                  <m:r>
                    <m:rPr>
                      <m:sty m:val="p"/>
                    </m:rPr>
                    <w:rPr>
                      <w:rFonts w:ascii="Cambria Math" w:eastAsia="Malgun Gothic" w:hAnsi="Cambria Math" w:cs="宋体"/>
                      <w:lang w:val="en-GB" w:eastAsia="ko-KR"/>
                    </w:rPr>
                    <m:t>,</m:t>
                  </m:r>
                  <m:sSup>
                    <m:sSupPr>
                      <m:ctrlPr>
                        <w:rPr>
                          <w:rFonts w:ascii="Cambria Math" w:eastAsia="Malgun Gothic" w:hAnsi="Cambria Math" w:cs="宋体"/>
                          <w:lang w:val="en-GB" w:eastAsia="ko-KR"/>
                        </w:rPr>
                      </m:ctrlPr>
                    </m:sSupPr>
                    <m:e>
                      <m:r>
                        <m:rPr>
                          <m:sty m:val="p"/>
                        </m:rPr>
                        <w:rPr>
                          <w:rFonts w:ascii="Cambria Math" w:eastAsia="Malgun Gothic" w:hAnsi="Cambria Math" w:cs="宋体"/>
                          <w:lang w:val="en-GB" w:eastAsia="ko-KR"/>
                        </w:rPr>
                        <m:t>Q</m:t>
                      </m:r>
                    </m:e>
                    <m:sup>
                      <m:r>
                        <m:rPr>
                          <m:sty m:val="p"/>
                        </m:rPr>
                        <w:rPr>
                          <w:rFonts w:ascii="Cambria Math" w:eastAsia="Malgun Gothic" w:hAnsi="Cambria Math" w:cs="宋体"/>
                          <w:lang w:val="en-GB" w:eastAsia="ko-KR"/>
                        </w:rPr>
                        <m:t>l,ν</m:t>
                      </m:r>
                    </m:sup>
                  </m:sSup>
                </m:e>
              </m:d>
            </m:oMath>
            <w:r w:rsidRPr="00D1209C">
              <w:rPr>
                <w:rFonts w:ascii="Times New Roman" w:eastAsia="Malgun Gothic" w:hAnsi="Times New Roman" w:cs="宋体"/>
                <w:lang w:val="en-GB" w:eastAsia="ko-KR"/>
              </w:rPr>
              <w:t xml:space="preserve"> or </w:t>
            </w:r>
            <m:oMath>
              <m:d>
                <m:dPr>
                  <m:begChr m:val="{"/>
                  <m:endChr m:val="}"/>
                  <m:ctrlPr>
                    <w:rPr>
                      <w:rFonts w:ascii="Cambria Math" w:eastAsia="Malgun Gothic" w:hAnsi="Cambria Math" w:cs="宋体"/>
                      <w:lang w:val="en-GB" w:eastAsia="ko-KR"/>
                    </w:rPr>
                  </m:ctrlPr>
                </m:dPr>
                <m:e>
                  <m:sSup>
                    <m:sSupPr>
                      <m:ctrlPr>
                        <w:rPr>
                          <w:rFonts w:ascii="Cambria Math" w:eastAsia="Malgun Gothic" w:hAnsi="Cambria Math" w:cs="宋体"/>
                          <w:lang w:val="en-GB" w:eastAsia="ko-KR"/>
                        </w:rPr>
                      </m:ctrlPr>
                    </m:sSupPr>
                    <m:e>
                      <m:r>
                        <m:rPr>
                          <m:sty m:val="p"/>
                        </m:rPr>
                        <w:rPr>
                          <w:rFonts w:ascii="Cambria Math" w:eastAsia="Malgun Gothic" w:hAnsi="Cambria Math" w:cs="宋体"/>
                          <w:lang w:val="en-GB" w:eastAsia="ko-KR"/>
                        </w:rPr>
                        <m:t>d</m:t>
                      </m:r>
                    </m:e>
                    <m:sup>
                      <m:r>
                        <m:rPr>
                          <m:sty m:val="p"/>
                        </m:rPr>
                        <w:rPr>
                          <w:rFonts w:ascii="Cambria Math" w:eastAsia="Malgun Gothic" w:hAnsi="Cambria Math" w:cs="宋体"/>
                          <w:lang w:val="en-GB" w:eastAsia="ko-KR"/>
                        </w:rPr>
                        <m:t>l,ν</m:t>
                      </m:r>
                    </m:sup>
                  </m:sSup>
                  <m:r>
                    <m:rPr>
                      <m:sty m:val="p"/>
                    </m:rPr>
                    <w:rPr>
                      <w:rFonts w:ascii="Cambria Math" w:eastAsia="Malgun Gothic" w:hAnsi="Cambria Math" w:cs="宋体"/>
                      <w:lang w:val="en-GB" w:eastAsia="ko-KR"/>
                    </w:rPr>
                    <m:t>,L,</m:t>
                  </m:r>
                  <m:sSup>
                    <m:sSupPr>
                      <m:ctrlPr>
                        <w:rPr>
                          <w:rFonts w:ascii="Cambria Math" w:eastAsia="Malgun Gothic" w:hAnsi="Cambria Math" w:cs="宋体"/>
                          <w:lang w:val="en-GB" w:eastAsia="ko-KR"/>
                        </w:rPr>
                      </m:ctrlPr>
                    </m:sSupPr>
                    <m:e>
                      <m:r>
                        <m:rPr>
                          <m:sty m:val="p"/>
                        </m:rPr>
                        <w:rPr>
                          <w:rFonts w:ascii="Cambria Math" w:eastAsia="Malgun Gothic" w:hAnsi="Cambria Math" w:cs="宋体"/>
                          <w:lang w:val="en-GB" w:eastAsia="ko-KR"/>
                        </w:rPr>
                        <m:t>Q</m:t>
                      </m:r>
                    </m:e>
                    <m:sup>
                      <m:r>
                        <m:rPr>
                          <m:sty m:val="p"/>
                        </m:rPr>
                        <w:rPr>
                          <w:rFonts w:ascii="Cambria Math" w:eastAsia="Malgun Gothic" w:hAnsi="Cambria Math" w:cs="宋体"/>
                          <w:lang w:val="en-GB" w:eastAsia="ko-KR"/>
                        </w:rPr>
                        <m:t>l,ν</m:t>
                      </m:r>
                    </m:sup>
                  </m:sSup>
                </m:e>
              </m:d>
            </m:oMath>
            <w:r w:rsidRPr="00D1209C">
              <w:rPr>
                <w:rFonts w:ascii="Times New Roman" w:eastAsia="Malgun Gothic" w:hAnsi="Times New Roman" w:cs="宋体"/>
                <w:lang w:val="en-GB" w:eastAsia="ko-KR"/>
              </w:rPr>
              <w:t xml:space="preserve">  across all layers and all ranks.</w:t>
            </w:r>
          </w:p>
          <w:p w14:paraId="3DE5B115" w14:textId="77777777" w:rsidR="009A462C" w:rsidRPr="00D1209C" w:rsidRDefault="009A462C" w:rsidP="009A462C">
            <w:pPr>
              <w:pStyle w:val="aa"/>
              <w:numPr>
                <w:ilvl w:val="0"/>
                <w:numId w:val="26"/>
              </w:numPr>
              <w:spacing w:after="160" w:line="278" w:lineRule="auto"/>
              <w:contextualSpacing/>
              <w:rPr>
                <w:rFonts w:ascii="Times New Roman" w:eastAsia="Malgun Gothic" w:hAnsi="Times New Roman" w:cs="宋体"/>
                <w:lang w:val="en-GB" w:eastAsia="ko-KR"/>
              </w:rPr>
            </w:pPr>
            <w:r w:rsidRPr="00D1209C">
              <w:rPr>
                <w:rFonts w:ascii="Times New Roman" w:eastAsia="Malgun Gothic" w:hAnsi="Times New Roman" w:cs="宋体"/>
                <w:lang w:val="en-GB" w:eastAsia="ko-KR"/>
              </w:rPr>
              <w:t>At least for medium to high per-layer payload regime, the total payload size of rank 2, rank 3 and 4 are comparable to each other.</w:t>
            </w:r>
          </w:p>
          <w:p w14:paraId="2FC7535D" w14:textId="77777777" w:rsidR="009A462C" w:rsidRPr="00D1209C" w:rsidRDefault="009A462C" w:rsidP="009A462C">
            <w:pPr>
              <w:pStyle w:val="aa"/>
              <w:numPr>
                <w:ilvl w:val="0"/>
                <w:numId w:val="26"/>
              </w:numPr>
              <w:spacing w:after="160" w:line="278" w:lineRule="auto"/>
              <w:contextualSpacing/>
              <w:rPr>
                <w:rFonts w:ascii="Times New Roman" w:eastAsia="Malgun Gothic" w:hAnsi="Times New Roman" w:cs="宋体"/>
                <w:lang w:val="en-GB" w:eastAsia="ko-KR"/>
              </w:rPr>
            </w:pPr>
            <w:r w:rsidRPr="00D1209C">
              <w:rPr>
                <w:rFonts w:ascii="Times New Roman" w:eastAsia="Malgun Gothic" w:hAnsi="Times New Roman" w:cs="宋体"/>
                <w:lang w:val="en-GB" w:eastAsia="ko-KR"/>
              </w:rPr>
              <w:t>Spectral efficiency or system throughput and trade-off with feedback overhead are considered as the performance metric.</w:t>
            </w:r>
          </w:p>
          <w:p w14:paraId="0CD5DD5F" w14:textId="77777777" w:rsidR="009A462C" w:rsidRPr="00D1209C" w:rsidRDefault="009A462C" w:rsidP="00DA13A1">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r>
              <w:rPr>
                <w:rFonts w:eastAsia="等线" w:cs="Times New Roman"/>
                <w:b/>
                <w:bCs/>
                <w:lang w:val="en-GB"/>
              </w:rPr>
              <w:t>bis</w:t>
            </w:r>
          </w:p>
          <w:p w14:paraId="039A3D0A" w14:textId="77777777" w:rsidR="009A462C" w:rsidRPr="00D1209C" w:rsidRDefault="009A462C" w:rsidP="00DA13A1">
            <w:pPr>
              <w:numPr>
                <w:ilvl w:val="0"/>
                <w:numId w:val="12"/>
              </w:numPr>
              <w:suppressAutoHyphens/>
              <w:snapToGrid w:val="0"/>
              <w:spacing w:before="120" w:after="120"/>
              <w:jc w:val="both"/>
              <w:rPr>
                <w:rFonts w:eastAsia="Batang" w:cs="Times New Roman"/>
                <w:lang w:val="en-GB" w:eastAsia="x-none"/>
              </w:rPr>
            </w:pPr>
            <w:r w:rsidRPr="00D1209C">
              <w:rPr>
                <w:rFonts w:eastAsia="Batang" w:cs="Times New Roman"/>
                <w:lang w:val="en-GB" w:eastAsia="x-none"/>
              </w:rPr>
              <w:t xml:space="preserve">When the Target CSI is precoder matrix, in order to down-select to N per-layer payload parameter combinations (PC) of </w:t>
            </w:r>
            <m:oMath>
              <m:d>
                <m:dPr>
                  <m:begChr m:val="{"/>
                  <m:endChr m:val="}"/>
                  <m:ctrlPr>
                    <w:rPr>
                      <w:rFonts w:ascii="Cambria Math" w:eastAsia="Batang" w:hAnsi="Cambria Math" w:cs="Times New Roman"/>
                      <w:lang w:val="en-GB" w:eastAsia="x-none"/>
                    </w:rPr>
                  </m:ctrlPr>
                </m:dPr>
                <m:e>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d</m:t>
                      </m:r>
                    </m:e>
                    <m:sup>
                      <m:r>
                        <m:rPr>
                          <m:sty m:val="p"/>
                        </m:rPr>
                        <w:rPr>
                          <w:rFonts w:ascii="Cambria Math" w:eastAsia="Batang" w:hAnsi="Cambria Math" w:cs="Times New Roman"/>
                          <w:lang w:val="en-GB" w:eastAsia="x-none"/>
                        </w:rPr>
                        <m:t>l,ν</m:t>
                      </m:r>
                    </m:sup>
                  </m:sSup>
                  <m:r>
                    <m:rPr>
                      <m:sty m:val="p"/>
                    </m:rPr>
                    <w:rPr>
                      <w:rFonts w:ascii="Cambria Math" w:eastAsia="Batang" w:hAnsi="Cambria Math" w:cs="Times New Roman"/>
                      <w:lang w:val="en-GB" w:eastAsia="x-none"/>
                    </w:rPr>
                    <m:t>,</m:t>
                  </m:r>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Q</m:t>
                      </m:r>
                    </m:e>
                    <m:sup>
                      <m:r>
                        <m:rPr>
                          <m:sty m:val="p"/>
                        </m:rPr>
                        <w:rPr>
                          <w:rFonts w:ascii="Cambria Math" w:eastAsia="Batang" w:hAnsi="Cambria Math" w:cs="Times New Roman"/>
                          <w:lang w:val="en-GB" w:eastAsia="x-none"/>
                        </w:rPr>
                        <m:t>l,ν</m:t>
                      </m:r>
                    </m:sup>
                  </m:sSup>
                </m:e>
              </m:d>
            </m:oMath>
            <w:r w:rsidRPr="00D1209C">
              <w:rPr>
                <w:rFonts w:eastAsia="Batang" w:cs="Times New Roman"/>
                <w:lang w:val="en-GB" w:eastAsia="x-none"/>
              </w:rPr>
              <w:t xml:space="preserve"> or </w:t>
            </w:r>
            <m:oMath>
              <m:d>
                <m:dPr>
                  <m:begChr m:val="{"/>
                  <m:endChr m:val="}"/>
                  <m:ctrlPr>
                    <w:rPr>
                      <w:rFonts w:ascii="Cambria Math" w:eastAsia="Batang" w:hAnsi="Cambria Math" w:cs="Times New Roman"/>
                      <w:lang w:val="en-GB" w:eastAsia="x-none"/>
                    </w:rPr>
                  </m:ctrlPr>
                </m:dPr>
                <m:e>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d</m:t>
                      </m:r>
                    </m:e>
                    <m:sup>
                      <m:r>
                        <m:rPr>
                          <m:sty m:val="p"/>
                        </m:rPr>
                        <w:rPr>
                          <w:rFonts w:ascii="Cambria Math" w:eastAsia="Batang" w:hAnsi="Cambria Math" w:cs="Times New Roman"/>
                          <w:lang w:val="en-GB" w:eastAsia="x-none"/>
                        </w:rPr>
                        <m:t>l,ν</m:t>
                      </m:r>
                    </m:sup>
                  </m:sSup>
                  <m:r>
                    <m:rPr>
                      <m:sty m:val="p"/>
                    </m:rPr>
                    <w:rPr>
                      <w:rFonts w:ascii="Cambria Math" w:eastAsia="Batang" w:hAnsi="Cambria Math" w:cs="Times New Roman"/>
                      <w:lang w:val="en-GB" w:eastAsia="x-none"/>
                    </w:rPr>
                    <m:t>, L,</m:t>
                  </m:r>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Q</m:t>
                      </m:r>
                    </m:e>
                    <m:sup>
                      <m:r>
                        <m:rPr>
                          <m:sty m:val="p"/>
                        </m:rPr>
                        <w:rPr>
                          <w:rFonts w:ascii="Cambria Math" w:eastAsia="Batang" w:hAnsi="Cambria Math" w:cs="Times New Roman"/>
                          <w:lang w:val="en-GB" w:eastAsia="x-none"/>
                        </w:rPr>
                        <m:t>l,ν</m:t>
                      </m:r>
                    </m:sup>
                  </m:sSup>
                </m:e>
              </m:d>
            </m:oMath>
            <w:r w:rsidRPr="00D1209C">
              <w:rPr>
                <w:rFonts w:eastAsia="Batang" w:cs="Times New Roman"/>
                <w:lang w:val="en-GB" w:eastAsia="x-none"/>
              </w:rPr>
              <w:t xml:space="preserve"> based on performance, overhead and complexity trade-off results, consider the following candidate values:</w:t>
            </w:r>
          </w:p>
          <w:p w14:paraId="4F244C99" w14:textId="7B0BC690" w:rsidR="009A462C" w:rsidRPr="006B14B7" w:rsidRDefault="00FF03EE" w:rsidP="00DA13A1">
            <w:pPr>
              <w:numPr>
                <w:ilvl w:val="0"/>
                <w:numId w:val="12"/>
              </w:numPr>
              <w:suppressAutoHyphens/>
              <w:snapToGrid w:val="0"/>
              <w:spacing w:before="120" w:after="120"/>
              <w:jc w:val="both"/>
              <w:rPr>
                <w:rFonts w:eastAsia="Batang" w:cs="Times New Roman"/>
                <w:lang w:val="en-GB" w:eastAsia="x-none"/>
              </w:rPr>
            </w:pPr>
            <w:r w:rsidRPr="00FF03EE">
              <w:rPr>
                <w:rFonts w:eastAsia="Batang" w:cs="Times New Roman"/>
                <w:lang w:val="en-GB" w:eastAsia="x-none"/>
              </w:rPr>
              <w:lastRenderedPageBreak/>
              <w:t>Candidate</w:t>
            </w:r>
            <w:r w:rsidR="009A462C" w:rsidRPr="006B14B7">
              <w:rPr>
                <w:rFonts w:eastAsia="Batang" w:cs="Times New Roman"/>
                <w:lang w:val="en-GB" w:eastAsia="x-none"/>
              </w:rPr>
              <w:t xml:space="preserve"> values for </w:t>
            </w:r>
            <m:oMath>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d</m:t>
                  </m:r>
                </m:e>
                <m:sup>
                  <m:r>
                    <m:rPr>
                      <m:sty m:val="p"/>
                    </m:rPr>
                    <w:rPr>
                      <w:rFonts w:ascii="Cambria Math" w:eastAsia="Batang" w:hAnsi="Cambria Math" w:cs="Times New Roman"/>
                      <w:lang w:val="en-GB" w:eastAsia="x-none"/>
                    </w:rPr>
                    <m:t>l,ν</m:t>
                  </m:r>
                </m:sup>
              </m:sSup>
            </m:oMath>
            <w:r w:rsidR="009A462C" w:rsidRPr="006B14B7">
              <w:rPr>
                <w:rFonts w:eastAsia="Batang" w:cs="Times New Roman"/>
                <w:lang w:val="en-GB" w:eastAsia="x-none"/>
              </w:rPr>
              <w:t>: 32, 64, 96, 128, 192</w:t>
            </w:r>
          </w:p>
          <w:p w14:paraId="3E9B6A9D" w14:textId="77777777" w:rsidR="009A462C" w:rsidRPr="006B14B7" w:rsidRDefault="009A462C" w:rsidP="00DA13A1">
            <w:pPr>
              <w:numPr>
                <w:ilvl w:val="0"/>
                <w:numId w:val="12"/>
              </w:numPr>
              <w:suppressAutoHyphens/>
              <w:snapToGrid w:val="0"/>
              <w:spacing w:before="120" w:after="120"/>
              <w:jc w:val="both"/>
              <w:rPr>
                <w:rFonts w:eastAsia="Batang" w:cs="Times New Roman"/>
                <w:lang w:val="en-GB" w:eastAsia="x-none"/>
              </w:rPr>
            </w:pPr>
            <w:r w:rsidRPr="006B14B7">
              <w:rPr>
                <w:rFonts w:eastAsia="Batang" w:cs="Times New Roman"/>
                <w:lang w:val="en-GB" w:eastAsia="x-none"/>
              </w:rPr>
              <w:t xml:space="preserve">Candidate values for </w:t>
            </w:r>
            <m:oMath>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Q</m:t>
                  </m:r>
                </m:e>
                <m:sup>
                  <m:r>
                    <m:rPr>
                      <m:sty m:val="p"/>
                    </m:rPr>
                    <w:rPr>
                      <w:rFonts w:ascii="Cambria Math" w:eastAsia="Batang" w:hAnsi="Cambria Math" w:cs="Times New Roman"/>
                      <w:lang w:val="en-GB" w:eastAsia="x-none"/>
                    </w:rPr>
                    <m:t>l,ν</m:t>
                  </m:r>
                </m:sup>
              </m:sSup>
            </m:oMath>
            <w:r w:rsidRPr="006B14B7">
              <w:rPr>
                <w:rFonts w:eastAsia="Batang" w:cs="Times New Roman"/>
                <w:lang w:val="en-GB" w:eastAsia="x-none"/>
              </w:rPr>
              <w:t>: 1, 2, 3, 4, (8, 10 only for VQ)</w:t>
            </w:r>
          </w:p>
          <w:p w14:paraId="6B55EB7D" w14:textId="77777777" w:rsidR="009A462C" w:rsidRPr="006B14B7" w:rsidRDefault="009A462C" w:rsidP="00DA13A1">
            <w:pPr>
              <w:numPr>
                <w:ilvl w:val="0"/>
                <w:numId w:val="12"/>
              </w:numPr>
              <w:suppressAutoHyphens/>
              <w:snapToGrid w:val="0"/>
              <w:spacing w:before="120" w:after="120"/>
              <w:jc w:val="both"/>
              <w:rPr>
                <w:rFonts w:eastAsia="Batang" w:cs="Times New Roman"/>
                <w:lang w:val="en-GB" w:eastAsia="x-none"/>
              </w:rPr>
            </w:pPr>
            <w:r w:rsidRPr="006B14B7">
              <w:rPr>
                <w:rFonts w:eastAsia="Batang" w:cs="Times New Roman"/>
                <w:lang w:val="en-GB" w:eastAsia="x-none"/>
              </w:rPr>
              <w:t>2 is considered as the baseline assumption for SQ.</w:t>
            </w:r>
          </w:p>
          <w:p w14:paraId="5A380E2C" w14:textId="77777777" w:rsidR="009A462C" w:rsidRPr="006B14B7" w:rsidRDefault="009A462C" w:rsidP="00DA13A1">
            <w:pPr>
              <w:numPr>
                <w:ilvl w:val="0"/>
                <w:numId w:val="12"/>
              </w:numPr>
              <w:suppressAutoHyphens/>
              <w:snapToGrid w:val="0"/>
              <w:spacing w:before="120" w:after="120"/>
              <w:jc w:val="both"/>
              <w:rPr>
                <w:rFonts w:eastAsia="Batang" w:cs="Times New Roman"/>
                <w:lang w:val="en-GB" w:eastAsia="x-none"/>
              </w:rPr>
            </w:pPr>
            <w:r w:rsidRPr="006B14B7">
              <w:rPr>
                <w:rFonts w:eastAsia="Batang" w:cs="Times New Roman"/>
                <w:lang w:val="en-GB" w:eastAsia="x-none"/>
              </w:rPr>
              <w:t xml:space="preserve">Candidate values for L: L=2, 4,  </w:t>
            </w:r>
            <m:oMath>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d</m:t>
                  </m:r>
                </m:e>
                <m:sup>
                  <m:r>
                    <m:rPr>
                      <m:sty m:val="p"/>
                    </m:rPr>
                    <w:rPr>
                      <w:rFonts w:ascii="Cambria Math" w:eastAsia="Batang" w:hAnsi="Cambria Math" w:cs="Times New Roman"/>
                      <w:lang w:val="en-GB" w:eastAsia="x-none"/>
                    </w:rPr>
                    <m:t>l,ν</m:t>
                  </m:r>
                </m:sup>
              </m:sSup>
            </m:oMath>
          </w:p>
          <w:p w14:paraId="3384A040" w14:textId="77777777" w:rsidR="009A462C" w:rsidRPr="00D1209C" w:rsidRDefault="009A462C" w:rsidP="00DA13A1">
            <w:pPr>
              <w:numPr>
                <w:ilvl w:val="0"/>
                <w:numId w:val="12"/>
              </w:numPr>
              <w:suppressAutoHyphens/>
              <w:snapToGrid w:val="0"/>
              <w:spacing w:before="120" w:after="120"/>
              <w:jc w:val="both"/>
              <w:rPr>
                <w:rFonts w:eastAsia="Batang" w:cs="Times New Roman"/>
                <w:lang w:val="en-GB" w:eastAsia="x-none"/>
              </w:rPr>
            </w:pPr>
            <w:r w:rsidRPr="00D1209C">
              <w:rPr>
                <w:rFonts w:eastAsia="Batang" w:cs="Times New Roman"/>
                <w:lang w:val="en-GB" w:eastAsia="x-none"/>
              </w:rPr>
              <w:t>Candidate values for N: 4, 5, 6</w:t>
            </w:r>
          </w:p>
          <w:p w14:paraId="0204912B" w14:textId="77777777" w:rsidR="009A462C" w:rsidRPr="00D1209C" w:rsidRDefault="009A462C" w:rsidP="00DA13A1">
            <w:pPr>
              <w:numPr>
                <w:ilvl w:val="0"/>
                <w:numId w:val="12"/>
              </w:numPr>
              <w:suppressAutoHyphens/>
              <w:snapToGrid w:val="0"/>
              <w:spacing w:before="120" w:after="120"/>
              <w:jc w:val="both"/>
              <w:rPr>
                <w:rFonts w:eastAsia="Batang" w:cs="Times New Roman"/>
                <w:lang w:val="en-GB" w:eastAsia="x-none"/>
              </w:rPr>
            </w:pPr>
            <w:r w:rsidRPr="00D1209C">
              <w:rPr>
                <w:rFonts w:eastAsia="Batang" w:cs="Times New Roman"/>
                <w:lang w:val="en-GB" w:eastAsia="x-none"/>
              </w:rPr>
              <w:t xml:space="preserve">Note: These N payload PCs of </w:t>
            </w:r>
            <m:oMath>
              <m:d>
                <m:dPr>
                  <m:begChr m:val="{"/>
                  <m:endChr m:val="}"/>
                  <m:ctrlPr>
                    <w:rPr>
                      <w:rFonts w:ascii="Cambria Math" w:eastAsia="Batang" w:hAnsi="Cambria Math" w:cs="Times New Roman"/>
                      <w:lang w:val="en-GB" w:eastAsia="x-none"/>
                    </w:rPr>
                  </m:ctrlPr>
                </m:dPr>
                <m:e>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d</m:t>
                      </m:r>
                    </m:e>
                    <m:sup>
                      <m:r>
                        <m:rPr>
                          <m:sty m:val="p"/>
                        </m:rPr>
                        <w:rPr>
                          <w:rFonts w:ascii="Cambria Math" w:eastAsia="Batang" w:hAnsi="Cambria Math" w:cs="Times New Roman"/>
                          <w:lang w:val="en-GB" w:eastAsia="x-none"/>
                        </w:rPr>
                        <m:t>l,ν</m:t>
                      </m:r>
                    </m:sup>
                  </m:sSup>
                  <m:r>
                    <m:rPr>
                      <m:sty m:val="p"/>
                    </m:rPr>
                    <w:rPr>
                      <w:rFonts w:ascii="Cambria Math" w:eastAsia="Batang" w:hAnsi="Cambria Math" w:cs="Times New Roman"/>
                      <w:lang w:val="en-GB" w:eastAsia="x-none"/>
                    </w:rPr>
                    <m:t>,</m:t>
                  </m:r>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Q</m:t>
                      </m:r>
                    </m:e>
                    <m:sup>
                      <m:r>
                        <m:rPr>
                          <m:sty m:val="p"/>
                        </m:rPr>
                        <w:rPr>
                          <w:rFonts w:ascii="Cambria Math" w:eastAsia="Batang" w:hAnsi="Cambria Math" w:cs="Times New Roman"/>
                          <w:lang w:val="en-GB" w:eastAsia="x-none"/>
                        </w:rPr>
                        <m:t>l,ν</m:t>
                      </m:r>
                    </m:sup>
                  </m:sSup>
                </m:e>
              </m:d>
            </m:oMath>
            <w:r w:rsidRPr="00D1209C">
              <w:rPr>
                <w:rFonts w:eastAsia="Batang" w:cs="Times New Roman"/>
                <w:lang w:val="en-GB" w:eastAsia="x-none"/>
              </w:rPr>
              <w:t xml:space="preserve"> or </w:t>
            </w:r>
            <m:oMath>
              <m:d>
                <m:dPr>
                  <m:begChr m:val="{"/>
                  <m:endChr m:val="}"/>
                  <m:ctrlPr>
                    <w:rPr>
                      <w:rFonts w:ascii="Cambria Math" w:eastAsia="Batang" w:hAnsi="Cambria Math" w:cs="Times New Roman"/>
                      <w:lang w:val="en-GB" w:eastAsia="x-none"/>
                    </w:rPr>
                  </m:ctrlPr>
                </m:dPr>
                <m:e>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d</m:t>
                      </m:r>
                    </m:e>
                    <m:sup>
                      <m:r>
                        <m:rPr>
                          <m:sty m:val="p"/>
                        </m:rPr>
                        <w:rPr>
                          <w:rFonts w:ascii="Cambria Math" w:eastAsia="Batang" w:hAnsi="Cambria Math" w:cs="Times New Roman"/>
                          <w:lang w:val="en-GB" w:eastAsia="x-none"/>
                        </w:rPr>
                        <m:t>l,ν</m:t>
                      </m:r>
                    </m:sup>
                  </m:sSup>
                  <m:r>
                    <m:rPr>
                      <m:sty m:val="p"/>
                    </m:rPr>
                    <w:rPr>
                      <w:rFonts w:ascii="Cambria Math" w:eastAsia="Batang" w:hAnsi="Cambria Math" w:cs="Times New Roman"/>
                      <w:lang w:val="en-GB" w:eastAsia="x-none"/>
                    </w:rPr>
                    <m:t>, L,</m:t>
                  </m:r>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Q</m:t>
                      </m:r>
                    </m:e>
                    <m:sup>
                      <m:r>
                        <m:rPr>
                          <m:sty m:val="p"/>
                        </m:rPr>
                        <w:rPr>
                          <w:rFonts w:ascii="Cambria Math" w:eastAsia="Batang" w:hAnsi="Cambria Math" w:cs="Times New Roman"/>
                          <w:lang w:val="en-GB" w:eastAsia="x-none"/>
                        </w:rPr>
                        <m:t>l,ν</m:t>
                      </m:r>
                    </m:sup>
                  </m:sSup>
                </m:e>
              </m:d>
            </m:oMath>
            <w:r w:rsidRPr="00D1209C">
              <w:rPr>
                <w:rFonts w:eastAsia="Batang" w:cs="Times New Roman"/>
                <w:lang w:val="en-GB" w:eastAsia="x-none"/>
              </w:rPr>
              <w:t xml:space="preserve"> are considered as the pool for the payload PC for each layer and each rank.</w:t>
            </w:r>
          </w:p>
          <w:p w14:paraId="0441D0E7" w14:textId="77777777" w:rsidR="009A462C" w:rsidRPr="00D1209C" w:rsidRDefault="009A462C" w:rsidP="00DA13A1">
            <w:pPr>
              <w:numPr>
                <w:ilvl w:val="0"/>
                <w:numId w:val="12"/>
              </w:numPr>
              <w:suppressAutoHyphens/>
              <w:snapToGrid w:val="0"/>
              <w:spacing w:before="120" w:after="120"/>
              <w:jc w:val="both"/>
              <w:rPr>
                <w:rFonts w:eastAsia="Batang" w:cs="Times New Roman"/>
                <w:lang w:val="en-GB" w:eastAsia="x-none"/>
              </w:rPr>
            </w:pPr>
            <w:r w:rsidRPr="00D1209C">
              <w:rPr>
                <w:rFonts w:eastAsia="Batang" w:cs="Times New Roman"/>
                <w:lang w:val="en-GB" w:eastAsia="x-none"/>
              </w:rPr>
              <w:t>Note: The above is for discussion purpose, how to configure the PCs (across layers and ranks) is a separate discussion.</w:t>
            </w:r>
          </w:p>
          <w:p w14:paraId="6BF7DCD3" w14:textId="77777777" w:rsidR="009A462C" w:rsidRPr="00FF03EE" w:rsidRDefault="009A462C" w:rsidP="00DA13A1">
            <w:pPr>
              <w:numPr>
                <w:ilvl w:val="0"/>
                <w:numId w:val="12"/>
              </w:numPr>
              <w:suppressAutoHyphens/>
              <w:snapToGrid w:val="0"/>
              <w:spacing w:before="120" w:after="120"/>
              <w:jc w:val="both"/>
              <w:rPr>
                <w:rFonts w:eastAsia="Batang" w:cs="Times New Roman"/>
                <w:lang w:val="en-GB" w:eastAsia="x-none"/>
              </w:rPr>
            </w:pPr>
            <w:r w:rsidRPr="006B14B7">
              <w:rPr>
                <w:rFonts w:eastAsia="Batang" w:cs="Times New Roman"/>
                <w:lang w:val="en-GB" w:eastAsia="x-none"/>
              </w:rPr>
              <w:t>Note: Rank-common and layer-common model with payload scalable design is considered</w:t>
            </w:r>
            <w:r w:rsidRPr="00FF03EE">
              <w:rPr>
                <w:rFonts w:eastAsia="Batang" w:cs="Times New Roman"/>
                <w:lang w:val="en-GB" w:eastAsia="x-none"/>
              </w:rPr>
              <w:t>.</w:t>
            </w:r>
          </w:p>
          <w:p w14:paraId="1EDF7040" w14:textId="77777777" w:rsidR="009A462C" w:rsidRPr="00D1209C" w:rsidRDefault="009A462C" w:rsidP="00DA13A1">
            <w:pPr>
              <w:numPr>
                <w:ilvl w:val="0"/>
                <w:numId w:val="12"/>
              </w:numPr>
              <w:suppressAutoHyphens/>
              <w:snapToGrid w:val="0"/>
              <w:spacing w:before="120" w:after="120"/>
              <w:jc w:val="both"/>
              <w:rPr>
                <w:rFonts w:eastAsia="Batang" w:cs="Times New Roman"/>
                <w:lang w:val="en-GB" w:eastAsia="x-none"/>
              </w:rPr>
            </w:pPr>
            <w:r w:rsidRPr="00D1209C">
              <w:rPr>
                <w:rFonts w:eastAsia="Batang" w:cs="Times New Roman"/>
                <w:lang w:val="en-GB" w:eastAsia="x-none"/>
              </w:rPr>
              <w:t>Note: The above does not mean support of both SQ and VQ.</w:t>
            </w:r>
          </w:p>
          <w:p w14:paraId="7CE1F747" w14:textId="77777777" w:rsidR="009A462C" w:rsidRPr="00D1209C" w:rsidRDefault="009A462C" w:rsidP="00DA13A1">
            <w:pPr>
              <w:numPr>
                <w:ilvl w:val="0"/>
                <w:numId w:val="12"/>
              </w:numPr>
              <w:suppressAutoHyphens/>
              <w:snapToGrid w:val="0"/>
              <w:spacing w:before="120" w:after="120"/>
              <w:jc w:val="both"/>
              <w:rPr>
                <w:rFonts w:eastAsia="Batang" w:cs="Times New Roman"/>
                <w:lang w:val="en-GB" w:eastAsia="x-none"/>
              </w:rPr>
            </w:pPr>
            <w:r w:rsidRPr="00D1209C">
              <w:rPr>
                <w:rFonts w:eastAsia="Batang" w:cs="Times New Roman"/>
                <w:lang w:val="en-GB" w:eastAsia="x-none"/>
              </w:rPr>
              <w:t>Note: The number of parameters combinations configurations (Y) does not exceed 8.</w:t>
            </w:r>
          </w:p>
          <w:p w14:paraId="03D84932" w14:textId="77777777" w:rsidR="009A462C" w:rsidRPr="00375AE7" w:rsidRDefault="009A462C" w:rsidP="00DA13A1">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r>
              <w:rPr>
                <w:rFonts w:eastAsia="等线" w:cs="Times New Roman"/>
                <w:b/>
                <w:bCs/>
                <w:lang w:val="en-GB"/>
              </w:rPr>
              <w:t>bis</w:t>
            </w:r>
          </w:p>
          <w:p w14:paraId="1B7CB3F2" w14:textId="77777777" w:rsidR="009A462C" w:rsidRPr="00D1209C" w:rsidRDefault="009A462C" w:rsidP="00DA13A1">
            <w:pPr>
              <w:spacing w:after="160" w:line="278" w:lineRule="auto"/>
              <w:rPr>
                <w:rFonts w:eastAsia="Batang" w:cs="Times New Roman"/>
                <w:lang w:val="en-GB" w:eastAsia="x-none"/>
              </w:rPr>
            </w:pPr>
            <w:r w:rsidRPr="006A5AD0">
              <w:rPr>
                <w:rFonts w:ascii="Times" w:hAnsi="Times" w:cs="Times New Roman"/>
                <w:sz w:val="24"/>
                <w:szCs w:val="24"/>
              </w:rPr>
              <w:t>F</w:t>
            </w:r>
            <w:r w:rsidRPr="00D1209C">
              <w:rPr>
                <w:rFonts w:eastAsia="Batang" w:cs="Times New Roman"/>
                <w:lang w:val="en-GB" w:eastAsia="x-none"/>
              </w:rPr>
              <w:t xml:space="preserve">or payload parameter combinations (PC), consider followings </w:t>
            </w:r>
          </w:p>
          <w:p w14:paraId="1A1007E9" w14:textId="77777777" w:rsidR="009A462C" w:rsidRPr="00D1209C" w:rsidRDefault="009A462C" w:rsidP="009A462C">
            <w:pPr>
              <w:pStyle w:val="aa"/>
              <w:numPr>
                <w:ilvl w:val="0"/>
                <w:numId w:val="20"/>
              </w:numPr>
              <w:spacing w:after="160" w:line="278" w:lineRule="auto"/>
              <w:contextualSpacing/>
              <w:rPr>
                <w:rFonts w:ascii="Times New Roman" w:eastAsia="Batang" w:hAnsi="Times New Roman" w:cs="Times New Roman"/>
                <w:lang w:val="en-GB" w:eastAsia="x-none"/>
              </w:rPr>
            </w:pPr>
            <w:r w:rsidRPr="00D1209C">
              <w:rPr>
                <w:rFonts w:ascii="Times New Roman" w:eastAsia="Batang" w:hAnsi="Times New Roman" w:cs="Times New Roman"/>
                <w:lang w:val="en-GB" w:eastAsia="x-none"/>
              </w:rPr>
              <w:t xml:space="preserve">Support Y configurable PCs (across layers and ranks) as below, where </w:t>
            </w:r>
            <w:proofErr w:type="spellStart"/>
            <w:r w:rsidRPr="00D1209C">
              <w:rPr>
                <w:rFonts w:ascii="Times New Roman" w:eastAsia="Batang" w:hAnsi="Times New Roman" w:cs="Times New Roman"/>
                <w:lang w:val="en-GB" w:eastAsia="x-none"/>
              </w:rPr>
              <w:t>X_n</w:t>
            </w:r>
            <w:proofErr w:type="spellEnd"/>
            <w:r w:rsidRPr="00D1209C">
              <w:rPr>
                <w:rFonts w:ascii="Times New Roman" w:eastAsia="Batang" w:hAnsi="Times New Roman" w:cs="Times New Roman"/>
                <w:lang w:val="en-GB" w:eastAsia="x-none"/>
              </w:rPr>
              <w:t xml:space="preserve">, Xn_31, Xn_32, Xn_33, Xn_41, Xn_42, Xn_43, Xn_44 represent a pair of </w:t>
            </w:r>
            <m:oMath>
              <m:d>
                <m:dPr>
                  <m:begChr m:val="{"/>
                  <m:endChr m:val="}"/>
                  <m:ctrlPr>
                    <w:rPr>
                      <w:rFonts w:ascii="Cambria Math" w:eastAsia="Batang" w:hAnsi="Cambria Math" w:cs="Times New Roman"/>
                      <w:lang w:val="en-GB" w:eastAsia="x-none"/>
                    </w:rPr>
                  </m:ctrlPr>
                </m:dPr>
                <m:e>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d</m:t>
                      </m:r>
                    </m:e>
                    <m:sup>
                      <m:r>
                        <m:rPr>
                          <m:sty m:val="p"/>
                        </m:rPr>
                        <w:rPr>
                          <w:rFonts w:ascii="Cambria Math" w:eastAsia="Batang" w:hAnsi="Cambria Math" w:cs="Times New Roman"/>
                          <w:lang w:val="en-GB" w:eastAsia="x-none"/>
                        </w:rPr>
                        <m:t>l,ν</m:t>
                      </m:r>
                    </m:sup>
                  </m:sSup>
                  <m:r>
                    <m:rPr>
                      <m:sty m:val="p"/>
                    </m:rPr>
                    <w:rPr>
                      <w:rFonts w:ascii="Cambria Math" w:eastAsia="Batang" w:hAnsi="Cambria Math" w:cs="Times New Roman"/>
                      <w:lang w:val="en-GB" w:eastAsia="x-none"/>
                    </w:rPr>
                    <m:t>,</m:t>
                  </m:r>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Q</m:t>
                      </m:r>
                    </m:e>
                    <m:sup>
                      <m:r>
                        <m:rPr>
                          <m:sty m:val="p"/>
                        </m:rPr>
                        <w:rPr>
                          <w:rFonts w:ascii="Cambria Math" w:eastAsia="Batang" w:hAnsi="Cambria Math" w:cs="Times New Roman"/>
                          <w:lang w:val="en-GB" w:eastAsia="x-none"/>
                        </w:rPr>
                        <m:t>l,ν</m:t>
                      </m:r>
                    </m:sup>
                  </m:sSup>
                </m:e>
              </m:d>
            </m:oMath>
            <w:r w:rsidRPr="00D1209C">
              <w:rPr>
                <w:rFonts w:ascii="Times New Roman" w:eastAsia="Batang" w:hAnsi="Times New Roman" w:cs="Times New Roman"/>
                <w:lang w:val="en-GB" w:eastAsia="x-none"/>
              </w:rPr>
              <w:t xml:space="preserve"> or a triplet of </w:t>
            </w:r>
            <m:oMath>
              <m:d>
                <m:dPr>
                  <m:begChr m:val="{"/>
                  <m:endChr m:val="}"/>
                  <m:ctrlPr>
                    <w:rPr>
                      <w:rFonts w:ascii="Cambria Math" w:eastAsia="Batang" w:hAnsi="Cambria Math" w:cs="Times New Roman"/>
                      <w:lang w:val="en-GB" w:eastAsia="x-none"/>
                    </w:rPr>
                  </m:ctrlPr>
                </m:dPr>
                <m:e>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d</m:t>
                      </m:r>
                    </m:e>
                    <m:sup>
                      <m:r>
                        <m:rPr>
                          <m:sty m:val="p"/>
                        </m:rPr>
                        <w:rPr>
                          <w:rFonts w:ascii="Cambria Math" w:eastAsia="Batang" w:hAnsi="Cambria Math" w:cs="Times New Roman"/>
                          <w:lang w:val="en-GB" w:eastAsia="x-none"/>
                        </w:rPr>
                        <m:t>l,ν</m:t>
                      </m:r>
                    </m:sup>
                  </m:sSup>
                  <m:r>
                    <m:rPr>
                      <m:sty m:val="p"/>
                    </m:rPr>
                    <w:rPr>
                      <w:rFonts w:ascii="Cambria Math" w:eastAsia="Batang" w:hAnsi="Cambria Math" w:cs="Times New Roman"/>
                      <w:lang w:val="en-GB" w:eastAsia="x-none"/>
                    </w:rPr>
                    <m:t>, L,</m:t>
                  </m:r>
                  <m:sSup>
                    <m:sSupPr>
                      <m:ctrlPr>
                        <w:rPr>
                          <w:rFonts w:ascii="Cambria Math" w:eastAsia="Batang" w:hAnsi="Cambria Math" w:cs="Times New Roman"/>
                          <w:lang w:val="en-GB" w:eastAsia="x-none"/>
                        </w:rPr>
                      </m:ctrlPr>
                    </m:sSupPr>
                    <m:e>
                      <m:r>
                        <m:rPr>
                          <m:sty m:val="p"/>
                        </m:rPr>
                        <w:rPr>
                          <w:rFonts w:ascii="Cambria Math" w:eastAsia="Batang" w:hAnsi="Cambria Math" w:cs="Times New Roman"/>
                          <w:lang w:val="en-GB" w:eastAsia="x-none"/>
                        </w:rPr>
                        <m:t>Q</m:t>
                      </m:r>
                    </m:e>
                    <m:sup>
                      <m:r>
                        <m:rPr>
                          <m:sty m:val="p"/>
                        </m:rPr>
                        <w:rPr>
                          <w:rFonts w:ascii="Cambria Math" w:eastAsia="Batang" w:hAnsi="Cambria Math" w:cs="Times New Roman"/>
                          <w:lang w:val="en-GB" w:eastAsia="x-none"/>
                        </w:rPr>
                        <m:t>l,ν</m:t>
                      </m:r>
                    </m:sup>
                  </m:sSup>
                </m:e>
              </m:d>
            </m:oMath>
            <w:r w:rsidRPr="00D1209C">
              <w:rPr>
                <w:rFonts w:ascii="Times New Roman" w:eastAsia="Batang" w:hAnsi="Times New Roman" w:cs="Times New Roman"/>
                <w:lang w:val="en-GB" w:eastAsia="x-none"/>
              </w:rPr>
              <w:t xml:space="preserve">  </w:t>
            </w:r>
            <w:r w:rsidRPr="006B14B7">
              <w:rPr>
                <w:rFonts w:ascii="Times New Roman" w:eastAsia="Batang" w:hAnsi="Times New Roman" w:cs="Times New Roman"/>
                <w:lang w:val="en-GB" w:eastAsia="x-none"/>
              </w:rPr>
              <w:t>chosen from the per-layer PC pool.</w:t>
            </w:r>
            <w:r w:rsidRPr="00D1209C">
              <w:rPr>
                <w:rFonts w:ascii="Times New Roman" w:eastAsia="Batang" w:hAnsi="Times New Roman" w:cs="Times New Roman"/>
                <w:lang w:val="en-GB" w:eastAsia="x-none"/>
              </w:rPr>
              <w:t xml:space="preserve"> </w:t>
            </w:r>
          </w:p>
          <w:tbl>
            <w:tblPr>
              <w:tblStyle w:val="ae"/>
              <w:tblW w:w="0" w:type="auto"/>
              <w:tblInd w:w="805" w:type="dxa"/>
              <w:tblLook w:val="04A0" w:firstRow="1" w:lastRow="0" w:firstColumn="1" w:lastColumn="0" w:noHBand="0" w:noVBand="1"/>
            </w:tblPr>
            <w:tblGrid>
              <w:gridCol w:w="766"/>
              <w:gridCol w:w="791"/>
              <w:gridCol w:w="1143"/>
              <w:gridCol w:w="2520"/>
              <w:gridCol w:w="2298"/>
            </w:tblGrid>
            <w:tr w:rsidR="009A462C" w:rsidRPr="00D1209C" w14:paraId="1F5373B4" w14:textId="77777777" w:rsidTr="00DA13A1">
              <w:tc>
                <w:tcPr>
                  <w:tcW w:w="766" w:type="dxa"/>
                </w:tcPr>
                <w:p w14:paraId="740C2393" w14:textId="77777777" w:rsidR="009A462C" w:rsidRPr="00D1209C" w:rsidRDefault="009A462C" w:rsidP="00DA13A1">
                  <w:pPr>
                    <w:rPr>
                      <w:rFonts w:eastAsia="Batang" w:cs="Times New Roman"/>
                      <w:lang w:val="en-GB" w:eastAsia="x-none"/>
                    </w:rPr>
                  </w:pPr>
                </w:p>
              </w:tc>
              <w:tc>
                <w:tcPr>
                  <w:tcW w:w="791" w:type="dxa"/>
                </w:tcPr>
                <w:p w14:paraId="10BDA582"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Rank1</w:t>
                  </w:r>
                </w:p>
              </w:tc>
              <w:tc>
                <w:tcPr>
                  <w:tcW w:w="1143" w:type="dxa"/>
                </w:tcPr>
                <w:p w14:paraId="56831D4E"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Rank2</w:t>
                  </w:r>
                </w:p>
              </w:tc>
              <w:tc>
                <w:tcPr>
                  <w:tcW w:w="2520" w:type="dxa"/>
                </w:tcPr>
                <w:p w14:paraId="7F081233"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Rank3</w:t>
                  </w:r>
                </w:p>
              </w:tc>
              <w:tc>
                <w:tcPr>
                  <w:tcW w:w="2298" w:type="dxa"/>
                </w:tcPr>
                <w:p w14:paraId="73AF18B3"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Rank4</w:t>
                  </w:r>
                </w:p>
              </w:tc>
            </w:tr>
            <w:tr w:rsidR="009A462C" w:rsidRPr="00D1209C" w14:paraId="46B5236A" w14:textId="77777777" w:rsidTr="00DA13A1">
              <w:tc>
                <w:tcPr>
                  <w:tcW w:w="766" w:type="dxa"/>
                </w:tcPr>
                <w:p w14:paraId="5F8A90C9"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PC1</w:t>
                  </w:r>
                </w:p>
              </w:tc>
              <w:tc>
                <w:tcPr>
                  <w:tcW w:w="791" w:type="dxa"/>
                </w:tcPr>
                <w:p w14:paraId="61E16B66"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X1</w:t>
                  </w:r>
                </w:p>
              </w:tc>
              <w:tc>
                <w:tcPr>
                  <w:tcW w:w="1143" w:type="dxa"/>
                </w:tcPr>
                <w:p w14:paraId="1FE215FA"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X1, X1</w:t>
                  </w:r>
                </w:p>
              </w:tc>
              <w:tc>
                <w:tcPr>
                  <w:tcW w:w="2520" w:type="dxa"/>
                </w:tcPr>
                <w:p w14:paraId="3F71DD34"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X1_31, X1_32, X1_33</w:t>
                  </w:r>
                </w:p>
              </w:tc>
              <w:tc>
                <w:tcPr>
                  <w:tcW w:w="2298" w:type="dxa"/>
                </w:tcPr>
                <w:p w14:paraId="0E3FF560"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X1_41, X1_42, X1_43, X1_44</w:t>
                  </w:r>
                </w:p>
              </w:tc>
            </w:tr>
            <w:tr w:rsidR="009A462C" w:rsidRPr="00D1209C" w14:paraId="784A48E6" w14:textId="77777777" w:rsidTr="00DA13A1">
              <w:tc>
                <w:tcPr>
                  <w:tcW w:w="766" w:type="dxa"/>
                </w:tcPr>
                <w:p w14:paraId="2E1C748C"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PC2</w:t>
                  </w:r>
                </w:p>
              </w:tc>
              <w:tc>
                <w:tcPr>
                  <w:tcW w:w="791" w:type="dxa"/>
                </w:tcPr>
                <w:p w14:paraId="14AFECF0"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X2</w:t>
                  </w:r>
                </w:p>
              </w:tc>
              <w:tc>
                <w:tcPr>
                  <w:tcW w:w="1143" w:type="dxa"/>
                </w:tcPr>
                <w:p w14:paraId="3C217101"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X2, X2</w:t>
                  </w:r>
                </w:p>
              </w:tc>
              <w:tc>
                <w:tcPr>
                  <w:tcW w:w="2520" w:type="dxa"/>
                </w:tcPr>
                <w:p w14:paraId="69F90795"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X2_31, X2_32, X2_33</w:t>
                  </w:r>
                </w:p>
              </w:tc>
              <w:tc>
                <w:tcPr>
                  <w:tcW w:w="2298" w:type="dxa"/>
                </w:tcPr>
                <w:p w14:paraId="11A4BF44"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X2_41, X2_42, X2_43, X2_44</w:t>
                  </w:r>
                </w:p>
              </w:tc>
            </w:tr>
            <w:tr w:rsidR="009A462C" w:rsidRPr="00D1209C" w14:paraId="7D4D76A8" w14:textId="77777777" w:rsidTr="00DA13A1">
              <w:tc>
                <w:tcPr>
                  <w:tcW w:w="766" w:type="dxa"/>
                </w:tcPr>
                <w:p w14:paraId="54DB9E68" w14:textId="77777777" w:rsidR="009A462C" w:rsidRPr="00D1209C" w:rsidRDefault="009A462C" w:rsidP="00DA13A1">
                  <w:pPr>
                    <w:rPr>
                      <w:rFonts w:eastAsia="Batang" w:cs="Times New Roman"/>
                      <w:lang w:val="en-GB" w:eastAsia="x-none"/>
                    </w:rPr>
                  </w:pPr>
                  <w:r w:rsidRPr="00D1209C">
                    <w:rPr>
                      <w:rFonts w:eastAsia="Batang" w:cs="Times New Roman"/>
                      <w:lang w:val="en-GB" w:eastAsia="x-none"/>
                    </w:rPr>
                    <w:t>…</w:t>
                  </w:r>
                </w:p>
              </w:tc>
              <w:tc>
                <w:tcPr>
                  <w:tcW w:w="791" w:type="dxa"/>
                </w:tcPr>
                <w:p w14:paraId="0858E98E" w14:textId="77777777" w:rsidR="009A462C" w:rsidRPr="00D1209C" w:rsidRDefault="009A462C" w:rsidP="00DA13A1">
                  <w:pPr>
                    <w:rPr>
                      <w:rFonts w:eastAsia="Batang" w:cs="Times New Roman"/>
                      <w:lang w:val="en-GB" w:eastAsia="x-none"/>
                    </w:rPr>
                  </w:pPr>
                </w:p>
              </w:tc>
              <w:tc>
                <w:tcPr>
                  <w:tcW w:w="1143" w:type="dxa"/>
                </w:tcPr>
                <w:p w14:paraId="5604A408" w14:textId="77777777" w:rsidR="009A462C" w:rsidRPr="00D1209C" w:rsidRDefault="009A462C" w:rsidP="00DA13A1">
                  <w:pPr>
                    <w:rPr>
                      <w:rFonts w:eastAsia="Batang" w:cs="Times New Roman"/>
                      <w:lang w:val="en-GB" w:eastAsia="x-none"/>
                    </w:rPr>
                  </w:pPr>
                </w:p>
              </w:tc>
              <w:tc>
                <w:tcPr>
                  <w:tcW w:w="2520" w:type="dxa"/>
                </w:tcPr>
                <w:p w14:paraId="0B15B0A2" w14:textId="77777777" w:rsidR="009A462C" w:rsidRPr="00D1209C" w:rsidRDefault="009A462C" w:rsidP="00DA13A1">
                  <w:pPr>
                    <w:rPr>
                      <w:rFonts w:eastAsia="Batang" w:cs="Times New Roman"/>
                      <w:lang w:val="en-GB" w:eastAsia="x-none"/>
                    </w:rPr>
                  </w:pPr>
                </w:p>
              </w:tc>
              <w:tc>
                <w:tcPr>
                  <w:tcW w:w="2298" w:type="dxa"/>
                </w:tcPr>
                <w:p w14:paraId="5A25F5A4" w14:textId="77777777" w:rsidR="009A462C" w:rsidRPr="00D1209C" w:rsidRDefault="009A462C" w:rsidP="00DA13A1">
                  <w:pPr>
                    <w:rPr>
                      <w:rFonts w:eastAsia="Batang" w:cs="Times New Roman"/>
                      <w:lang w:val="en-GB" w:eastAsia="x-none"/>
                    </w:rPr>
                  </w:pPr>
                </w:p>
              </w:tc>
            </w:tr>
          </w:tbl>
          <w:p w14:paraId="1FCE0252" w14:textId="77777777" w:rsidR="009A462C" w:rsidRPr="00D1209C" w:rsidRDefault="009A462C" w:rsidP="00DA13A1">
            <w:pPr>
              <w:spacing w:after="160" w:line="278" w:lineRule="auto"/>
              <w:rPr>
                <w:rFonts w:eastAsia="Batang" w:cs="Times New Roman"/>
                <w:lang w:val="en-GB" w:eastAsia="x-none"/>
              </w:rPr>
            </w:pPr>
          </w:p>
          <w:p w14:paraId="3D3BBDDC" w14:textId="77777777" w:rsidR="009A462C" w:rsidRPr="00D1209C" w:rsidRDefault="009A462C" w:rsidP="009A462C">
            <w:pPr>
              <w:pStyle w:val="aa"/>
              <w:numPr>
                <w:ilvl w:val="0"/>
                <w:numId w:val="20"/>
              </w:numPr>
              <w:spacing w:after="160" w:line="278" w:lineRule="auto"/>
              <w:contextualSpacing/>
              <w:rPr>
                <w:rFonts w:ascii="Times New Roman" w:eastAsia="Batang" w:hAnsi="Times New Roman" w:cs="Times New Roman"/>
                <w:lang w:val="en-GB" w:eastAsia="x-none"/>
              </w:rPr>
            </w:pPr>
            <w:r w:rsidRPr="00D1209C">
              <w:rPr>
                <w:rFonts w:ascii="Times New Roman" w:eastAsia="Batang" w:hAnsi="Times New Roman" w:cs="Times New Roman"/>
                <w:lang w:val="en-GB" w:eastAsia="x-none"/>
              </w:rPr>
              <w:t>For rank 1 and rank 2, layer-common and rank-common payload is supported.</w:t>
            </w:r>
          </w:p>
          <w:p w14:paraId="37EF71FF" w14:textId="77777777" w:rsidR="009A462C" w:rsidRPr="00D1209C" w:rsidRDefault="009A462C" w:rsidP="009A462C">
            <w:pPr>
              <w:pStyle w:val="aa"/>
              <w:numPr>
                <w:ilvl w:val="0"/>
                <w:numId w:val="20"/>
              </w:numPr>
              <w:spacing w:after="160" w:line="278" w:lineRule="auto"/>
              <w:contextualSpacing/>
              <w:rPr>
                <w:rFonts w:ascii="Times New Roman" w:eastAsia="Batang" w:hAnsi="Times New Roman" w:cs="Times New Roman"/>
                <w:lang w:val="en-GB" w:eastAsia="x-none"/>
              </w:rPr>
            </w:pPr>
            <w:r w:rsidRPr="00D1209C">
              <w:rPr>
                <w:rFonts w:ascii="Times New Roman" w:eastAsia="Batang" w:hAnsi="Times New Roman" w:cs="Times New Roman"/>
                <w:lang w:val="en-GB" w:eastAsia="x-none"/>
              </w:rPr>
              <w:t>For rank 3, consider alternatives of {Xn_31, Xn_32, Xn_33} = {a, a, a}, {a, a, b}, {a, b, b} for potential down selection.</w:t>
            </w:r>
          </w:p>
          <w:p w14:paraId="77F50BA4" w14:textId="77777777" w:rsidR="009A462C" w:rsidRPr="00D1209C" w:rsidRDefault="009A462C" w:rsidP="009A462C">
            <w:pPr>
              <w:pStyle w:val="aa"/>
              <w:numPr>
                <w:ilvl w:val="0"/>
                <w:numId w:val="20"/>
              </w:numPr>
              <w:spacing w:after="160" w:line="278" w:lineRule="auto"/>
              <w:contextualSpacing/>
              <w:rPr>
                <w:rFonts w:ascii="Times New Roman" w:eastAsia="Batang" w:hAnsi="Times New Roman" w:cs="Times New Roman"/>
                <w:lang w:val="en-GB" w:eastAsia="x-none"/>
              </w:rPr>
            </w:pPr>
            <w:r w:rsidRPr="00D1209C">
              <w:rPr>
                <w:rFonts w:ascii="Times New Roman" w:eastAsia="Batang" w:hAnsi="Times New Roman" w:cs="Times New Roman"/>
                <w:lang w:val="en-GB" w:eastAsia="x-none"/>
              </w:rPr>
              <w:t>For rank 4, consider alternatives of {Xn_41, Xn_42, Xn_43, Xn_44} = {a, a, a, a}, {a, a, b, b}, {a, b, b, c}, {a, a, b, c} or {a, b, c, c} for potential down selection.</w:t>
            </w:r>
          </w:p>
          <w:p w14:paraId="0ECC81C6" w14:textId="77777777" w:rsidR="009A462C" w:rsidRPr="00D1209C" w:rsidRDefault="009A462C" w:rsidP="009A462C">
            <w:pPr>
              <w:pStyle w:val="aa"/>
              <w:numPr>
                <w:ilvl w:val="0"/>
                <w:numId w:val="20"/>
              </w:numPr>
              <w:spacing w:after="160" w:line="278" w:lineRule="auto"/>
              <w:contextualSpacing/>
              <w:rPr>
                <w:rFonts w:ascii="Times New Roman" w:eastAsia="Batang" w:hAnsi="Times New Roman" w:cs="Times New Roman"/>
                <w:lang w:val="en-GB" w:eastAsia="x-none"/>
              </w:rPr>
            </w:pPr>
            <w:r w:rsidRPr="00D1209C">
              <w:rPr>
                <w:rFonts w:ascii="Times New Roman" w:eastAsia="Batang" w:hAnsi="Times New Roman" w:cs="Times New Roman"/>
                <w:lang w:val="en-GB" w:eastAsia="x-none"/>
              </w:rPr>
              <w:t>Note: The table is for discussion purpose, how to configure the PCs (across layers and ranks) is a separate discussion.</w:t>
            </w:r>
          </w:p>
          <w:p w14:paraId="569B51AF" w14:textId="77777777" w:rsidR="009A462C" w:rsidRDefault="009A462C" w:rsidP="00DA13A1">
            <w:r w:rsidRPr="00D1209C">
              <w:rPr>
                <w:rFonts w:eastAsia="Batang" w:cs="Times New Roman"/>
                <w:lang w:val="en-GB" w:eastAsia="x-none"/>
              </w:rPr>
              <w:t>Note: a, b values in rank3 can be different from that in rank 4.</w:t>
            </w:r>
          </w:p>
        </w:tc>
      </w:tr>
    </w:tbl>
    <w:p w14:paraId="0391B8A9" w14:textId="308CE226" w:rsidR="009A462C" w:rsidRPr="0018626D" w:rsidRDefault="009A462C" w:rsidP="009A462C">
      <w:pPr>
        <w:rPr>
          <w:b/>
          <w:bCs/>
          <w:u w:val="single"/>
        </w:rPr>
      </w:pPr>
      <w:r w:rsidRPr="00FC40FC">
        <w:rPr>
          <w:b/>
          <w:bCs/>
          <w:u w:val="single"/>
        </w:rPr>
        <w:lastRenderedPageBreak/>
        <w:t xml:space="preserve">Payload </w:t>
      </w:r>
      <w:r w:rsidR="00C93B16" w:rsidRPr="004263CA">
        <w:rPr>
          <w:b/>
          <w:bCs/>
          <w:u w:val="single"/>
        </w:rPr>
        <w:t>Scalability</w:t>
      </w:r>
      <w:r w:rsidRPr="00FC40FC">
        <w:rPr>
          <w:b/>
          <w:bCs/>
          <w:u w:val="single"/>
        </w:rPr>
        <w:t>:</w:t>
      </w:r>
    </w:p>
    <w:p w14:paraId="0865DD4D" w14:textId="24B16805" w:rsidR="009A462C" w:rsidRPr="00327D4F" w:rsidRDefault="009A462C" w:rsidP="009A462C">
      <w:pPr>
        <w:pStyle w:val="a0"/>
        <w:snapToGrid w:val="0"/>
        <w:spacing w:before="120"/>
        <w:jc w:val="both"/>
        <w:rPr>
          <w:rFonts w:eastAsiaTheme="minorEastAsia"/>
          <w:bCs/>
        </w:rPr>
      </w:pPr>
      <w:r w:rsidRPr="008B6DD9">
        <w:rPr>
          <w:rFonts w:hint="eastAsia"/>
          <w:bCs/>
        </w:rPr>
        <w:t>F</w:t>
      </w:r>
      <w:r w:rsidRPr="008B6DD9">
        <w:rPr>
          <w:bCs/>
        </w:rPr>
        <w:t xml:space="preserve">or </w:t>
      </w:r>
      <w:r w:rsidR="00690D11">
        <w:rPr>
          <w:rFonts w:hint="eastAsia"/>
          <w:bCs/>
        </w:rPr>
        <w:t>the</w:t>
      </w:r>
      <w:r w:rsidRPr="008B6DD9">
        <w:rPr>
          <w:bCs/>
        </w:rPr>
        <w:t xml:space="preserve"> FFS that </w:t>
      </w:r>
      <w:r w:rsidRPr="008B6DD9">
        <w:rPr>
          <w:rFonts w:eastAsia="Batang" w:cs="Times New Roman"/>
          <w:lang w:val="en-GB" w:eastAsia="x-none"/>
        </w:rPr>
        <w:t xml:space="preserve">each combination of </w:t>
      </w:r>
      <m:oMath>
        <m:sSubSup>
          <m:sSubSupPr>
            <m:ctrlPr>
              <w:rPr>
                <w:rFonts w:ascii="Cambria Math" w:eastAsia="Batang" w:hAnsi="Cambria Math" w:cs="Times New Roman"/>
                <w:bCs/>
                <w:iCs/>
                <w:lang w:val="en-GB" w:eastAsia="en-US"/>
              </w:rPr>
            </m:ctrlPr>
          </m:sSubSupPr>
          <m:e>
            <m:r>
              <m:rPr>
                <m:sty m:val="p"/>
              </m:rPr>
              <w:rPr>
                <w:rFonts w:ascii="Cambria Math" w:eastAsia="Batang" w:hAnsi="Cambria Math" w:cs="Times New Roman"/>
                <w:lang w:val="en-GB" w:eastAsia="en-US"/>
              </w:rPr>
              <m:t>d</m:t>
            </m:r>
          </m:e>
          <m:sub>
            <m:r>
              <m:rPr>
                <m:sty m:val="p"/>
              </m:rPr>
              <w:rPr>
                <w:rFonts w:ascii="Cambria Math" w:eastAsia="Batang" w:hAnsi="Cambria Math" w:cs="Times New Roman"/>
                <w:lang w:val="en-GB" w:eastAsia="en-US"/>
              </w:rPr>
              <m:t>z</m:t>
            </m:r>
          </m:sub>
          <m:sup>
            <m:r>
              <m:rPr>
                <m:sty m:val="p"/>
              </m:rPr>
              <w:rPr>
                <w:rFonts w:ascii="Cambria Math" w:eastAsia="Batang" w:hAnsi="Cambria Math" w:cs="Times New Roman"/>
                <w:lang w:val="en-GB" w:eastAsia="en-US"/>
              </w:rPr>
              <m:t>l,ν</m:t>
            </m:r>
          </m:sup>
        </m:sSubSup>
      </m:oMath>
      <w:r w:rsidRPr="006B14B7">
        <w:rPr>
          <w:rFonts w:eastAsia="Batang" w:cs="Times New Roman"/>
          <w:lang w:val="en-GB" w:eastAsia="x-none"/>
        </w:rPr>
        <w:t xml:space="preserve">, </w:t>
      </w:r>
      <m:oMath>
        <m:sSup>
          <m:sSupPr>
            <m:ctrlPr>
              <w:rPr>
                <w:rFonts w:ascii="Cambria Math" w:eastAsia="Batang" w:hAnsi="Cambria Math" w:cs="Times New Roman"/>
                <w:bCs/>
                <w:iCs/>
                <w:lang w:val="en-GB" w:eastAsia="en-US"/>
              </w:rPr>
            </m:ctrlPr>
          </m:sSupPr>
          <m:e>
            <m:r>
              <m:rPr>
                <m:sty m:val="p"/>
              </m:rPr>
              <w:rPr>
                <w:rFonts w:ascii="Cambria Math" w:eastAsia="Batang" w:hAnsi="Cambria Math" w:cs="Times New Roman"/>
                <w:lang w:val="en-GB" w:eastAsia="en-US"/>
              </w:rPr>
              <m:t>Q</m:t>
            </m:r>
          </m:e>
          <m:sup>
            <m:r>
              <m:rPr>
                <m:sty m:val="p"/>
              </m:rPr>
              <w:rPr>
                <w:rFonts w:ascii="Cambria Math" w:eastAsia="Batang" w:hAnsi="Cambria Math" w:cs="Times New Roman"/>
                <w:lang w:val="en-GB" w:eastAsia="en-US"/>
              </w:rPr>
              <m:t>l,ν</m:t>
            </m:r>
          </m:sup>
        </m:sSup>
      </m:oMath>
      <w:r w:rsidRPr="008B6DD9">
        <w:rPr>
          <w:rFonts w:eastAsia="Batang" w:cs="Times New Roman"/>
          <w:lang w:val="en-GB" w:eastAsia="x-none"/>
        </w:rPr>
        <w:t xml:space="preserve"> and </w:t>
      </w:r>
      <m:oMath>
        <m:r>
          <w:rPr>
            <w:rFonts w:ascii="Cambria Math" w:eastAsia="Batang" w:hAnsi="Cambria Math" w:cs="Times New Roman"/>
            <w:lang w:val="en-GB" w:eastAsia="en-US"/>
          </w:rPr>
          <m:t xml:space="preserve">L </m:t>
        </m:r>
      </m:oMath>
      <w:r w:rsidRPr="008B6DD9">
        <w:rPr>
          <w:rFonts w:eastAsia="Batang" w:cs="Times New Roman"/>
          <w:lang w:val="en-GB" w:eastAsia="x-none"/>
        </w:rPr>
        <w:t>is applicable to a certain set of subband and port configurations,</w:t>
      </w:r>
      <w:r>
        <w:rPr>
          <w:rFonts w:eastAsia="Batang" w:cs="Times New Roman"/>
          <w:lang w:val="en-GB" w:eastAsia="x-none"/>
        </w:rPr>
        <w:t xml:space="preserve"> for the precoding matrix with size</w:t>
      </w:r>
      <w:r w:rsidR="009B530A">
        <w:rPr>
          <w:rFonts w:eastAsia="Batang" w:cs="Times New Roman"/>
          <w:lang w:val="en-GB" w:eastAsia="x-none"/>
        </w:rPr>
        <w:t xml:space="preserve"> </w:t>
      </w:r>
      <m:oMath>
        <m:sSub>
          <m:sSubPr>
            <m:ctrlPr>
              <w:rPr>
                <w:rFonts w:ascii="Cambria Math" w:eastAsiaTheme="minorEastAsia" w:hAnsi="Cambria Math" w:cs="Times New Roman"/>
                <w:i/>
                <w:lang w:val="en-GB"/>
              </w:rPr>
            </m:ctrlPr>
          </m:sSubPr>
          <m:e>
            <m:r>
              <w:rPr>
                <w:rFonts w:ascii="Cambria Math" w:eastAsia="Batang" w:hAnsi="Cambria Math" w:cs="Times New Roman"/>
                <w:lang w:val="en-GB" w:eastAsia="x-none"/>
              </w:rPr>
              <m:t>N</m:t>
            </m:r>
            <m:ctrlPr>
              <w:rPr>
                <w:rFonts w:ascii="Cambria Math" w:eastAsia="Batang" w:hAnsi="Cambria Math" w:cs="Times New Roman"/>
                <w:i/>
                <w:lang w:val="en-GB" w:eastAsia="x-none"/>
              </w:rPr>
            </m:ctrlPr>
          </m:e>
          <m:sub>
            <m:r>
              <w:rPr>
                <w:rFonts w:ascii="Cambria Math" w:eastAsiaTheme="minorEastAsia" w:hAnsi="Cambria Math" w:cs="Times New Roman"/>
                <w:lang w:val="en-GB"/>
              </w:rPr>
              <m:t>sb</m:t>
            </m:r>
          </m:sub>
        </m:sSub>
        <m:r>
          <w:rPr>
            <w:rFonts w:ascii="Cambria Math" w:eastAsiaTheme="minorEastAsia" w:hAnsi="Cambria Math" w:cs="Times New Roman"/>
            <w:lang w:val="en-GB"/>
          </w:rPr>
          <m:t>×</m:t>
        </m:r>
        <m:r>
          <w:rPr>
            <w:rFonts w:ascii="Cambria Math" w:eastAsia="Batang" w:hAnsi="Cambria Math" w:cs="Times New Roman"/>
            <w:lang w:val="en-GB" w:eastAsia="x-none"/>
          </w:rPr>
          <m:t>P×rank</m:t>
        </m:r>
      </m:oMath>
      <w:r>
        <w:rPr>
          <w:rFonts w:eastAsia="Batang" w:cs="Times New Roman"/>
          <w:lang w:val="en-GB" w:eastAsia="x-none"/>
        </w:rPr>
        <w:t xml:space="preserve">, if the size of </w:t>
      </w:r>
      <m:oMath>
        <m:sSub>
          <m:sSubPr>
            <m:ctrlPr>
              <w:rPr>
                <w:rFonts w:ascii="Cambria Math" w:eastAsiaTheme="minorEastAsia" w:hAnsi="Cambria Math" w:cs="Times New Roman"/>
                <w:i/>
                <w:lang w:val="en-GB"/>
              </w:rPr>
            </m:ctrlPr>
          </m:sSubPr>
          <m:e>
            <m:r>
              <w:rPr>
                <w:rFonts w:ascii="Cambria Math" w:eastAsia="Batang" w:hAnsi="Cambria Math" w:cs="Times New Roman"/>
                <w:lang w:val="en-GB" w:eastAsia="x-none"/>
              </w:rPr>
              <m:t>N</m:t>
            </m:r>
            <m:ctrlPr>
              <w:rPr>
                <w:rFonts w:ascii="Cambria Math" w:eastAsia="Batang" w:hAnsi="Cambria Math" w:cs="Times New Roman"/>
                <w:i/>
                <w:lang w:val="en-GB" w:eastAsia="x-none"/>
              </w:rPr>
            </m:ctrlPr>
          </m:e>
          <m:sub>
            <m:r>
              <w:rPr>
                <w:rFonts w:ascii="Cambria Math" w:eastAsiaTheme="minorEastAsia" w:hAnsi="Cambria Math" w:cs="Times New Roman"/>
                <w:lang w:val="en-GB"/>
              </w:rPr>
              <m:t>s</m:t>
            </m:r>
            <m:r>
              <w:rPr>
                <w:rFonts w:ascii="Cambria Math" w:eastAsiaTheme="minorEastAsia" w:hAnsi="Cambria Math" w:cs="Times New Roman" w:hint="eastAsia"/>
                <w:lang w:val="en-GB"/>
              </w:rPr>
              <m:t>b</m:t>
            </m:r>
          </m:sub>
        </m:sSub>
        <m:r>
          <w:rPr>
            <w:rFonts w:ascii="Cambria Math" w:eastAsiaTheme="minorEastAsia" w:hAnsi="Cambria Math" w:cs="Times New Roman"/>
            <w:lang w:val="en-GB"/>
          </w:rPr>
          <m:t>×</m:t>
        </m:r>
        <m:r>
          <w:rPr>
            <w:rFonts w:ascii="Cambria Math" w:eastAsia="Batang" w:hAnsi="Cambria Math" w:cs="Times New Roman"/>
            <w:lang w:val="en-GB" w:eastAsia="x-none"/>
          </w:rPr>
          <m:t xml:space="preserve">P </m:t>
        </m:r>
      </m:oMath>
      <w:r>
        <w:rPr>
          <w:rFonts w:eastAsia="Batang" w:cs="Times New Roman"/>
          <w:lang w:val="en-GB" w:eastAsia="x-none"/>
        </w:rPr>
        <w:t>are the same or at least similar (e.g., [</w:t>
      </w:r>
      <m:oMath>
        <m:sSub>
          <m:sSubPr>
            <m:ctrlPr>
              <w:rPr>
                <w:rFonts w:ascii="Cambria Math" w:eastAsiaTheme="minorEastAsia" w:hAnsi="Cambria Math" w:cs="Times New Roman"/>
                <w:i/>
                <w:lang w:val="en-GB"/>
              </w:rPr>
            </m:ctrlPr>
          </m:sSubPr>
          <m:e>
            <m:r>
              <w:rPr>
                <w:rFonts w:ascii="Cambria Math" w:eastAsia="Batang" w:hAnsi="Cambria Math" w:cs="Times New Roman"/>
                <w:lang w:val="en-GB" w:eastAsia="x-none"/>
              </w:rPr>
              <m:t>N</m:t>
            </m:r>
            <m:ctrlPr>
              <w:rPr>
                <w:rFonts w:ascii="Cambria Math" w:eastAsia="Batang" w:hAnsi="Cambria Math" w:cs="Times New Roman"/>
                <w:i/>
                <w:lang w:val="en-GB" w:eastAsia="x-none"/>
              </w:rPr>
            </m:ctrlPr>
          </m:e>
          <m:sub>
            <m:r>
              <w:rPr>
                <w:rFonts w:ascii="Cambria Math" w:eastAsiaTheme="minorEastAsia" w:hAnsi="Cambria Math" w:cs="Times New Roman"/>
                <w:lang w:val="en-GB"/>
              </w:rPr>
              <m:t>sb</m:t>
            </m:r>
          </m:sub>
        </m:sSub>
      </m:oMath>
      <w:r>
        <w:rPr>
          <w:rFonts w:eastAsia="Batang" w:cs="Times New Roman"/>
          <w:lang w:val="en-GB" w:eastAsia="x-none"/>
        </w:rPr>
        <w:t xml:space="preserve">=24, </w:t>
      </w:r>
      <m:oMath>
        <m:r>
          <w:rPr>
            <w:rFonts w:ascii="Cambria Math" w:eastAsia="Batang" w:hAnsi="Cambria Math" w:cs="Times New Roman"/>
            <w:lang w:val="en-GB" w:eastAsia="x-none"/>
          </w:rPr>
          <m:t>P</m:t>
        </m:r>
      </m:oMath>
      <w:r>
        <w:rPr>
          <w:rFonts w:eastAsia="Batang" w:cs="Times New Roman"/>
          <w:lang w:val="en-GB" w:eastAsia="x-none"/>
        </w:rPr>
        <w:t>=8], or [</w:t>
      </w:r>
      <m:oMath>
        <m:sSub>
          <m:sSubPr>
            <m:ctrlPr>
              <w:rPr>
                <w:rFonts w:ascii="Cambria Math" w:eastAsiaTheme="minorEastAsia" w:hAnsi="Cambria Math" w:cs="Times New Roman"/>
                <w:i/>
                <w:lang w:val="en-GB"/>
              </w:rPr>
            </m:ctrlPr>
          </m:sSubPr>
          <m:e>
            <m:r>
              <w:rPr>
                <w:rFonts w:ascii="Cambria Math" w:eastAsia="Batang" w:hAnsi="Cambria Math" w:cs="Times New Roman"/>
                <w:lang w:val="en-GB" w:eastAsia="x-none"/>
              </w:rPr>
              <m:t>N</m:t>
            </m:r>
            <m:ctrlPr>
              <w:rPr>
                <w:rFonts w:ascii="Cambria Math" w:eastAsia="Batang" w:hAnsi="Cambria Math" w:cs="Times New Roman"/>
                <w:i/>
                <w:lang w:val="en-GB" w:eastAsia="x-none"/>
              </w:rPr>
            </m:ctrlPr>
          </m:e>
          <m:sub>
            <m:r>
              <w:rPr>
                <w:rFonts w:ascii="Cambria Math" w:eastAsiaTheme="minorEastAsia" w:hAnsi="Cambria Math" w:cs="Times New Roman"/>
                <w:lang w:val="en-GB"/>
              </w:rPr>
              <m:t>sb</m:t>
            </m:r>
          </m:sub>
        </m:sSub>
      </m:oMath>
      <w:r>
        <w:rPr>
          <w:rFonts w:eastAsia="Batang" w:cs="Times New Roman"/>
          <w:lang w:val="en-GB" w:eastAsia="x-none"/>
        </w:rPr>
        <w:t xml:space="preserve">=48, </w:t>
      </w:r>
      <m:oMath>
        <m:r>
          <w:rPr>
            <w:rFonts w:ascii="Cambria Math" w:eastAsia="Batang" w:hAnsi="Cambria Math" w:cs="Times New Roman"/>
            <w:lang w:val="en-GB" w:eastAsia="x-none"/>
          </w:rPr>
          <m:t>P</m:t>
        </m:r>
      </m:oMath>
      <w:r>
        <w:rPr>
          <w:rFonts w:eastAsia="Batang" w:cs="Times New Roman"/>
          <w:lang w:val="en-GB" w:eastAsia="x-none"/>
        </w:rPr>
        <w:t xml:space="preserve">=4]), it is natural to apply the same </w:t>
      </w:r>
      <m:oMath>
        <m:sSubSup>
          <m:sSubSupPr>
            <m:ctrlPr>
              <w:rPr>
                <w:rFonts w:ascii="Cambria Math" w:eastAsia="Batang" w:hAnsi="Cambria Math" w:cs="Times New Roman"/>
                <w:bCs/>
                <w:iCs/>
                <w:lang w:val="en-GB" w:eastAsia="en-US"/>
              </w:rPr>
            </m:ctrlPr>
          </m:sSubSupPr>
          <m:e>
            <m:r>
              <m:rPr>
                <m:sty m:val="p"/>
              </m:rPr>
              <w:rPr>
                <w:rFonts w:ascii="Cambria Math" w:eastAsia="Batang" w:hAnsi="Cambria Math" w:cs="Times New Roman"/>
                <w:lang w:val="en-GB" w:eastAsia="en-US"/>
              </w:rPr>
              <m:t>d</m:t>
            </m:r>
          </m:e>
          <m:sub>
            <m:r>
              <m:rPr>
                <m:sty m:val="p"/>
              </m:rPr>
              <w:rPr>
                <w:rFonts w:ascii="Cambria Math" w:eastAsia="Batang" w:hAnsi="Cambria Math" w:cs="Times New Roman"/>
                <w:lang w:val="en-GB" w:eastAsia="en-US"/>
              </w:rPr>
              <m:t>z</m:t>
            </m:r>
          </m:sub>
          <m:sup>
            <m:r>
              <m:rPr>
                <m:sty m:val="p"/>
              </m:rPr>
              <w:rPr>
                <w:rFonts w:ascii="Cambria Math" w:eastAsia="Batang" w:hAnsi="Cambria Math" w:cs="Times New Roman"/>
                <w:lang w:val="en-GB" w:eastAsia="en-US"/>
              </w:rPr>
              <m:t>l,ν</m:t>
            </m:r>
          </m:sup>
        </m:sSubSup>
      </m:oMath>
      <w:r w:rsidRPr="006B14B7">
        <w:rPr>
          <w:rFonts w:eastAsia="Batang" w:cs="Times New Roman"/>
          <w:lang w:val="en-GB" w:eastAsia="x-none"/>
        </w:rPr>
        <w:t xml:space="preserve">, </w:t>
      </w:r>
      <m:oMath>
        <m:sSup>
          <m:sSupPr>
            <m:ctrlPr>
              <w:rPr>
                <w:rFonts w:ascii="Cambria Math" w:eastAsia="Batang" w:hAnsi="Cambria Math" w:cs="Times New Roman"/>
                <w:bCs/>
                <w:iCs/>
                <w:lang w:val="en-GB" w:eastAsia="en-US"/>
              </w:rPr>
            </m:ctrlPr>
          </m:sSupPr>
          <m:e>
            <m:r>
              <m:rPr>
                <m:sty m:val="p"/>
              </m:rPr>
              <w:rPr>
                <w:rFonts w:ascii="Cambria Math" w:eastAsia="Batang" w:hAnsi="Cambria Math" w:cs="Times New Roman"/>
                <w:lang w:val="en-GB" w:eastAsia="en-US"/>
              </w:rPr>
              <m:t>Q</m:t>
            </m:r>
          </m:e>
          <m:sup>
            <m:r>
              <m:rPr>
                <m:sty m:val="p"/>
              </m:rPr>
              <w:rPr>
                <w:rFonts w:ascii="Cambria Math" w:eastAsia="Batang" w:hAnsi="Cambria Math" w:cs="Times New Roman"/>
                <w:lang w:val="en-GB" w:eastAsia="en-US"/>
              </w:rPr>
              <m:t>l,ν</m:t>
            </m:r>
          </m:sup>
        </m:sSup>
      </m:oMath>
      <w:r w:rsidRPr="006B14B7">
        <w:rPr>
          <w:rFonts w:eastAsia="Batang" w:cs="Times New Roman"/>
          <w:lang w:val="en-GB" w:eastAsia="x-none"/>
        </w:rPr>
        <w:t xml:space="preserve"> </w:t>
      </w:r>
      <w:r w:rsidRPr="008B6DD9">
        <w:rPr>
          <w:rFonts w:eastAsia="Batang" w:cs="Times New Roman"/>
          <w:lang w:val="en-GB" w:eastAsia="x-none"/>
        </w:rPr>
        <w:t xml:space="preserve">and </w:t>
      </w:r>
      <m:oMath>
        <m:r>
          <m:rPr>
            <m:sty m:val="p"/>
          </m:rPr>
          <w:rPr>
            <w:rFonts w:ascii="Cambria Math" w:eastAsia="Batang" w:hAnsi="Cambria Math" w:cs="Times New Roman"/>
            <w:lang w:val="en-GB" w:eastAsia="en-US"/>
          </w:rPr>
          <m:t>L</m:t>
        </m:r>
      </m:oMath>
      <w:r>
        <w:rPr>
          <w:rFonts w:eastAsiaTheme="minorEastAsia" w:cs="Times New Roman" w:hint="eastAsia"/>
          <w:lang w:val="en-GB"/>
        </w:rPr>
        <w:t xml:space="preserve"> </w:t>
      </w:r>
      <w:r>
        <w:rPr>
          <w:rFonts w:eastAsiaTheme="minorEastAsia" w:cs="Times New Roman"/>
          <w:lang w:val="en-GB"/>
        </w:rPr>
        <w:t xml:space="preserve">since the size of the whole precoding matrix is unchanged. Therefore, it is reasonable that one combination </w:t>
      </w:r>
      <w:r w:rsidRPr="008B6DD9">
        <w:rPr>
          <w:rFonts w:eastAsia="Batang" w:cs="Times New Roman"/>
          <w:lang w:val="en-GB" w:eastAsia="x-none"/>
        </w:rPr>
        <w:t xml:space="preserve">of </w:t>
      </w:r>
      <m:oMath>
        <m:sSubSup>
          <m:sSubSupPr>
            <m:ctrlPr>
              <w:rPr>
                <w:rFonts w:ascii="Cambria Math" w:eastAsia="Batang" w:hAnsi="Cambria Math" w:cs="Times New Roman"/>
                <w:bCs/>
                <w:iCs/>
                <w:lang w:val="en-GB" w:eastAsia="en-US"/>
              </w:rPr>
            </m:ctrlPr>
          </m:sSubSupPr>
          <m:e>
            <m:r>
              <m:rPr>
                <m:sty m:val="p"/>
              </m:rPr>
              <w:rPr>
                <w:rFonts w:ascii="Cambria Math" w:eastAsia="Batang" w:hAnsi="Cambria Math" w:cs="Times New Roman"/>
                <w:lang w:val="en-GB" w:eastAsia="en-US"/>
              </w:rPr>
              <m:t>d</m:t>
            </m:r>
          </m:e>
          <m:sub>
            <m:r>
              <m:rPr>
                <m:sty m:val="p"/>
              </m:rPr>
              <w:rPr>
                <w:rFonts w:ascii="Cambria Math" w:eastAsia="Batang" w:hAnsi="Cambria Math" w:cs="Times New Roman"/>
                <w:lang w:val="en-GB" w:eastAsia="en-US"/>
              </w:rPr>
              <m:t>z</m:t>
            </m:r>
          </m:sub>
          <m:sup>
            <m:r>
              <m:rPr>
                <m:sty m:val="p"/>
              </m:rPr>
              <w:rPr>
                <w:rFonts w:ascii="Cambria Math" w:eastAsia="Batang" w:hAnsi="Cambria Math" w:cs="Times New Roman"/>
                <w:lang w:val="en-GB" w:eastAsia="en-US"/>
              </w:rPr>
              <m:t>l,ν</m:t>
            </m:r>
          </m:sup>
        </m:sSubSup>
      </m:oMath>
      <w:r w:rsidRPr="006B14B7">
        <w:rPr>
          <w:rFonts w:eastAsia="Batang" w:cs="Times New Roman"/>
          <w:lang w:val="en-GB" w:eastAsia="x-none"/>
        </w:rPr>
        <w:t xml:space="preserve">, </w:t>
      </w:r>
      <m:oMath>
        <m:sSup>
          <m:sSupPr>
            <m:ctrlPr>
              <w:rPr>
                <w:rFonts w:ascii="Cambria Math" w:eastAsia="Batang" w:hAnsi="Cambria Math" w:cs="Times New Roman"/>
                <w:bCs/>
                <w:iCs/>
                <w:lang w:val="en-GB" w:eastAsia="en-US"/>
              </w:rPr>
            </m:ctrlPr>
          </m:sSupPr>
          <m:e>
            <m:r>
              <m:rPr>
                <m:sty m:val="p"/>
              </m:rPr>
              <w:rPr>
                <w:rFonts w:ascii="Cambria Math" w:eastAsia="Batang" w:hAnsi="Cambria Math" w:cs="Times New Roman"/>
                <w:lang w:val="en-GB" w:eastAsia="en-US"/>
              </w:rPr>
              <m:t>Q</m:t>
            </m:r>
          </m:e>
          <m:sup>
            <m:r>
              <m:rPr>
                <m:sty m:val="p"/>
              </m:rPr>
              <w:rPr>
                <w:rFonts w:ascii="Cambria Math" w:eastAsia="Batang" w:hAnsi="Cambria Math" w:cs="Times New Roman"/>
                <w:lang w:val="en-GB" w:eastAsia="en-US"/>
              </w:rPr>
              <m:t>l,ν</m:t>
            </m:r>
          </m:sup>
        </m:sSup>
      </m:oMath>
      <w:r w:rsidRPr="006B14B7">
        <w:rPr>
          <w:rFonts w:eastAsia="Batang" w:cs="Times New Roman"/>
          <w:lang w:val="en-GB" w:eastAsia="x-none"/>
        </w:rPr>
        <w:t xml:space="preserve"> and </w:t>
      </w:r>
      <m:oMath>
        <m:r>
          <m:rPr>
            <m:sty m:val="p"/>
          </m:rPr>
          <w:rPr>
            <w:rFonts w:ascii="Cambria Math" w:eastAsia="Batang" w:hAnsi="Cambria Math" w:cs="Times New Roman"/>
            <w:lang w:val="en-GB" w:eastAsia="en-US"/>
          </w:rPr>
          <m:t xml:space="preserve">L </m:t>
        </m:r>
      </m:oMath>
      <w:r w:rsidRPr="008B6DD9">
        <w:rPr>
          <w:rFonts w:eastAsia="Batang" w:cs="Times New Roman"/>
          <w:lang w:val="en-GB" w:eastAsia="x-none"/>
        </w:rPr>
        <w:t xml:space="preserve">is applicable to a certain set of </w:t>
      </w:r>
      <w:proofErr w:type="spellStart"/>
      <w:r w:rsidRPr="008B6DD9">
        <w:rPr>
          <w:rFonts w:eastAsia="Batang" w:cs="Times New Roman"/>
          <w:lang w:val="en-GB" w:eastAsia="x-none"/>
        </w:rPr>
        <w:t>subband</w:t>
      </w:r>
      <w:proofErr w:type="spellEnd"/>
      <w:r w:rsidRPr="008B6DD9">
        <w:rPr>
          <w:rFonts w:eastAsia="Batang" w:cs="Times New Roman"/>
          <w:lang w:val="en-GB" w:eastAsia="x-none"/>
        </w:rPr>
        <w:t xml:space="preserve"> and port configurations</w:t>
      </w:r>
      <w:r>
        <w:rPr>
          <w:rFonts w:eastAsia="Batang" w:cs="Times New Roman"/>
          <w:lang w:val="en-GB" w:eastAsia="x-none"/>
        </w:rPr>
        <w:t>.</w:t>
      </w:r>
    </w:p>
    <w:p w14:paraId="3AF57D43" w14:textId="4DB8D8DF" w:rsidR="009A462C" w:rsidRPr="00E82A66" w:rsidRDefault="009A462C" w:rsidP="009A462C">
      <w:pPr>
        <w:shd w:val="clear" w:color="auto" w:fill="FFFFFF"/>
        <w:textAlignment w:val="baseline"/>
        <w:rPr>
          <w:rFonts w:hint="eastAsia"/>
          <w:highlight w:val="yellow"/>
        </w:rPr>
      </w:pPr>
      <w:r w:rsidRPr="0091549C">
        <w:rPr>
          <w:b/>
          <w:bCs/>
          <w:i/>
        </w:rPr>
        <w:lastRenderedPageBreak/>
        <w:t>Pr</w:t>
      </w:r>
      <w:r w:rsidRPr="0088626E">
        <w:rPr>
          <w:b/>
          <w:bCs/>
          <w:i/>
        </w:rPr>
        <w:t xml:space="preserve">oposal 1: </w:t>
      </w:r>
      <w:r w:rsidRPr="00FC40FC">
        <w:rPr>
          <w:rFonts w:eastAsia="Batang" w:cs="Times New Roman"/>
          <w:b/>
          <w:i/>
          <w:lang w:val="en-GB" w:eastAsia="x-none"/>
        </w:rPr>
        <w:t xml:space="preserve">Each combination of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FC40FC">
        <w:rPr>
          <w:rFonts w:eastAsia="Batang" w:cs="Times New Roman"/>
          <w:b/>
          <w:i/>
          <w:lang w:val="en-GB" w:eastAsia="x-none"/>
        </w:rPr>
        <w:t xml:space="preserve">,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FC40FC">
        <w:rPr>
          <w:rFonts w:eastAsia="Batang" w:cs="Times New Roman"/>
          <w:b/>
          <w:i/>
          <w:lang w:val="en-GB" w:eastAsia="x-none"/>
        </w:rPr>
        <w:t xml:space="preserve"> and </w:t>
      </w:r>
      <m:oMath>
        <m:r>
          <m:rPr>
            <m:sty m:val="bi"/>
          </m:rPr>
          <w:rPr>
            <w:rFonts w:ascii="Cambria Math" w:eastAsia="Batang" w:hAnsi="Cambria Math" w:cs="Times New Roman"/>
            <w:lang w:val="en-GB" w:eastAsia="en-US"/>
          </w:rPr>
          <m:t xml:space="preserve">L </m:t>
        </m:r>
      </m:oMath>
      <w:r w:rsidRPr="00FC40FC">
        <w:rPr>
          <w:rFonts w:eastAsia="Batang" w:cs="Times New Roman"/>
          <w:b/>
          <w:i/>
          <w:lang w:val="en-GB" w:eastAsia="x-none"/>
        </w:rPr>
        <w:t xml:space="preserve">can be applicable to a certain set of subband and port configurations, e.g., the size of </w:t>
      </w:r>
      <m:oMath>
        <m:sSub>
          <m:sSubPr>
            <m:ctrlPr>
              <w:rPr>
                <w:rFonts w:ascii="Cambria Math" w:eastAsia="Batang" w:hAnsi="Cambria Math" w:cs="Times New Roman"/>
                <w:b/>
                <w:i/>
                <w:lang w:val="en-GB" w:eastAsia="x-none"/>
              </w:rPr>
            </m:ctrlPr>
          </m:sSubPr>
          <m:e>
            <m:r>
              <m:rPr>
                <m:sty m:val="bi"/>
              </m:rPr>
              <w:rPr>
                <w:rFonts w:ascii="Cambria Math" w:eastAsia="Batang" w:hAnsi="Cambria Math" w:cs="Times New Roman"/>
                <w:lang w:val="en-GB" w:eastAsia="x-none"/>
              </w:rPr>
              <m:t>N</m:t>
            </m:r>
          </m:e>
          <m:sub>
            <m:r>
              <m:rPr>
                <m:sty m:val="bi"/>
              </m:rPr>
              <w:rPr>
                <w:rFonts w:ascii="Cambria Math" w:eastAsia="Batang" w:hAnsi="Cambria Math" w:cs="Times New Roman"/>
                <w:lang w:val="en-GB" w:eastAsia="x-none"/>
              </w:rPr>
              <m:t>subband</m:t>
            </m:r>
          </m:sub>
        </m:sSub>
        <m:r>
          <w:rPr>
            <w:rFonts w:ascii="Cambria Math" w:eastAsiaTheme="minorEastAsia" w:hAnsi="Cambria Math" w:cs="Times New Roman"/>
            <w:lang w:val="en-GB"/>
          </w:rPr>
          <m:t>×</m:t>
        </m:r>
        <m:sSub>
          <m:sSubPr>
            <m:ctrlPr>
              <w:rPr>
                <w:rFonts w:ascii="Cambria Math" w:eastAsia="Batang" w:hAnsi="Cambria Math" w:cs="Times New Roman"/>
                <w:b/>
                <w:i/>
                <w:lang w:val="en-GB" w:eastAsia="x-none"/>
              </w:rPr>
            </m:ctrlPr>
          </m:sSubPr>
          <m:e>
            <m:r>
              <m:rPr>
                <m:sty m:val="bi"/>
              </m:rPr>
              <w:rPr>
                <w:rFonts w:ascii="Cambria Math" w:eastAsia="Batang" w:hAnsi="Cambria Math" w:cs="Times New Roman"/>
                <w:lang w:val="en-GB" w:eastAsia="x-none"/>
              </w:rPr>
              <m:t>N</m:t>
            </m:r>
          </m:e>
          <m:sub>
            <m:r>
              <m:rPr>
                <m:sty m:val="bi"/>
              </m:rPr>
              <w:rPr>
                <w:rFonts w:ascii="Cambria Math" w:eastAsia="Batang" w:hAnsi="Cambria Math" w:cs="Times New Roman"/>
                <w:lang w:val="en-GB" w:eastAsia="x-none"/>
              </w:rPr>
              <m:t>port</m:t>
            </m:r>
          </m:sub>
        </m:sSub>
      </m:oMath>
      <w:r w:rsidRPr="00FC40FC">
        <w:rPr>
          <w:rFonts w:eastAsia="Batang" w:cs="Times New Roman"/>
          <w:b/>
          <w:i/>
          <w:lang w:val="en-GB" w:eastAsia="x-none"/>
        </w:rPr>
        <w:t xml:space="preserve"> are the same or at least similar.</w:t>
      </w:r>
      <w:bookmarkStart w:id="2" w:name="_GoBack"/>
      <w:bookmarkEnd w:id="2"/>
    </w:p>
    <w:p w14:paraId="2DA0515E" w14:textId="05623A1D" w:rsidR="00432ADF" w:rsidRPr="00FC40FC" w:rsidRDefault="00432ADF" w:rsidP="00432ADF">
      <w:pPr>
        <w:pStyle w:val="a0"/>
        <w:snapToGrid w:val="0"/>
        <w:spacing w:before="120"/>
        <w:jc w:val="both"/>
        <w:rPr>
          <w:lang w:val="en-GB" w:eastAsia="ja-JP"/>
        </w:rPr>
      </w:pPr>
      <w:r w:rsidRPr="00FC40FC">
        <w:rPr>
          <w:lang w:val="en-GB" w:eastAsia="ja-JP"/>
        </w:rPr>
        <w:t xml:space="preserve">According to the agreements reached in the RAN1#122bis meeting, no more than </w:t>
      </w:r>
      <w:r w:rsidR="00160BC0">
        <w:rPr>
          <w:lang w:val="en-GB" w:eastAsia="ja-JP"/>
        </w:rPr>
        <w:t>Y</w:t>
      </w:r>
      <w:r w:rsidR="00160BC0" w:rsidRPr="00FC40FC">
        <w:rPr>
          <w:lang w:val="en-GB" w:eastAsia="ja-JP"/>
        </w:rPr>
        <w:t xml:space="preserve"> </w:t>
      </w:r>
      <w:r w:rsidRPr="00FC40FC">
        <w:rPr>
          <w:lang w:val="en-GB" w:eastAsia="ja-JP"/>
        </w:rPr>
        <w:t xml:space="preserve">= </w:t>
      </w:r>
      <w:r w:rsidR="00160BC0">
        <w:rPr>
          <w:lang w:val="en-GB" w:eastAsia="ja-JP"/>
        </w:rPr>
        <w:t>8</w:t>
      </w:r>
      <w:r w:rsidR="00160BC0" w:rsidRPr="00FC40FC">
        <w:rPr>
          <w:lang w:val="en-GB" w:eastAsia="ja-JP"/>
        </w:rPr>
        <w:t xml:space="preserve"> </w:t>
      </w:r>
      <w:r w:rsidRPr="00FC40FC">
        <w:rPr>
          <w:lang w:val="en-GB" w:eastAsia="ja-JP"/>
        </w:rPr>
        <w:t xml:space="preserve">PCs </w:t>
      </w:r>
      <w:r w:rsidR="00160BC0">
        <w:rPr>
          <w:lang w:val="en-GB" w:eastAsia="ja-JP"/>
        </w:rPr>
        <w:t>(</w:t>
      </w:r>
      <w:r w:rsidR="006B14B7">
        <w:rPr>
          <w:lang w:val="en-GB"/>
        </w:rPr>
        <w:t>i.e</w:t>
      </w:r>
      <w:r w:rsidR="006B14B7">
        <w:rPr>
          <w:lang w:val="en-GB" w:eastAsia="ja-JP"/>
        </w:rPr>
        <w:t>.,</w:t>
      </w:r>
      <w:r w:rsidR="006B14B7">
        <w:rPr>
          <w:lang w:val="en-GB"/>
        </w:rPr>
        <w:t xml:space="preserve"> repr</w:t>
      </w:r>
      <w:r w:rsidR="006B14B7">
        <w:rPr>
          <w:lang w:val="en-GB" w:eastAsia="ja-JP"/>
        </w:rPr>
        <w:t>esenting</w:t>
      </w:r>
      <w:r w:rsidR="00620AE7">
        <w:rPr>
          <w:lang w:val="en-GB" w:eastAsia="ja-JP"/>
        </w:rPr>
        <w:t xml:space="preserve"> a set of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FC40FC">
        <w:rPr>
          <w:lang w:val="en-GB" w:eastAsia="ja-JP"/>
        </w:rPr>
        <w:t xml:space="preserve"> or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 L,</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00620AE7">
        <w:rPr>
          <w:rFonts w:hint="eastAsia"/>
          <w:lang w:val="en-GB"/>
        </w:rPr>
        <w:t xml:space="preserve"> </w:t>
      </w:r>
      <w:r w:rsidR="00620AE7">
        <w:rPr>
          <w:lang w:val="en-GB"/>
        </w:rPr>
        <w:t>for certain l and v</w:t>
      </w:r>
      <w:r w:rsidR="00160BC0">
        <w:rPr>
          <w:lang w:val="en-GB" w:eastAsia="ja-JP"/>
        </w:rPr>
        <w:t>)</w:t>
      </w:r>
      <w:r w:rsidRPr="00FC40FC">
        <w:rPr>
          <w:lang w:val="en-GB" w:eastAsia="ja-JP"/>
        </w:rPr>
        <w:t xml:space="preserve"> </w:t>
      </w:r>
      <w:r w:rsidR="00606C4A">
        <w:rPr>
          <w:lang w:val="en-GB" w:eastAsia="ja-JP"/>
        </w:rPr>
        <w:t>should</w:t>
      </w:r>
      <w:r w:rsidR="00606C4A" w:rsidRPr="00FC40FC">
        <w:rPr>
          <w:lang w:val="en-GB" w:eastAsia="ja-JP"/>
        </w:rPr>
        <w:t xml:space="preserve"> </w:t>
      </w:r>
      <w:r w:rsidRPr="00FC40FC">
        <w:rPr>
          <w:lang w:val="en-GB" w:eastAsia="ja-JP"/>
        </w:rPr>
        <w:t xml:space="preserve">be supported. How to support payload </w:t>
      </w:r>
      <w:r w:rsidR="00620AE7" w:rsidRPr="00FC40FC">
        <w:rPr>
          <w:lang w:val="en-GB" w:eastAsia="ja-JP"/>
        </w:rPr>
        <w:t>size</w:t>
      </w:r>
      <w:r w:rsidR="00620AE7">
        <w:rPr>
          <w:lang w:val="en-GB" w:eastAsia="ja-JP"/>
        </w:rPr>
        <w:t xml:space="preserve"> scalability</w:t>
      </w:r>
      <w:r w:rsidR="00620AE7" w:rsidRPr="00FC40FC">
        <w:rPr>
          <w:lang w:val="en-GB" w:eastAsia="ja-JP"/>
        </w:rPr>
        <w:t xml:space="preserve"> </w:t>
      </w:r>
      <w:r w:rsidRPr="00FC40FC">
        <w:rPr>
          <w:lang w:val="en-GB" w:eastAsia="ja-JP"/>
        </w:rPr>
        <w:t>is left for separate discussion.</w:t>
      </w:r>
    </w:p>
    <w:p w14:paraId="7A5E4D8D" w14:textId="4F92CFC3" w:rsidR="00432ADF" w:rsidRPr="00FC40FC" w:rsidRDefault="00F9510F" w:rsidP="00432ADF">
      <w:pPr>
        <w:pStyle w:val="a0"/>
        <w:snapToGrid w:val="0"/>
        <w:spacing w:before="120"/>
        <w:jc w:val="both"/>
        <w:rPr>
          <w:lang w:val="en-GB" w:eastAsia="ja-JP"/>
        </w:rPr>
      </w:pPr>
      <w:r>
        <w:rPr>
          <w:lang w:val="en-GB" w:eastAsia="ja-JP"/>
        </w:rPr>
        <w:t>For legacy</w:t>
      </w:r>
      <w:r w:rsidR="00432ADF" w:rsidRPr="00FC40FC">
        <w:rPr>
          <w:lang w:val="en-GB" w:eastAsia="ja-JP"/>
        </w:rPr>
        <w:t xml:space="preserve"> </w:t>
      </w:r>
      <w:r w:rsidR="005F7ECF">
        <w:rPr>
          <w:lang w:val="en-GB" w:eastAsia="ja-JP"/>
        </w:rPr>
        <w:t xml:space="preserve">Rel-16 </w:t>
      </w:r>
      <w:proofErr w:type="spellStart"/>
      <w:r w:rsidR="00432ADF" w:rsidRPr="00FC40FC">
        <w:rPr>
          <w:lang w:val="en-GB" w:eastAsia="ja-JP"/>
        </w:rPr>
        <w:t>eType</w:t>
      </w:r>
      <w:proofErr w:type="spellEnd"/>
      <w:r w:rsidR="00432ADF" w:rsidRPr="00FC40FC">
        <w:rPr>
          <w:lang w:val="en-GB" w:eastAsia="ja-JP"/>
        </w:rPr>
        <w:t xml:space="preserve"> II codebook, the </w:t>
      </w:r>
      <w:r w:rsidRPr="00FC40FC">
        <w:rPr>
          <w:lang w:val="en-GB" w:eastAsia="ja-JP"/>
        </w:rPr>
        <w:t xml:space="preserve">maximum </w:t>
      </w:r>
      <w:r w:rsidR="00432ADF" w:rsidRPr="00FC40FC">
        <w:rPr>
          <w:lang w:val="en-GB" w:eastAsia="ja-JP"/>
        </w:rPr>
        <w:t xml:space="preserve">payload size </w:t>
      </w:r>
      <w:r w:rsidR="005F7ECF" w:rsidRPr="00FC40FC">
        <w:rPr>
          <w:lang w:val="en-GB" w:eastAsia="ja-JP"/>
        </w:rPr>
        <w:t xml:space="preserve">is determined by </w:t>
      </w:r>
      <w:r w:rsidR="005F7ECF">
        <w:rPr>
          <w:lang w:val="en-GB" w:eastAsia="ja-JP"/>
        </w:rPr>
        <w:t xml:space="preserve">the </w:t>
      </w:r>
      <w:r w:rsidR="00432ADF" w:rsidRPr="00FC40FC">
        <w:rPr>
          <w:lang w:val="en-GB" w:eastAsia="ja-JP"/>
        </w:rPr>
        <w:t>PC and</w:t>
      </w:r>
      <w:r w:rsidR="005F7ECF">
        <w:rPr>
          <w:lang w:val="en-GB" w:eastAsia="ja-JP"/>
        </w:rPr>
        <w:t xml:space="preserve"> the</w:t>
      </w:r>
      <w:r w:rsidR="00432ADF" w:rsidRPr="00FC40FC">
        <w:rPr>
          <w:lang w:val="en-GB" w:eastAsia="ja-JP"/>
        </w:rPr>
        <w:t xml:space="preserve"> number of subbands </w:t>
      </w:r>
      <m:oMath>
        <m:sSub>
          <m:sSubPr>
            <m:ctrlPr>
              <w:rPr>
                <w:rFonts w:ascii="Cambria Math" w:eastAsiaTheme="minorEastAsia" w:hAnsi="Cambria Math" w:cs="Times New Roman"/>
                <w:i/>
                <w:lang w:val="en-GB"/>
              </w:rPr>
            </m:ctrlPr>
          </m:sSubPr>
          <m:e>
            <m:r>
              <w:rPr>
                <w:rFonts w:ascii="Cambria Math" w:eastAsia="Batang" w:hAnsi="Cambria Math" w:cs="Times New Roman"/>
                <w:lang w:val="en-GB" w:eastAsia="x-none"/>
              </w:rPr>
              <m:t>N</m:t>
            </m:r>
            <m:ctrlPr>
              <w:rPr>
                <w:rFonts w:ascii="Cambria Math" w:eastAsia="Batang" w:hAnsi="Cambria Math" w:cs="Times New Roman"/>
                <w:i/>
                <w:lang w:val="en-GB" w:eastAsia="x-none"/>
              </w:rPr>
            </m:ctrlPr>
          </m:e>
          <m:sub>
            <m:r>
              <w:rPr>
                <w:rFonts w:ascii="Cambria Math" w:eastAsiaTheme="minorEastAsia" w:hAnsi="Cambria Math" w:cs="Times New Roman"/>
                <w:lang w:val="en-GB"/>
              </w:rPr>
              <m:t>subband</m:t>
            </m:r>
          </m:sub>
        </m:sSub>
      </m:oMath>
      <w:r w:rsidR="00432ADF" w:rsidRPr="00FC40FC">
        <w:rPr>
          <w:lang w:val="en-GB" w:eastAsia="ja-JP"/>
        </w:rPr>
        <w:t>. Multiple PC</w:t>
      </w:r>
      <w:r w:rsidR="00620AE7">
        <w:rPr>
          <w:lang w:val="en-GB" w:eastAsia="ja-JP"/>
        </w:rPr>
        <w:t>s</w:t>
      </w:r>
      <w:r w:rsidR="00432ADF" w:rsidRPr="00FC40FC">
        <w:rPr>
          <w:lang w:val="en-GB" w:eastAsia="ja-JP"/>
        </w:rPr>
        <w:t xml:space="preserve"> are supported for different reporting resolution.</w:t>
      </w:r>
      <w:r>
        <w:rPr>
          <w:lang w:val="en-GB" w:eastAsia="ja-JP"/>
        </w:rPr>
        <w:t xml:space="preserve"> </w:t>
      </w:r>
      <w:r w:rsidR="00432ADF" w:rsidRPr="00FC40FC">
        <w:rPr>
          <w:lang w:val="en-GB" w:eastAsia="ja-JP"/>
        </w:rPr>
        <w:t xml:space="preserve">The upper bound of PMI payload size increases linearly with respect to </w:t>
      </w:r>
      <m:oMath>
        <m:sSub>
          <m:sSubPr>
            <m:ctrlPr>
              <w:rPr>
                <w:rFonts w:ascii="Cambria Math" w:eastAsiaTheme="minorEastAsia" w:hAnsi="Cambria Math" w:cs="Times New Roman"/>
                <w:i/>
                <w:lang w:val="en-GB"/>
              </w:rPr>
            </m:ctrlPr>
          </m:sSubPr>
          <m:e>
            <m:r>
              <w:rPr>
                <w:rFonts w:ascii="Cambria Math" w:eastAsia="Batang" w:hAnsi="Cambria Math" w:cs="Times New Roman"/>
                <w:lang w:val="en-GB" w:eastAsia="x-none"/>
              </w:rPr>
              <m:t>N</m:t>
            </m:r>
            <m:ctrlPr>
              <w:rPr>
                <w:rFonts w:ascii="Cambria Math" w:eastAsia="Batang" w:hAnsi="Cambria Math" w:cs="Times New Roman"/>
                <w:i/>
                <w:lang w:val="en-GB" w:eastAsia="x-none"/>
              </w:rPr>
            </m:ctrlPr>
          </m:e>
          <m:sub>
            <m:r>
              <w:rPr>
                <w:rFonts w:ascii="Cambria Math" w:eastAsiaTheme="minorEastAsia" w:hAnsi="Cambria Math" w:cs="Times New Roman"/>
                <w:lang w:val="en-GB"/>
              </w:rPr>
              <m:t>subband</m:t>
            </m:r>
          </m:sub>
        </m:sSub>
      </m:oMath>
      <w:r w:rsidR="00432ADF" w:rsidRPr="00FC40FC">
        <w:rPr>
          <w:lang w:val="en-GB" w:eastAsia="ja-JP"/>
        </w:rPr>
        <w:t xml:space="preserve">. </w:t>
      </w:r>
    </w:p>
    <w:p w14:paraId="0ED2023A" w14:textId="4E3939FD" w:rsidR="00432ADF" w:rsidRPr="00FC40FC" w:rsidRDefault="00432ADF" w:rsidP="00432ADF">
      <w:pPr>
        <w:pStyle w:val="a0"/>
        <w:snapToGrid w:val="0"/>
        <w:spacing w:before="120"/>
        <w:jc w:val="both"/>
        <w:rPr>
          <w:lang w:val="en-GB" w:eastAsia="ja-JP"/>
        </w:rPr>
      </w:pPr>
      <w:r w:rsidRPr="00FC40FC">
        <w:rPr>
          <w:lang w:val="en-GB" w:eastAsia="ja-JP"/>
        </w:rPr>
        <w:t xml:space="preserve">In AI-based CSI compression, </w:t>
      </w:r>
      <w:r w:rsidR="00606C4A">
        <w:rPr>
          <w:lang w:val="en-GB" w:eastAsia="ja-JP"/>
        </w:rPr>
        <w:t xml:space="preserve">the similar design principle should be followed. </w:t>
      </w:r>
      <w:r w:rsidRPr="00FC40FC">
        <w:rPr>
          <w:lang w:val="en-GB" w:eastAsia="ja-JP"/>
        </w:rPr>
        <w:t>the number of payload size combinations</w:t>
      </w:r>
      <w:r w:rsidR="00620AE7">
        <w:rPr>
          <w:lang w:val="en-GB" w:eastAsia="ja-JP"/>
        </w:rPr>
        <w:t xml:space="preserve"> of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00620AE7" w:rsidRPr="00FC40FC">
        <w:rPr>
          <w:lang w:val="en-GB" w:eastAsia="ja-JP"/>
        </w:rPr>
        <w:t xml:space="preserve"> or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 L,</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FC40FC">
        <w:rPr>
          <w:lang w:val="en-GB" w:eastAsia="ja-JP"/>
        </w:rPr>
        <w:t xml:space="preserve"> is limited and cannot be linearly scalable with</w:t>
      </w:r>
      <w:r w:rsidR="00620AE7">
        <w:rPr>
          <w:lang w:val="en-GB" w:eastAsia="ja-JP"/>
        </w:rPr>
        <w:t xml:space="preserve"> respect to</w:t>
      </w:r>
      <w:r w:rsidRPr="00FC40FC">
        <w:rPr>
          <w:lang w:val="en-GB" w:eastAsia="ja-JP"/>
        </w:rPr>
        <w:t xml:space="preserve"> the number of subbands. </w:t>
      </w:r>
    </w:p>
    <w:p w14:paraId="29AC230B" w14:textId="77777777" w:rsidR="00432ADF" w:rsidRPr="00FC40FC" w:rsidRDefault="00432ADF" w:rsidP="00432ADF">
      <w:pPr>
        <w:pStyle w:val="a0"/>
        <w:snapToGrid w:val="0"/>
        <w:spacing w:before="120"/>
        <w:jc w:val="both"/>
        <w:rPr>
          <w:lang w:val="en-GB"/>
        </w:rPr>
      </w:pPr>
      <w:r w:rsidRPr="00FC40FC">
        <w:rPr>
          <w:lang w:val="en-GB"/>
        </w:rPr>
        <w:t xml:space="preserve">There are two methods to enable payload scalability for two-sided CSI compression, such that the payload size is scalable with antenna port and </w:t>
      </w:r>
      <w:proofErr w:type="spellStart"/>
      <w:r w:rsidRPr="00FC40FC">
        <w:rPr>
          <w:lang w:val="en-GB"/>
        </w:rPr>
        <w:t>subband</w:t>
      </w:r>
      <w:proofErr w:type="spellEnd"/>
      <w:r w:rsidRPr="00FC40FC">
        <w:rPr>
          <w:lang w:val="en-GB"/>
        </w:rPr>
        <w:t xml:space="preserve"> configurations and channel condition.</w:t>
      </w:r>
    </w:p>
    <w:p w14:paraId="4BC92AC5" w14:textId="0ECA5345" w:rsidR="00432ADF" w:rsidRPr="00620AE7" w:rsidRDefault="00432ADF" w:rsidP="00432ADF">
      <w:pPr>
        <w:pStyle w:val="a0"/>
        <w:numPr>
          <w:ilvl w:val="0"/>
          <w:numId w:val="27"/>
        </w:numPr>
        <w:snapToGrid w:val="0"/>
        <w:spacing w:before="120"/>
        <w:jc w:val="both"/>
        <w:rPr>
          <w:lang w:val="en-GB"/>
        </w:rPr>
      </w:pPr>
      <w:r w:rsidRPr="00FC40FC">
        <w:rPr>
          <w:lang w:val="en-GB"/>
        </w:rPr>
        <w:t xml:space="preserve">Method 1: </w:t>
      </w:r>
      <w:r w:rsidRPr="00620AE7">
        <w:rPr>
          <w:lang w:val="en-GB"/>
        </w:rPr>
        <w:t xml:space="preserve">Given rank value v and layer value l, PC index n indicates a payload size configuration </w:t>
      </w:r>
      <w:r w:rsidRPr="00620AE7">
        <w:rPr>
          <w:lang w:val="en-GB" w:eastAsia="ja-JP"/>
        </w:rPr>
        <w:t xml:space="preserve">of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620AE7">
        <w:rPr>
          <w:lang w:val="en-GB" w:eastAsia="ja-JP"/>
        </w:rPr>
        <w:t xml:space="preserve"> or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 L,</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620AE7">
        <w:rPr>
          <w:lang w:val="en-GB"/>
        </w:rPr>
        <w:t xml:space="preserve">. </w:t>
      </w:r>
      <w:r w:rsidR="00620AE7">
        <w:rPr>
          <w:lang w:val="en-GB"/>
        </w:rPr>
        <w:t>To enable payload scalab</w:t>
      </w:r>
      <w:r w:rsidR="006B14B7">
        <w:rPr>
          <w:lang w:val="en-GB"/>
        </w:rPr>
        <w:t>il</w:t>
      </w:r>
      <w:r w:rsidR="00620AE7">
        <w:rPr>
          <w:lang w:val="en-GB"/>
        </w:rPr>
        <w:t>ity, multiple PC tables shall be defined for</w:t>
      </w:r>
      <w:r w:rsidR="00620AE7" w:rsidRPr="00620AE7">
        <w:rPr>
          <w:lang w:val="en-GB"/>
        </w:rPr>
        <w:t xml:space="preserve"> </w:t>
      </w:r>
      <w:r w:rsidRPr="00620AE7">
        <w:rPr>
          <w:lang w:val="en-GB"/>
        </w:rPr>
        <w:t xml:space="preserve">different antenna port and </w:t>
      </w:r>
      <w:proofErr w:type="spellStart"/>
      <w:r w:rsidRPr="00620AE7">
        <w:rPr>
          <w:lang w:val="en-GB"/>
        </w:rPr>
        <w:t>subband</w:t>
      </w:r>
      <w:proofErr w:type="spellEnd"/>
      <w:r w:rsidRPr="00620AE7">
        <w:rPr>
          <w:lang w:val="en-GB"/>
        </w:rPr>
        <w:t xml:space="preserve"> configurations.</w:t>
      </w:r>
    </w:p>
    <w:p w14:paraId="7F7AB63B" w14:textId="298A6202" w:rsidR="00432ADF" w:rsidRPr="00FC40FC" w:rsidRDefault="00432ADF" w:rsidP="00432ADF">
      <w:pPr>
        <w:pStyle w:val="a0"/>
        <w:numPr>
          <w:ilvl w:val="0"/>
          <w:numId w:val="27"/>
        </w:numPr>
        <w:snapToGrid w:val="0"/>
        <w:spacing w:before="120"/>
        <w:jc w:val="both"/>
        <w:rPr>
          <w:lang w:val="en-GB"/>
        </w:rPr>
      </w:pPr>
      <w:r w:rsidRPr="00620AE7">
        <w:rPr>
          <w:lang w:val="en-GB"/>
        </w:rPr>
        <w:t>Method 2: Given rank value v and layer value l,</w:t>
      </w:r>
      <w:r w:rsidRPr="00FC40FC">
        <w:rPr>
          <w:lang w:val="en-GB"/>
        </w:rPr>
        <w:t xml:space="preserve"> PC index n indicates a set of payload size configurations </w:t>
      </w:r>
      <w:r w:rsidRPr="00FC40FC">
        <w:rPr>
          <w:lang w:val="en-GB" w:eastAsia="ja-JP"/>
        </w:rPr>
        <w:t xml:space="preserve">of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FC40FC">
        <w:rPr>
          <w:lang w:val="en-GB" w:eastAsia="ja-JP"/>
        </w:rPr>
        <w:t xml:space="preserve"> or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 L,</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FC40FC">
        <w:rPr>
          <w:lang w:val="en-GB"/>
        </w:rPr>
        <w:t>. In the inference process,</w:t>
      </w:r>
      <w:r w:rsidR="00620AE7">
        <w:rPr>
          <w:lang w:val="en-GB"/>
        </w:rPr>
        <w:t xml:space="preserve"> for each typical antenna port and </w:t>
      </w:r>
      <w:proofErr w:type="spellStart"/>
      <w:r w:rsidR="00620AE7">
        <w:rPr>
          <w:lang w:val="en-GB"/>
        </w:rPr>
        <w:t>subband</w:t>
      </w:r>
      <w:proofErr w:type="spellEnd"/>
      <w:r w:rsidR="00620AE7">
        <w:rPr>
          <w:lang w:val="en-GB"/>
        </w:rPr>
        <w:t xml:space="preserve"> configuration,</w:t>
      </w:r>
      <w:r w:rsidRPr="00FC40FC">
        <w:rPr>
          <w:lang w:val="en-GB"/>
        </w:rPr>
        <w:t xml:space="preserve"> a specific payload size configuration is indicated by NW side or selected by UE side considering the channel condition and UE capability.</w:t>
      </w:r>
    </w:p>
    <w:p w14:paraId="21AE0081" w14:textId="77777777" w:rsidR="00432ADF" w:rsidRPr="00FC40FC" w:rsidRDefault="00432ADF" w:rsidP="00432ADF">
      <w:pPr>
        <w:pStyle w:val="a0"/>
        <w:snapToGrid w:val="0"/>
        <w:spacing w:before="120"/>
        <w:jc w:val="both"/>
        <w:rPr>
          <w:lang w:val="en-GB"/>
        </w:rPr>
      </w:pPr>
      <w:r w:rsidRPr="00FC40FC">
        <w:rPr>
          <w:lang w:val="en-GB"/>
        </w:rPr>
        <w:t>The pros and cons of method 1 and method 2 are as follows:</w:t>
      </w:r>
    </w:p>
    <w:p w14:paraId="2B560D23" w14:textId="77777777" w:rsidR="00432ADF" w:rsidRPr="00FC40FC" w:rsidRDefault="00432ADF" w:rsidP="00432ADF">
      <w:pPr>
        <w:pStyle w:val="a0"/>
        <w:numPr>
          <w:ilvl w:val="0"/>
          <w:numId w:val="28"/>
        </w:numPr>
        <w:snapToGrid w:val="0"/>
        <w:spacing w:before="120"/>
        <w:jc w:val="both"/>
        <w:rPr>
          <w:lang w:val="en-GB"/>
        </w:rPr>
      </w:pPr>
      <w:r w:rsidRPr="00FC40FC">
        <w:rPr>
          <w:lang w:val="en-GB"/>
        </w:rPr>
        <w:t>Method 1 is straightforward and simple. Considering the PC table shall be standardized to make sure NW and UE side’s consistency. The flexible of Method 1 is limited.</w:t>
      </w:r>
    </w:p>
    <w:p w14:paraId="1F42BB01" w14:textId="4A7CE7CE" w:rsidR="00432ADF" w:rsidRDefault="00432ADF" w:rsidP="00432ADF">
      <w:pPr>
        <w:pStyle w:val="a0"/>
        <w:numPr>
          <w:ilvl w:val="0"/>
          <w:numId w:val="28"/>
        </w:numPr>
        <w:snapToGrid w:val="0"/>
        <w:spacing w:before="120"/>
        <w:jc w:val="both"/>
        <w:rPr>
          <w:lang w:val="en-GB"/>
        </w:rPr>
      </w:pPr>
      <w:r w:rsidRPr="00FC40FC">
        <w:rPr>
          <w:lang w:val="en-GB"/>
        </w:rPr>
        <w:t>Method 2 is more flexible. However, Method 2 needs more training effort of inter-vendor training collaboration.</w:t>
      </w:r>
    </w:p>
    <w:p w14:paraId="5E0CCD2F" w14:textId="301A7B6B" w:rsidR="00432ADF" w:rsidRPr="00FC40FC" w:rsidRDefault="00A14DB1" w:rsidP="00432ADF">
      <w:pPr>
        <w:pStyle w:val="a0"/>
        <w:snapToGrid w:val="0"/>
        <w:spacing w:before="120"/>
        <w:jc w:val="both"/>
        <w:rPr>
          <w:lang w:val="en-GB"/>
        </w:rPr>
      </w:pPr>
      <w:r w:rsidRPr="00FC40FC">
        <w:rPr>
          <w:lang w:val="en-GB"/>
        </w:rPr>
        <w:t xml:space="preserve">Fora given PC and rank value, the payload size configuration can be indicated in </w:t>
      </w:r>
      <w:r>
        <w:rPr>
          <w:rFonts w:hint="eastAsia"/>
          <w:lang w:val="en-GB"/>
        </w:rPr>
        <w:t>abo</w:t>
      </w:r>
      <w:r>
        <w:rPr>
          <w:lang w:val="en-GB"/>
        </w:rPr>
        <w:t xml:space="preserve">ve </w:t>
      </w:r>
      <w:r w:rsidRPr="00FC40FC">
        <w:rPr>
          <w:lang w:val="en-GB"/>
        </w:rPr>
        <w:t xml:space="preserve">two methods. </w:t>
      </w:r>
      <w:r w:rsidR="000026E1">
        <w:rPr>
          <w:lang w:val="en-GB"/>
        </w:rPr>
        <w:t xml:space="preserve">Actually, the payload size indication can be explicitly or implicitly. </w:t>
      </w:r>
      <w:r w:rsidRPr="00FC40FC">
        <w:rPr>
          <w:lang w:val="en-GB"/>
        </w:rPr>
        <w:t xml:space="preserve">The </w:t>
      </w:r>
      <w:r w:rsidR="000026E1">
        <w:rPr>
          <w:lang w:val="en-GB"/>
        </w:rPr>
        <w:t>explicit way</w:t>
      </w:r>
      <w:r w:rsidRPr="00FC40FC">
        <w:rPr>
          <w:lang w:val="en-GB"/>
        </w:rPr>
        <w:t xml:space="preserve"> specifies a set of configuration options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FC40FC">
        <w:rPr>
          <w:lang w:val="en-GB" w:eastAsia="ja-JP"/>
        </w:rPr>
        <w:t xml:space="preserve"> or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 L,</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FC40FC">
        <w:rPr>
          <w:lang w:val="en-GB"/>
        </w:rPr>
        <w:t xml:space="preserve">. Alternatively, the </w:t>
      </w:r>
      <w:r w:rsidR="000026E1">
        <w:rPr>
          <w:lang w:val="en-GB"/>
        </w:rPr>
        <w:t>implicit</w:t>
      </w:r>
      <w:r w:rsidRPr="00FC40FC">
        <w:rPr>
          <w:lang w:val="en-GB"/>
        </w:rPr>
        <w:t xml:space="preserve"> </w:t>
      </w:r>
      <w:r w:rsidR="000026E1">
        <w:rPr>
          <w:lang w:val="en-GB"/>
        </w:rPr>
        <w:t>way</w:t>
      </w:r>
      <w:r w:rsidRPr="00FC40FC">
        <w:rPr>
          <w:lang w:val="en-GB"/>
        </w:rPr>
        <w:t xml:space="preserve"> can be used</w:t>
      </w:r>
      <w:r w:rsidR="000026E1">
        <w:rPr>
          <w:lang w:val="en-GB"/>
        </w:rPr>
        <w:t xml:space="preserve"> by mapping payload size with at least one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000026E1" w:rsidRPr="00FC40FC">
        <w:rPr>
          <w:lang w:val="en-GB" w:eastAsia="ja-JP"/>
        </w:rPr>
        <w:t xml:space="preserve"> or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 L,</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FC40FC">
        <w:rPr>
          <w:lang w:val="en-GB"/>
        </w:rPr>
        <w:t xml:space="preserve">. For example, in the PC table, each PC provides the maximum total payload size T for each rank value, and any combination of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FC40FC">
        <w:rPr>
          <w:lang w:val="en-GB" w:eastAsia="ja-JP"/>
        </w:rPr>
        <w:t xml:space="preserve"> or </w:t>
      </w:r>
      <m:oMath>
        <m:d>
          <m:dPr>
            <m:begChr m:val="{"/>
            <m:endChr m:val="}"/>
            <m:ctrlPr>
              <w:rPr>
                <w:rFonts w:ascii="Cambria Math" w:hAnsi="Cambria Math"/>
                <w:lang w:val="en-GB" w:eastAsia="ja-JP"/>
              </w:rPr>
            </m:ctrlPr>
          </m:dPr>
          <m:e>
            <m:sSup>
              <m:sSupPr>
                <m:ctrlPr>
                  <w:rPr>
                    <w:rFonts w:ascii="Cambria Math" w:hAnsi="Cambria Math"/>
                    <w:lang w:val="en-GB" w:eastAsia="ja-JP"/>
                  </w:rPr>
                </m:ctrlPr>
              </m:sSupPr>
              <m:e>
                <m:r>
                  <m:rPr>
                    <m:sty m:val="p"/>
                  </m:rPr>
                  <w:rPr>
                    <w:rFonts w:ascii="Cambria Math" w:hAnsi="Cambria Math"/>
                    <w:lang w:val="en-GB" w:eastAsia="ja-JP"/>
                  </w:rPr>
                  <m:t>d</m:t>
                </m:r>
              </m:e>
              <m:sup>
                <m:r>
                  <m:rPr>
                    <m:sty m:val="p"/>
                  </m:rPr>
                  <w:rPr>
                    <w:rFonts w:ascii="Cambria Math" w:hAnsi="Cambria Math"/>
                    <w:lang w:val="en-GB" w:eastAsia="ja-JP"/>
                  </w:rPr>
                  <m:t>l,ν</m:t>
                </m:r>
              </m:sup>
            </m:sSup>
            <m:r>
              <m:rPr>
                <m:sty m:val="p"/>
              </m:rPr>
              <w:rPr>
                <w:rFonts w:ascii="Cambria Math" w:hAnsi="Cambria Math"/>
                <w:lang w:val="en-GB" w:eastAsia="ja-JP"/>
              </w:rPr>
              <m:t>, L,</m:t>
            </m:r>
            <m:sSup>
              <m:sSupPr>
                <m:ctrlPr>
                  <w:rPr>
                    <w:rFonts w:ascii="Cambria Math" w:hAnsi="Cambria Math"/>
                    <w:lang w:val="en-GB" w:eastAsia="ja-JP"/>
                  </w:rPr>
                </m:ctrlPr>
              </m:sSupPr>
              <m:e>
                <m:r>
                  <m:rPr>
                    <m:sty m:val="p"/>
                  </m:rPr>
                  <w:rPr>
                    <w:rFonts w:ascii="Cambria Math" w:hAnsi="Cambria Math"/>
                    <w:lang w:val="en-GB" w:eastAsia="ja-JP"/>
                  </w:rPr>
                  <m:t>Q</m:t>
                </m:r>
              </m:e>
              <m:sup>
                <m:r>
                  <m:rPr>
                    <m:sty m:val="p"/>
                  </m:rPr>
                  <w:rPr>
                    <w:rFonts w:ascii="Cambria Math" w:hAnsi="Cambria Math"/>
                    <w:lang w:val="en-GB" w:eastAsia="ja-JP"/>
                  </w:rPr>
                  <m:t>l,ν</m:t>
                </m:r>
              </m:sup>
            </m:sSup>
          </m:e>
        </m:d>
      </m:oMath>
      <w:r w:rsidRPr="00FC40FC">
        <w:rPr>
          <w:lang w:val="en-GB"/>
        </w:rPr>
        <w:t xml:space="preserve">  whose payload size does not exceed T can be applied for CSI </w:t>
      </w:r>
      <w:proofErr w:type="spellStart"/>
      <w:r w:rsidRPr="00FC40FC">
        <w:rPr>
          <w:lang w:val="en-GB"/>
        </w:rPr>
        <w:t>feedback.</w:t>
      </w:r>
      <w:r w:rsidR="00432ADF" w:rsidRPr="00FC40FC">
        <w:rPr>
          <w:lang w:val="en-GB"/>
        </w:rPr>
        <w:t>We</w:t>
      </w:r>
      <w:proofErr w:type="spellEnd"/>
      <w:r w:rsidR="00432ADF" w:rsidRPr="00FC40FC">
        <w:rPr>
          <w:lang w:val="en-GB"/>
        </w:rPr>
        <w:t xml:space="preserve"> support Method 2 for flexibility. Method 1 can be a special case of Method 2.</w:t>
      </w:r>
    </w:p>
    <w:p w14:paraId="4056BE6B" w14:textId="1B0F46A3" w:rsidR="000026E1" w:rsidRPr="00FC40FC" w:rsidRDefault="00432ADF" w:rsidP="002C1357">
      <w:pPr>
        <w:pStyle w:val="a0"/>
        <w:snapToGrid w:val="0"/>
        <w:spacing w:before="120"/>
        <w:jc w:val="both"/>
        <w:rPr>
          <w:b/>
          <w:bCs/>
          <w:i/>
          <w:iCs/>
          <w:lang w:val="en-GB"/>
        </w:rPr>
      </w:pPr>
      <w:r w:rsidRPr="00FC40FC">
        <w:rPr>
          <w:b/>
          <w:bCs/>
          <w:i/>
          <w:iCs/>
          <w:lang w:val="en-GB"/>
        </w:rPr>
        <w:t>Proposal 2: In the inference report configuration, support NW configures a set of payload size configurations for a certain PC and rank value, UE can select one payload size configuration from the set.</w:t>
      </w:r>
    </w:p>
    <w:p w14:paraId="74E65F26" w14:textId="31321D6C" w:rsidR="00AD166F" w:rsidRDefault="00FD49EB" w:rsidP="00FD49EB">
      <w:pPr>
        <w:pStyle w:val="a0"/>
        <w:snapToGrid w:val="0"/>
        <w:spacing w:before="120"/>
        <w:jc w:val="both"/>
        <w:rPr>
          <w:rFonts w:eastAsiaTheme="minorEastAsia" w:cs="Times New Roman"/>
          <w:b/>
          <w:bCs/>
          <w:iCs/>
          <w:u w:val="single"/>
          <w:lang w:val="en-GB"/>
        </w:rPr>
      </w:pPr>
      <w:r w:rsidRPr="0009654B">
        <w:rPr>
          <w:rFonts w:eastAsiaTheme="minorEastAsia" w:cs="Times New Roman"/>
          <w:b/>
          <w:bCs/>
          <w:iCs/>
          <w:u w:val="single"/>
          <w:lang w:val="en-GB"/>
        </w:rPr>
        <w:t xml:space="preserve">The </w:t>
      </w:r>
      <w:r w:rsidR="00AD166F">
        <w:rPr>
          <w:rFonts w:eastAsiaTheme="minorEastAsia" w:cs="Times New Roman"/>
          <w:b/>
          <w:bCs/>
          <w:iCs/>
          <w:u w:val="single"/>
          <w:lang w:val="en-GB"/>
        </w:rPr>
        <w:t>payload sizes</w:t>
      </w:r>
      <w:r w:rsidRPr="0009654B">
        <w:rPr>
          <w:rFonts w:eastAsiaTheme="minorEastAsia" w:cs="Times New Roman"/>
          <w:b/>
          <w:bCs/>
          <w:iCs/>
          <w:u w:val="single"/>
          <w:lang w:val="en-GB"/>
        </w:rPr>
        <w:t xml:space="preserve"> </w:t>
      </w:r>
      <w:r w:rsidRPr="0009654B">
        <w:rPr>
          <w:rFonts w:eastAsiaTheme="minorEastAsia" w:cs="Times New Roman" w:hint="eastAsia"/>
          <w:b/>
          <w:bCs/>
          <w:iCs/>
          <w:u w:val="single"/>
          <w:lang w:val="en-GB"/>
        </w:rPr>
        <w:t>for</w:t>
      </w:r>
      <w:r w:rsidRPr="0009654B">
        <w:rPr>
          <w:rFonts w:eastAsiaTheme="minorEastAsia" w:cs="Times New Roman"/>
          <w:b/>
          <w:bCs/>
          <w:iCs/>
          <w:u w:val="single"/>
          <w:lang w:val="en-GB"/>
        </w:rPr>
        <w:t xml:space="preserve"> </w:t>
      </w:r>
      <w:r w:rsidRPr="0009654B">
        <w:rPr>
          <w:rFonts w:eastAsiaTheme="minorEastAsia" w:cs="Times New Roman" w:hint="eastAsia"/>
          <w:b/>
          <w:bCs/>
          <w:iCs/>
          <w:u w:val="single"/>
          <w:lang w:val="en-GB"/>
        </w:rPr>
        <w:t>different</w:t>
      </w:r>
      <w:r w:rsidRPr="0009654B">
        <w:rPr>
          <w:rFonts w:eastAsiaTheme="minorEastAsia" w:cs="Times New Roman"/>
          <w:b/>
          <w:bCs/>
          <w:iCs/>
          <w:u w:val="single"/>
          <w:lang w:val="en-GB"/>
        </w:rPr>
        <w:t xml:space="preserve"> </w:t>
      </w:r>
      <w:r w:rsidRPr="0009654B">
        <w:rPr>
          <w:rFonts w:eastAsiaTheme="minorEastAsia" w:cs="Times New Roman" w:hint="eastAsia"/>
          <w:b/>
          <w:bCs/>
          <w:iCs/>
          <w:u w:val="single"/>
          <w:lang w:val="en-GB"/>
        </w:rPr>
        <w:t>layers</w:t>
      </w:r>
      <w:r w:rsidR="00AD166F">
        <w:rPr>
          <w:rFonts w:eastAsiaTheme="minorEastAsia" w:cs="Times New Roman"/>
          <w:b/>
          <w:bCs/>
          <w:iCs/>
          <w:u w:val="single"/>
          <w:lang w:val="en-GB"/>
        </w:rPr>
        <w:t>:</w:t>
      </w:r>
    </w:p>
    <w:p w14:paraId="6262C36C" w14:textId="2C1564D1" w:rsidR="00FD49EB" w:rsidRPr="007230F8" w:rsidRDefault="00FD49EB" w:rsidP="00FD49EB">
      <w:pPr>
        <w:pStyle w:val="a0"/>
        <w:snapToGrid w:val="0"/>
        <w:spacing w:before="120"/>
        <w:jc w:val="both"/>
        <w:rPr>
          <w:lang w:val="en-GB"/>
        </w:rPr>
      </w:pPr>
      <w:r>
        <w:rPr>
          <w:bCs/>
          <w:iCs/>
        </w:rPr>
        <w:t xml:space="preserve">In the previous meeting, the discussions about the down selection of PCs has been arisen. An issue should be considered </w:t>
      </w:r>
      <w:r>
        <w:rPr>
          <w:rFonts w:ascii="BlinkMacSystemFont" w:hAnsi="BlinkMacSystemFont"/>
          <w:color w:val="111111"/>
          <w:shd w:val="clear" w:color="auto" w:fill="FFFFFF"/>
        </w:rPr>
        <w:t>is how to set the payload sizes of a, b, and c, e.g., the payload sizes of {a, b, c} are non-decreasing or non-increasing.</w:t>
      </w:r>
      <w:r>
        <w:rPr>
          <w:rFonts w:hint="eastAsia"/>
          <w:bCs/>
          <w:iCs/>
        </w:rPr>
        <w:t xml:space="preserve"> </w:t>
      </w:r>
      <w:r>
        <w:rPr>
          <w:bCs/>
          <w:iCs/>
        </w:rPr>
        <w:t xml:space="preserve">To this end, we provide evaluations for rank 4 in </w:t>
      </w:r>
      <w:r w:rsidRPr="004E5AA2">
        <w:rPr>
          <w:lang w:val="en-GB" w:eastAsia="ja-JP"/>
        </w:rPr>
        <w:t>Table 2-</w:t>
      </w:r>
      <w:r w:rsidR="00F9510F">
        <w:rPr>
          <w:lang w:val="en-GB" w:eastAsia="ja-JP"/>
        </w:rPr>
        <w:t>1</w:t>
      </w:r>
      <w:r>
        <w:rPr>
          <w:lang w:val="en-GB" w:eastAsia="ja-JP"/>
        </w:rPr>
        <w:t>. The evaluation setting is given as follows:</w:t>
      </w:r>
      <w:r w:rsidR="003D24C1">
        <w:rPr>
          <w:lang w:val="en-GB" w:eastAsia="ja-JP"/>
        </w:rPr>
        <w:t xml:space="preserve"> </w:t>
      </w:r>
      <w:r w:rsidR="003D24C1">
        <w:rPr>
          <w:lang w:val="en-GB"/>
        </w:rPr>
        <w:t xml:space="preserve">the target CSI is the right singular vectors of the channel matrix, where the </w:t>
      </w:r>
      <w:r w:rsidR="00D7207C">
        <w:rPr>
          <w:rFonts w:ascii="BlinkMacSystemFont" w:hAnsi="BlinkMacSystemFont"/>
          <w:color w:val="111111"/>
          <w:shd w:val="clear" w:color="auto" w:fill="FFFFFF"/>
        </w:rPr>
        <w:t>layers 1 to 4 are arranged in descending order according to their corresponding singular values</w:t>
      </w:r>
      <w:r w:rsidR="00095EFC">
        <w:rPr>
          <w:rFonts w:ascii="BlinkMacSystemFont" w:hAnsi="BlinkMacSystemFont"/>
          <w:color w:val="111111"/>
          <w:shd w:val="clear" w:color="auto" w:fill="FFFFFF"/>
        </w:rPr>
        <w:t>,</w:t>
      </w:r>
      <w:r>
        <w:rPr>
          <w:lang w:val="en-GB" w:eastAsia="ja-JP"/>
        </w:rPr>
        <w:t xml:space="preserve"> the number of ports </w:t>
      </w:r>
      <m:oMath>
        <m:sSub>
          <m:sSubPr>
            <m:ctrlPr>
              <w:rPr>
                <w:rFonts w:ascii="Cambria Math" w:hAnsi="Cambria Math"/>
                <w:i/>
                <w:iCs/>
                <w:lang w:val="en-GB" w:eastAsia="ja-JP"/>
              </w:rPr>
            </m:ctrlPr>
          </m:sSubPr>
          <m:e>
            <m:r>
              <w:rPr>
                <w:rFonts w:ascii="Cambria Math" w:hAnsi="Cambria Math"/>
                <w:lang w:val="en-GB" w:eastAsia="ja-JP"/>
              </w:rPr>
              <m:t>N</m:t>
            </m:r>
          </m:e>
          <m:sub>
            <m:r>
              <w:rPr>
                <w:rFonts w:ascii="Cambria Math" w:hAnsi="Cambria Math"/>
                <w:lang w:val="en-GB" w:eastAsia="ja-JP"/>
              </w:rPr>
              <m:t>port</m:t>
            </m:r>
          </m:sub>
        </m:sSub>
        <m:r>
          <w:rPr>
            <w:rFonts w:ascii="Cambria Math" w:hAnsi="Cambria Math"/>
            <w:lang w:val="en-GB" w:eastAsia="ja-JP"/>
          </w:rPr>
          <m:t>=32</m:t>
        </m:r>
      </m:oMath>
      <w:r>
        <w:rPr>
          <w:rFonts w:hint="eastAsia"/>
          <w:lang w:val="en-GB"/>
        </w:rPr>
        <w:t>,</w:t>
      </w:r>
      <w:r>
        <w:rPr>
          <w:lang w:val="en-GB"/>
        </w:rPr>
        <w:t xml:space="preserve"> the number of subbands </w:t>
      </w:r>
      <m:oMath>
        <m:sSub>
          <m:sSubPr>
            <m:ctrlPr>
              <w:rPr>
                <w:rFonts w:ascii="Cambria Math" w:eastAsiaTheme="minorEastAsia" w:hAnsi="Cambria Math" w:cs="Times New Roman"/>
                <w:i/>
                <w:lang w:val="en-GB"/>
              </w:rPr>
            </m:ctrlPr>
          </m:sSubPr>
          <m:e>
            <m:r>
              <w:rPr>
                <w:rFonts w:ascii="Cambria Math" w:eastAsia="Batang" w:hAnsi="Cambria Math" w:cs="Times New Roman"/>
                <w:lang w:val="en-GB" w:eastAsia="x-none"/>
              </w:rPr>
              <m:t>N</m:t>
            </m:r>
            <m:ctrlPr>
              <w:rPr>
                <w:rFonts w:ascii="Cambria Math" w:eastAsia="Batang" w:hAnsi="Cambria Math" w:cs="Times New Roman"/>
                <w:i/>
                <w:lang w:val="en-GB" w:eastAsia="x-none"/>
              </w:rPr>
            </m:ctrlPr>
          </m:e>
          <m:sub>
            <m:r>
              <w:rPr>
                <w:rFonts w:ascii="Cambria Math" w:eastAsiaTheme="minorEastAsia" w:hAnsi="Cambria Math" w:cs="Times New Roman"/>
                <w:lang w:val="en-GB"/>
              </w:rPr>
              <m:t>subband</m:t>
            </m:r>
          </m:sub>
        </m:sSub>
        <m:r>
          <w:rPr>
            <w:rFonts w:ascii="Cambria Math" w:hAnsi="Cambria Math"/>
            <w:lang w:val="en-GB"/>
          </w:rPr>
          <m:t>=13</m:t>
        </m:r>
      </m:oMath>
      <w:r w:rsidR="003D24C1">
        <w:rPr>
          <w:rFonts w:hint="eastAsia"/>
          <w:lang w:val="en-GB"/>
        </w:rPr>
        <w:t>,</w:t>
      </w:r>
      <w:r w:rsidR="003D24C1">
        <w:rPr>
          <w:lang w:val="en-GB"/>
        </w:rPr>
        <w:t xml:space="preserve"> </w:t>
      </w:r>
      <w:r>
        <w:rPr>
          <w:lang w:val="en-GB"/>
        </w:rPr>
        <w:t xml:space="preserve">SQ is adopted and all layers share the same parameter pair </w:t>
      </w:r>
      <m:oMath>
        <m:d>
          <m:dPr>
            <m:begChr m:val="{"/>
            <m:endChr m:val="}"/>
            <m:ctrlPr>
              <w:rPr>
                <w:rFonts w:ascii="Cambria Math" w:hAnsi="Cambria Math" w:cs="Times New Roman"/>
                <w:lang w:val="en-GB" w:eastAsia="ja-JP"/>
              </w:rPr>
            </m:ctrlPr>
          </m:dPr>
          <m:e>
            <m:sSup>
              <m:sSupPr>
                <m:ctrlPr>
                  <w:rPr>
                    <w:rFonts w:ascii="Cambria Math" w:hAnsi="Cambria Math" w:cs="Times New Roman"/>
                    <w:lang w:val="en-GB" w:eastAsia="ja-JP"/>
                  </w:rPr>
                </m:ctrlPr>
              </m:sSupPr>
              <m:e>
                <m:r>
                  <m:rPr>
                    <m:sty m:val="p"/>
                  </m:rPr>
                  <w:rPr>
                    <w:rFonts w:ascii="Cambria Math" w:hAnsi="Cambria Math" w:cs="Times New Roman"/>
                    <w:lang w:val="en-GB" w:eastAsia="ja-JP"/>
                  </w:rPr>
                  <m:t>d</m:t>
                </m:r>
              </m:e>
              <m:sup>
                <m:r>
                  <m:rPr>
                    <m:sty m:val="p"/>
                  </m:rPr>
                  <w:rPr>
                    <w:rFonts w:ascii="Cambria Math" w:hAnsi="Cambria Math" w:cs="Times New Roman"/>
                    <w:lang w:val="en-GB" w:eastAsia="ja-JP"/>
                  </w:rPr>
                  <m:t>l,ν</m:t>
                </m:r>
              </m:sup>
            </m:sSup>
            <m:r>
              <m:rPr>
                <m:sty m:val="p"/>
              </m:rPr>
              <w:rPr>
                <w:rFonts w:ascii="Cambria Math" w:hAnsi="Cambria Math" w:cs="Times New Roman"/>
                <w:lang w:val="en-GB" w:eastAsia="ja-JP"/>
              </w:rPr>
              <m:t>,</m:t>
            </m:r>
            <m:sSup>
              <m:sSupPr>
                <m:ctrlPr>
                  <w:rPr>
                    <w:rFonts w:ascii="Cambria Math" w:hAnsi="Cambria Math" w:cs="Times New Roman"/>
                    <w:lang w:val="en-GB" w:eastAsia="ja-JP"/>
                  </w:rPr>
                </m:ctrlPr>
              </m:sSupPr>
              <m:e>
                <m:r>
                  <m:rPr>
                    <m:sty m:val="p"/>
                  </m:rPr>
                  <w:rPr>
                    <w:rFonts w:ascii="Cambria Math" w:hAnsi="Cambria Math" w:cs="Times New Roman"/>
                    <w:lang w:val="en-GB" w:eastAsia="ja-JP"/>
                  </w:rPr>
                  <m:t>Q</m:t>
                </m:r>
              </m:e>
              <m:sup>
                <m:r>
                  <m:rPr>
                    <m:sty m:val="p"/>
                  </m:rPr>
                  <w:rPr>
                    <w:rFonts w:ascii="Cambria Math" w:hAnsi="Cambria Math" w:cs="Times New Roman"/>
                    <w:lang w:val="en-GB" w:eastAsia="ja-JP"/>
                  </w:rPr>
                  <m:t>l,ν</m:t>
                </m:r>
              </m:sup>
            </m:sSup>
          </m:e>
        </m:d>
      </m:oMath>
      <w:r>
        <w:rPr>
          <w:lang w:val="en-GB" w:eastAsia="ja-JP"/>
        </w:rPr>
        <w:t xml:space="preserve">, </w:t>
      </w:r>
      <w:r w:rsidRPr="005D64E0">
        <w:rPr>
          <w:lang w:val="en-GB"/>
        </w:rPr>
        <w:t xml:space="preserve">and the SGCS is calculated </w:t>
      </w:r>
      <w:proofErr w:type="spellStart"/>
      <w:r w:rsidRPr="005D64E0">
        <w:rPr>
          <w:lang w:val="en-GB"/>
        </w:rPr>
        <w:t>w.r.t.</w:t>
      </w:r>
      <w:proofErr w:type="spellEnd"/>
      <w:r w:rsidRPr="005D64E0">
        <w:rPr>
          <w:lang w:val="en-GB"/>
        </w:rPr>
        <w:t xml:space="preserve"> </w:t>
      </w:r>
      <w:r w:rsidRPr="006B14B7">
        <w:t>Benchmark#1(i.e., FP32)</w:t>
      </w:r>
      <w:r w:rsidRPr="005D64E0">
        <w:rPr>
          <w:bCs/>
          <w:iCs/>
        </w:rPr>
        <w:t>.</w:t>
      </w:r>
    </w:p>
    <w:p w14:paraId="01EFE446" w14:textId="0C347402" w:rsidR="00FD49EB" w:rsidRPr="00E62284" w:rsidRDefault="00FD49EB" w:rsidP="00FD49EB">
      <w:pPr>
        <w:pStyle w:val="a0"/>
        <w:snapToGrid w:val="0"/>
        <w:spacing w:before="120"/>
        <w:jc w:val="center"/>
        <w:rPr>
          <w:rFonts w:eastAsia="Malgun Gothic" w:cs="Times New Roman"/>
          <w:b/>
          <w:bCs/>
          <w:sz w:val="18"/>
          <w:szCs w:val="18"/>
          <w:lang w:val="en-GB" w:eastAsia="en-US"/>
        </w:rPr>
      </w:pPr>
      <w:r w:rsidRPr="00E62284">
        <w:rPr>
          <w:rFonts w:eastAsia="Malgun Gothic" w:cs="Times New Roman"/>
          <w:b/>
          <w:bCs/>
          <w:sz w:val="18"/>
          <w:szCs w:val="18"/>
          <w:lang w:val="en-GB" w:eastAsia="en-US"/>
        </w:rPr>
        <w:t>Table 2-</w:t>
      </w:r>
      <w:r w:rsidR="00F9510F">
        <w:rPr>
          <w:rFonts w:eastAsia="Malgun Gothic" w:cs="Times New Roman"/>
          <w:b/>
          <w:bCs/>
          <w:sz w:val="18"/>
          <w:szCs w:val="18"/>
          <w:lang w:val="en-GB" w:eastAsia="en-US"/>
        </w:rPr>
        <w:t>1</w:t>
      </w:r>
      <w:r w:rsidR="00F9510F" w:rsidRPr="00E62284">
        <w:rPr>
          <w:rFonts w:eastAsia="Malgun Gothic" w:cs="Times New Roman"/>
          <w:b/>
          <w:bCs/>
          <w:sz w:val="18"/>
          <w:szCs w:val="18"/>
          <w:lang w:val="en-GB" w:eastAsia="en-US"/>
        </w:rPr>
        <w:t xml:space="preserve"> </w:t>
      </w:r>
      <w:r>
        <w:rPr>
          <w:rFonts w:eastAsia="Malgun Gothic" w:cs="Times New Roman"/>
          <w:b/>
          <w:bCs/>
          <w:sz w:val="18"/>
          <w:szCs w:val="18"/>
          <w:lang w:val="en-GB" w:eastAsia="en-US"/>
        </w:rPr>
        <w:t xml:space="preserve">Performance Evaluation </w:t>
      </w:r>
      <w:r w:rsidR="005C01DF" w:rsidRPr="00FC40FC">
        <w:rPr>
          <w:rFonts w:eastAsia="Malgun Gothic" w:cs="Times New Roman"/>
          <w:b/>
          <w:bCs/>
          <w:sz w:val="18"/>
          <w:szCs w:val="18"/>
          <w:lang w:val="en-GB" w:eastAsia="en-US"/>
        </w:rPr>
        <w:t>ac</w:t>
      </w:r>
      <w:r w:rsidR="005C01DF">
        <w:rPr>
          <w:rFonts w:eastAsia="Malgun Gothic" w:cs="Times New Roman"/>
          <w:b/>
          <w:bCs/>
          <w:sz w:val="18"/>
          <w:szCs w:val="18"/>
          <w:lang w:val="en-GB" w:eastAsia="en-US"/>
        </w:rPr>
        <w:t>ross</w:t>
      </w:r>
      <w:r>
        <w:rPr>
          <w:rFonts w:eastAsia="Malgun Gothic" w:cs="Times New Roman"/>
          <w:b/>
          <w:bCs/>
          <w:sz w:val="18"/>
          <w:szCs w:val="18"/>
          <w:lang w:val="en-GB" w:eastAsia="en-US"/>
        </w:rPr>
        <w:t xml:space="preserve"> Different Payload Sizes</w:t>
      </w:r>
    </w:p>
    <w:tbl>
      <w:tblPr>
        <w:tblStyle w:val="ae"/>
        <w:tblW w:w="0" w:type="auto"/>
        <w:tblLook w:val="04A0" w:firstRow="1" w:lastRow="0" w:firstColumn="1" w:lastColumn="0" w:noHBand="0" w:noVBand="1"/>
      </w:tblPr>
      <w:tblGrid>
        <w:gridCol w:w="2689"/>
        <w:gridCol w:w="1559"/>
        <w:gridCol w:w="1701"/>
        <w:gridCol w:w="1559"/>
        <w:gridCol w:w="1552"/>
      </w:tblGrid>
      <w:tr w:rsidR="00FD49EB" w14:paraId="313C9101" w14:textId="77777777" w:rsidTr="00FD49EB">
        <w:trPr>
          <w:trHeight w:val="405"/>
        </w:trPr>
        <w:tc>
          <w:tcPr>
            <w:tcW w:w="2689" w:type="dxa"/>
          </w:tcPr>
          <w:p w14:paraId="6B150354" w14:textId="77777777" w:rsidR="00FD49EB" w:rsidRPr="00E62284" w:rsidRDefault="00FD49EB" w:rsidP="00FD49EB">
            <w:pPr>
              <w:pStyle w:val="a0"/>
              <w:snapToGrid w:val="0"/>
              <w:spacing w:before="120"/>
              <w:jc w:val="both"/>
              <w:rPr>
                <w:iCs/>
                <w:sz w:val="20"/>
                <w:szCs w:val="20"/>
              </w:rPr>
            </w:pPr>
            <w:r>
              <w:rPr>
                <w:iCs/>
                <w:sz w:val="20"/>
                <w:szCs w:val="20"/>
              </w:rPr>
              <w:t>Payload size per layer</w:t>
            </w:r>
          </w:p>
        </w:tc>
        <w:tc>
          <w:tcPr>
            <w:tcW w:w="1559" w:type="dxa"/>
          </w:tcPr>
          <w:p w14:paraId="202DACAC" w14:textId="77777777" w:rsidR="00FD49EB" w:rsidRPr="00E62284" w:rsidRDefault="00FD49EB" w:rsidP="00FD49EB">
            <w:pPr>
              <w:pStyle w:val="a0"/>
              <w:snapToGrid w:val="0"/>
              <w:spacing w:before="120"/>
              <w:jc w:val="both"/>
              <w:rPr>
                <w:iCs/>
                <w:sz w:val="20"/>
                <w:szCs w:val="20"/>
              </w:rPr>
            </w:pPr>
            <w:r w:rsidRPr="00E62284">
              <w:rPr>
                <w:iCs/>
                <w:sz w:val="20"/>
                <w:szCs w:val="20"/>
              </w:rPr>
              <w:t>L</w:t>
            </w:r>
            <w:r w:rsidRPr="00E62284">
              <w:rPr>
                <w:rFonts w:hint="eastAsia"/>
                <w:iCs/>
                <w:sz w:val="20"/>
                <w:szCs w:val="20"/>
              </w:rPr>
              <w:t>ayer</w:t>
            </w:r>
            <w:r w:rsidRPr="00E62284">
              <w:rPr>
                <w:iCs/>
                <w:sz w:val="20"/>
                <w:szCs w:val="20"/>
              </w:rPr>
              <w:t>#1</w:t>
            </w:r>
            <w:r>
              <w:rPr>
                <w:iCs/>
                <w:sz w:val="20"/>
                <w:szCs w:val="20"/>
              </w:rPr>
              <w:t xml:space="preserve"> </w:t>
            </w:r>
            <w:r w:rsidRPr="00E62284">
              <w:rPr>
                <w:iCs/>
                <w:sz w:val="20"/>
                <w:szCs w:val="20"/>
              </w:rPr>
              <w:t>SGCS</w:t>
            </w:r>
          </w:p>
        </w:tc>
        <w:tc>
          <w:tcPr>
            <w:tcW w:w="1701" w:type="dxa"/>
          </w:tcPr>
          <w:p w14:paraId="13461655" w14:textId="77777777" w:rsidR="00FD49EB" w:rsidRPr="00E62284" w:rsidRDefault="00FD49EB" w:rsidP="00FD49EB">
            <w:pPr>
              <w:pStyle w:val="a0"/>
              <w:snapToGrid w:val="0"/>
              <w:spacing w:before="120"/>
              <w:jc w:val="both"/>
              <w:rPr>
                <w:iCs/>
                <w:sz w:val="20"/>
                <w:szCs w:val="20"/>
              </w:rPr>
            </w:pPr>
            <w:r w:rsidRPr="00E62284">
              <w:rPr>
                <w:iCs/>
                <w:sz w:val="20"/>
                <w:szCs w:val="20"/>
              </w:rPr>
              <w:t>L</w:t>
            </w:r>
            <w:r w:rsidRPr="00E62284">
              <w:rPr>
                <w:rFonts w:hint="eastAsia"/>
                <w:iCs/>
                <w:sz w:val="20"/>
                <w:szCs w:val="20"/>
              </w:rPr>
              <w:t>ayer</w:t>
            </w:r>
            <w:r w:rsidRPr="00E62284">
              <w:rPr>
                <w:iCs/>
                <w:sz w:val="20"/>
                <w:szCs w:val="20"/>
              </w:rPr>
              <w:t>#2 SGCS</w:t>
            </w:r>
          </w:p>
        </w:tc>
        <w:tc>
          <w:tcPr>
            <w:tcW w:w="1559" w:type="dxa"/>
          </w:tcPr>
          <w:p w14:paraId="02D3782D" w14:textId="77777777" w:rsidR="00FD49EB" w:rsidRPr="00E62284" w:rsidRDefault="00FD49EB" w:rsidP="00FD49EB">
            <w:pPr>
              <w:pStyle w:val="a0"/>
              <w:snapToGrid w:val="0"/>
              <w:spacing w:before="120"/>
              <w:jc w:val="both"/>
              <w:rPr>
                <w:iCs/>
                <w:sz w:val="20"/>
                <w:szCs w:val="20"/>
              </w:rPr>
            </w:pPr>
            <w:r w:rsidRPr="00E62284">
              <w:rPr>
                <w:iCs/>
                <w:sz w:val="20"/>
                <w:szCs w:val="20"/>
              </w:rPr>
              <w:t>L</w:t>
            </w:r>
            <w:r w:rsidRPr="00E62284">
              <w:rPr>
                <w:rFonts w:hint="eastAsia"/>
                <w:iCs/>
                <w:sz w:val="20"/>
                <w:szCs w:val="20"/>
              </w:rPr>
              <w:t>ayer</w:t>
            </w:r>
            <w:r w:rsidRPr="00E62284">
              <w:rPr>
                <w:iCs/>
                <w:sz w:val="20"/>
                <w:szCs w:val="20"/>
              </w:rPr>
              <w:t>#3</w:t>
            </w:r>
            <w:r>
              <w:rPr>
                <w:iCs/>
                <w:sz w:val="20"/>
                <w:szCs w:val="20"/>
              </w:rPr>
              <w:t xml:space="preserve"> </w:t>
            </w:r>
            <w:r w:rsidRPr="00E62284">
              <w:rPr>
                <w:iCs/>
                <w:sz w:val="20"/>
                <w:szCs w:val="20"/>
              </w:rPr>
              <w:t>SGCS</w:t>
            </w:r>
          </w:p>
        </w:tc>
        <w:tc>
          <w:tcPr>
            <w:tcW w:w="1552" w:type="dxa"/>
          </w:tcPr>
          <w:p w14:paraId="05B5F9CB" w14:textId="77777777" w:rsidR="00FD49EB" w:rsidRPr="00E62284" w:rsidRDefault="00FD49EB" w:rsidP="00FD49EB">
            <w:pPr>
              <w:pStyle w:val="a0"/>
              <w:snapToGrid w:val="0"/>
              <w:spacing w:before="120"/>
              <w:jc w:val="both"/>
              <w:rPr>
                <w:iCs/>
                <w:sz w:val="20"/>
                <w:szCs w:val="20"/>
              </w:rPr>
            </w:pPr>
            <w:r w:rsidRPr="00E62284">
              <w:rPr>
                <w:iCs/>
                <w:sz w:val="20"/>
                <w:szCs w:val="20"/>
              </w:rPr>
              <w:t>L</w:t>
            </w:r>
            <w:r w:rsidRPr="00E62284">
              <w:rPr>
                <w:rFonts w:hint="eastAsia"/>
                <w:iCs/>
                <w:sz w:val="20"/>
                <w:szCs w:val="20"/>
              </w:rPr>
              <w:t>ayer</w:t>
            </w:r>
            <w:r w:rsidRPr="00E62284">
              <w:rPr>
                <w:iCs/>
                <w:sz w:val="20"/>
                <w:szCs w:val="20"/>
              </w:rPr>
              <w:t>#4</w:t>
            </w:r>
            <w:r>
              <w:rPr>
                <w:iCs/>
                <w:sz w:val="20"/>
                <w:szCs w:val="20"/>
              </w:rPr>
              <w:t xml:space="preserve"> </w:t>
            </w:r>
            <w:r w:rsidRPr="00E62284">
              <w:rPr>
                <w:iCs/>
                <w:sz w:val="20"/>
                <w:szCs w:val="20"/>
              </w:rPr>
              <w:t>SGCS</w:t>
            </w:r>
          </w:p>
        </w:tc>
      </w:tr>
      <w:tr w:rsidR="000C6219" w14:paraId="5A630955" w14:textId="77777777" w:rsidTr="00FD49EB">
        <w:trPr>
          <w:trHeight w:val="405"/>
        </w:trPr>
        <w:tc>
          <w:tcPr>
            <w:tcW w:w="2689" w:type="dxa"/>
          </w:tcPr>
          <w:p w14:paraId="670143DF" w14:textId="64958870" w:rsidR="000C6219" w:rsidRDefault="000C6219" w:rsidP="00FD49EB">
            <w:pPr>
              <w:pStyle w:val="a0"/>
              <w:snapToGrid w:val="0"/>
              <w:spacing w:before="120"/>
              <w:jc w:val="both"/>
              <w:rPr>
                <w:iCs/>
                <w:sz w:val="20"/>
                <w:szCs w:val="20"/>
              </w:rPr>
            </w:pPr>
            <w:r>
              <w:rPr>
                <w:rFonts w:hint="eastAsia"/>
                <w:iCs/>
                <w:sz w:val="20"/>
                <w:szCs w:val="20"/>
              </w:rPr>
              <w:lastRenderedPageBreak/>
              <w:t>Case</w:t>
            </w:r>
            <w:r>
              <w:rPr>
                <w:iCs/>
                <w:sz w:val="20"/>
                <w:szCs w:val="20"/>
              </w:rPr>
              <w:t>1: 64bits (</w:t>
            </w:r>
            <w:r w:rsidRPr="00E62284">
              <w:rPr>
                <w:iCs/>
                <w:sz w:val="20"/>
                <w:szCs w:val="20"/>
              </w:rPr>
              <w:t xml:space="preserve">d = </w:t>
            </w:r>
            <w:r>
              <w:rPr>
                <w:iCs/>
                <w:sz w:val="20"/>
                <w:szCs w:val="20"/>
              </w:rPr>
              <w:t>32</w:t>
            </w:r>
            <w:r w:rsidRPr="00E62284">
              <w:rPr>
                <w:iCs/>
                <w:sz w:val="20"/>
                <w:szCs w:val="20"/>
              </w:rPr>
              <w:t>, Q=2</w:t>
            </w:r>
            <w:r>
              <w:rPr>
                <w:iCs/>
                <w:sz w:val="20"/>
                <w:szCs w:val="20"/>
              </w:rPr>
              <w:t>)</w:t>
            </w:r>
          </w:p>
        </w:tc>
        <w:tc>
          <w:tcPr>
            <w:tcW w:w="1559" w:type="dxa"/>
          </w:tcPr>
          <w:p w14:paraId="3695A657" w14:textId="25CEC3C1" w:rsidR="000C6219" w:rsidRPr="00E62284" w:rsidRDefault="000C6219" w:rsidP="00FC40FC">
            <w:pPr>
              <w:pStyle w:val="a0"/>
              <w:snapToGrid w:val="0"/>
              <w:spacing w:before="120"/>
              <w:jc w:val="center"/>
              <w:rPr>
                <w:iCs/>
                <w:sz w:val="20"/>
                <w:szCs w:val="20"/>
              </w:rPr>
            </w:pPr>
            <w:r>
              <w:rPr>
                <w:rFonts w:hint="eastAsia"/>
                <w:iCs/>
                <w:sz w:val="20"/>
                <w:szCs w:val="20"/>
              </w:rPr>
              <w:t>0</w:t>
            </w:r>
            <w:r>
              <w:rPr>
                <w:iCs/>
                <w:sz w:val="20"/>
                <w:szCs w:val="20"/>
              </w:rPr>
              <w:t>.84</w:t>
            </w:r>
          </w:p>
        </w:tc>
        <w:tc>
          <w:tcPr>
            <w:tcW w:w="1701" w:type="dxa"/>
          </w:tcPr>
          <w:p w14:paraId="261B39C3" w14:textId="431C88C2" w:rsidR="000C6219" w:rsidRPr="00E62284" w:rsidRDefault="000C6219" w:rsidP="00FC40FC">
            <w:pPr>
              <w:pStyle w:val="a0"/>
              <w:snapToGrid w:val="0"/>
              <w:spacing w:before="120"/>
              <w:jc w:val="center"/>
              <w:rPr>
                <w:iCs/>
                <w:sz w:val="20"/>
                <w:szCs w:val="20"/>
              </w:rPr>
            </w:pPr>
            <w:r>
              <w:rPr>
                <w:rFonts w:hint="eastAsia"/>
                <w:iCs/>
                <w:sz w:val="20"/>
                <w:szCs w:val="20"/>
              </w:rPr>
              <w:t>0</w:t>
            </w:r>
            <w:r>
              <w:rPr>
                <w:iCs/>
                <w:sz w:val="20"/>
                <w:szCs w:val="20"/>
              </w:rPr>
              <w:t>.71</w:t>
            </w:r>
          </w:p>
        </w:tc>
        <w:tc>
          <w:tcPr>
            <w:tcW w:w="1559" w:type="dxa"/>
          </w:tcPr>
          <w:p w14:paraId="7D83C5BA" w14:textId="29CD7B4B" w:rsidR="000C6219" w:rsidRPr="00E62284" w:rsidRDefault="000C6219" w:rsidP="00FC40FC">
            <w:pPr>
              <w:pStyle w:val="a0"/>
              <w:snapToGrid w:val="0"/>
              <w:spacing w:before="120"/>
              <w:jc w:val="center"/>
              <w:rPr>
                <w:iCs/>
                <w:sz w:val="20"/>
                <w:szCs w:val="20"/>
              </w:rPr>
            </w:pPr>
            <w:r>
              <w:rPr>
                <w:rFonts w:hint="eastAsia"/>
                <w:iCs/>
                <w:sz w:val="20"/>
                <w:szCs w:val="20"/>
              </w:rPr>
              <w:t>0</w:t>
            </w:r>
            <w:r>
              <w:rPr>
                <w:iCs/>
                <w:sz w:val="20"/>
                <w:szCs w:val="20"/>
              </w:rPr>
              <w:t>.63</w:t>
            </w:r>
          </w:p>
        </w:tc>
        <w:tc>
          <w:tcPr>
            <w:tcW w:w="1552" w:type="dxa"/>
          </w:tcPr>
          <w:p w14:paraId="4345733F" w14:textId="4095E2EF" w:rsidR="000C6219" w:rsidRPr="00E62284" w:rsidRDefault="000C6219" w:rsidP="00FC40FC">
            <w:pPr>
              <w:pStyle w:val="a0"/>
              <w:snapToGrid w:val="0"/>
              <w:spacing w:before="120"/>
              <w:jc w:val="center"/>
              <w:rPr>
                <w:iCs/>
                <w:sz w:val="20"/>
                <w:szCs w:val="20"/>
              </w:rPr>
            </w:pPr>
            <w:r>
              <w:rPr>
                <w:rFonts w:hint="eastAsia"/>
                <w:iCs/>
                <w:sz w:val="20"/>
                <w:szCs w:val="20"/>
              </w:rPr>
              <w:t>0</w:t>
            </w:r>
            <w:r>
              <w:rPr>
                <w:iCs/>
                <w:sz w:val="20"/>
                <w:szCs w:val="20"/>
              </w:rPr>
              <w:t>.57</w:t>
            </w:r>
          </w:p>
        </w:tc>
      </w:tr>
      <w:tr w:rsidR="00FD49EB" w14:paraId="405C421B" w14:textId="77777777" w:rsidTr="00FD49EB">
        <w:tc>
          <w:tcPr>
            <w:tcW w:w="2689" w:type="dxa"/>
          </w:tcPr>
          <w:p w14:paraId="7B939CEE" w14:textId="66148564" w:rsidR="00FD49EB" w:rsidRPr="00E62284" w:rsidRDefault="00FD49EB" w:rsidP="00FD49EB">
            <w:pPr>
              <w:pStyle w:val="a0"/>
              <w:snapToGrid w:val="0"/>
              <w:spacing w:before="120"/>
              <w:jc w:val="both"/>
              <w:rPr>
                <w:iCs/>
                <w:sz w:val="20"/>
                <w:szCs w:val="20"/>
              </w:rPr>
            </w:pPr>
            <w:r w:rsidRPr="00E62284">
              <w:rPr>
                <w:iCs/>
                <w:sz w:val="20"/>
                <w:szCs w:val="20"/>
              </w:rPr>
              <w:t>Case</w:t>
            </w:r>
            <w:r w:rsidR="000C6219">
              <w:rPr>
                <w:iCs/>
                <w:sz w:val="20"/>
                <w:szCs w:val="20"/>
              </w:rPr>
              <w:t>2</w:t>
            </w:r>
            <w:r w:rsidRPr="00E62284">
              <w:rPr>
                <w:iCs/>
                <w:sz w:val="20"/>
                <w:szCs w:val="20"/>
              </w:rPr>
              <w:t>:</w:t>
            </w:r>
            <w:r>
              <w:rPr>
                <w:iCs/>
                <w:sz w:val="20"/>
                <w:szCs w:val="20"/>
              </w:rPr>
              <w:t xml:space="preserve"> 128bits (</w:t>
            </w:r>
            <w:r w:rsidRPr="00E62284">
              <w:rPr>
                <w:iCs/>
                <w:sz w:val="20"/>
                <w:szCs w:val="20"/>
              </w:rPr>
              <w:t>d = 64, Q=2</w:t>
            </w:r>
            <w:r>
              <w:rPr>
                <w:iCs/>
                <w:sz w:val="20"/>
                <w:szCs w:val="20"/>
              </w:rPr>
              <w:t>)</w:t>
            </w:r>
          </w:p>
        </w:tc>
        <w:tc>
          <w:tcPr>
            <w:tcW w:w="1559" w:type="dxa"/>
          </w:tcPr>
          <w:p w14:paraId="68F855A6" w14:textId="29469970" w:rsidR="00FD49EB" w:rsidRPr="00E62284" w:rsidRDefault="00FD49EB" w:rsidP="000C6219">
            <w:pPr>
              <w:pStyle w:val="a0"/>
              <w:snapToGrid w:val="0"/>
              <w:spacing w:before="120"/>
              <w:jc w:val="center"/>
              <w:rPr>
                <w:iCs/>
                <w:sz w:val="20"/>
                <w:szCs w:val="20"/>
              </w:rPr>
            </w:pPr>
            <w:r w:rsidRPr="00E62284">
              <w:rPr>
                <w:rFonts w:hint="eastAsia"/>
                <w:iCs/>
                <w:sz w:val="20"/>
                <w:szCs w:val="20"/>
              </w:rPr>
              <w:t>0</w:t>
            </w:r>
            <w:r w:rsidRPr="00E62284">
              <w:rPr>
                <w:iCs/>
                <w:sz w:val="20"/>
                <w:szCs w:val="20"/>
              </w:rPr>
              <w:t>.89</w:t>
            </w:r>
            <w:r w:rsidR="002767ED">
              <w:rPr>
                <w:iCs/>
                <w:sz w:val="20"/>
                <w:szCs w:val="20"/>
              </w:rPr>
              <w:t>(~5.95%)</w:t>
            </w:r>
          </w:p>
        </w:tc>
        <w:tc>
          <w:tcPr>
            <w:tcW w:w="1701" w:type="dxa"/>
          </w:tcPr>
          <w:p w14:paraId="19FABB37" w14:textId="3EF2ED93" w:rsidR="00FD49EB" w:rsidRPr="00E62284" w:rsidRDefault="00FD49EB" w:rsidP="000C6219">
            <w:pPr>
              <w:pStyle w:val="a0"/>
              <w:snapToGrid w:val="0"/>
              <w:spacing w:before="120"/>
              <w:jc w:val="center"/>
              <w:rPr>
                <w:iCs/>
                <w:sz w:val="20"/>
                <w:szCs w:val="20"/>
              </w:rPr>
            </w:pPr>
            <w:r w:rsidRPr="00E62284">
              <w:rPr>
                <w:rFonts w:hint="eastAsia"/>
                <w:iCs/>
                <w:sz w:val="20"/>
                <w:szCs w:val="20"/>
              </w:rPr>
              <w:t>0</w:t>
            </w:r>
            <w:r w:rsidRPr="00E62284">
              <w:rPr>
                <w:iCs/>
                <w:sz w:val="20"/>
                <w:szCs w:val="20"/>
              </w:rPr>
              <w:t>.78</w:t>
            </w:r>
            <w:r w:rsidR="002767ED">
              <w:rPr>
                <w:rFonts w:hint="eastAsia"/>
                <w:iCs/>
                <w:sz w:val="20"/>
                <w:szCs w:val="20"/>
              </w:rPr>
              <w:t>(</w:t>
            </w:r>
            <w:r w:rsidR="002767ED">
              <w:rPr>
                <w:iCs/>
                <w:sz w:val="20"/>
                <w:szCs w:val="20"/>
              </w:rPr>
              <w:t>~9.86%)</w:t>
            </w:r>
          </w:p>
        </w:tc>
        <w:tc>
          <w:tcPr>
            <w:tcW w:w="1559" w:type="dxa"/>
          </w:tcPr>
          <w:p w14:paraId="42ECF4C3" w14:textId="014DEC71" w:rsidR="00FD49EB" w:rsidRPr="00E62284" w:rsidRDefault="00FD49EB" w:rsidP="000C6219">
            <w:pPr>
              <w:pStyle w:val="a0"/>
              <w:snapToGrid w:val="0"/>
              <w:spacing w:before="120"/>
              <w:jc w:val="center"/>
              <w:rPr>
                <w:iCs/>
                <w:sz w:val="20"/>
                <w:szCs w:val="20"/>
              </w:rPr>
            </w:pPr>
            <w:r w:rsidRPr="00E62284">
              <w:rPr>
                <w:rFonts w:hint="eastAsia"/>
                <w:iCs/>
                <w:sz w:val="20"/>
                <w:szCs w:val="20"/>
              </w:rPr>
              <w:t>0</w:t>
            </w:r>
            <w:r w:rsidRPr="00E62284">
              <w:rPr>
                <w:iCs/>
                <w:sz w:val="20"/>
                <w:szCs w:val="20"/>
              </w:rPr>
              <w:t>.70</w:t>
            </w:r>
            <w:r w:rsidR="002767ED">
              <w:rPr>
                <w:iCs/>
                <w:sz w:val="20"/>
                <w:szCs w:val="20"/>
              </w:rPr>
              <w:t>(~11.11%)</w:t>
            </w:r>
          </w:p>
        </w:tc>
        <w:tc>
          <w:tcPr>
            <w:tcW w:w="1552" w:type="dxa"/>
          </w:tcPr>
          <w:p w14:paraId="1776B722" w14:textId="413163E1" w:rsidR="00FD49EB" w:rsidRPr="00E62284" w:rsidRDefault="00FD49EB" w:rsidP="000C6219">
            <w:pPr>
              <w:pStyle w:val="a0"/>
              <w:snapToGrid w:val="0"/>
              <w:spacing w:before="120"/>
              <w:jc w:val="center"/>
              <w:rPr>
                <w:iCs/>
                <w:sz w:val="20"/>
                <w:szCs w:val="20"/>
              </w:rPr>
            </w:pPr>
            <w:r w:rsidRPr="00E62284">
              <w:rPr>
                <w:rFonts w:hint="eastAsia"/>
                <w:iCs/>
                <w:sz w:val="20"/>
                <w:szCs w:val="20"/>
              </w:rPr>
              <w:t>0</w:t>
            </w:r>
            <w:r w:rsidRPr="00E62284">
              <w:rPr>
                <w:iCs/>
                <w:sz w:val="20"/>
                <w:szCs w:val="20"/>
              </w:rPr>
              <w:t>.65</w:t>
            </w:r>
            <w:r w:rsidR="002767ED">
              <w:rPr>
                <w:iCs/>
                <w:sz w:val="20"/>
                <w:szCs w:val="20"/>
              </w:rPr>
              <w:t>(~14.04%)</w:t>
            </w:r>
          </w:p>
        </w:tc>
      </w:tr>
      <w:tr w:rsidR="00FD49EB" w14:paraId="606AE937" w14:textId="77777777" w:rsidTr="00FD49EB">
        <w:trPr>
          <w:trHeight w:val="381"/>
        </w:trPr>
        <w:tc>
          <w:tcPr>
            <w:tcW w:w="2689" w:type="dxa"/>
          </w:tcPr>
          <w:p w14:paraId="2E60ECD6" w14:textId="0CEE05DB" w:rsidR="00FD49EB" w:rsidRPr="00E62284" w:rsidRDefault="00FD49EB" w:rsidP="00FD49EB">
            <w:pPr>
              <w:pStyle w:val="a0"/>
              <w:snapToGrid w:val="0"/>
              <w:spacing w:before="120"/>
              <w:jc w:val="both"/>
              <w:rPr>
                <w:iCs/>
                <w:sz w:val="20"/>
                <w:szCs w:val="20"/>
              </w:rPr>
            </w:pPr>
            <w:r w:rsidRPr="00E62284">
              <w:rPr>
                <w:iCs/>
                <w:sz w:val="20"/>
                <w:szCs w:val="20"/>
              </w:rPr>
              <w:t>Case</w:t>
            </w:r>
            <w:r w:rsidR="000C6219">
              <w:rPr>
                <w:iCs/>
                <w:sz w:val="20"/>
                <w:szCs w:val="20"/>
              </w:rPr>
              <w:t>3</w:t>
            </w:r>
            <w:r w:rsidRPr="00E62284">
              <w:rPr>
                <w:iCs/>
                <w:sz w:val="20"/>
                <w:szCs w:val="20"/>
              </w:rPr>
              <w:t>:</w:t>
            </w:r>
            <w:r>
              <w:rPr>
                <w:iCs/>
                <w:sz w:val="20"/>
                <w:szCs w:val="20"/>
              </w:rPr>
              <w:t xml:space="preserve"> 256bits (</w:t>
            </w:r>
            <w:r w:rsidRPr="00E62284">
              <w:rPr>
                <w:iCs/>
                <w:sz w:val="20"/>
                <w:szCs w:val="20"/>
              </w:rPr>
              <w:t>d=</w:t>
            </w:r>
            <w:r>
              <w:rPr>
                <w:iCs/>
                <w:sz w:val="20"/>
                <w:szCs w:val="20"/>
              </w:rPr>
              <w:t xml:space="preserve">64, </w:t>
            </w:r>
            <w:r w:rsidRPr="00E62284">
              <w:rPr>
                <w:iCs/>
                <w:sz w:val="20"/>
                <w:szCs w:val="20"/>
              </w:rPr>
              <w:t>Q=</w:t>
            </w:r>
            <w:r>
              <w:rPr>
                <w:iCs/>
                <w:sz w:val="20"/>
                <w:szCs w:val="20"/>
              </w:rPr>
              <w:t>4</w:t>
            </w:r>
            <w:r>
              <w:rPr>
                <w:rFonts w:hint="eastAsia"/>
                <w:iCs/>
                <w:sz w:val="20"/>
                <w:szCs w:val="20"/>
              </w:rPr>
              <w:t>）</w:t>
            </w:r>
          </w:p>
        </w:tc>
        <w:tc>
          <w:tcPr>
            <w:tcW w:w="1559" w:type="dxa"/>
          </w:tcPr>
          <w:p w14:paraId="576A9E37" w14:textId="77777777" w:rsidR="00FD49EB" w:rsidRPr="00E62284" w:rsidRDefault="00FD49EB" w:rsidP="00FD49EB">
            <w:pPr>
              <w:pStyle w:val="a0"/>
              <w:snapToGrid w:val="0"/>
              <w:spacing w:before="120"/>
              <w:jc w:val="center"/>
              <w:rPr>
                <w:iCs/>
                <w:sz w:val="20"/>
                <w:szCs w:val="20"/>
              </w:rPr>
            </w:pPr>
            <w:r w:rsidRPr="00E62284">
              <w:rPr>
                <w:rFonts w:hint="eastAsia"/>
                <w:iCs/>
                <w:sz w:val="20"/>
                <w:szCs w:val="20"/>
              </w:rPr>
              <w:t>0</w:t>
            </w:r>
            <w:r w:rsidRPr="00E62284">
              <w:rPr>
                <w:iCs/>
                <w:sz w:val="20"/>
                <w:szCs w:val="20"/>
              </w:rPr>
              <w:t>.92</w:t>
            </w:r>
            <w:r w:rsidRPr="00E62284">
              <w:rPr>
                <w:sz w:val="20"/>
                <w:szCs w:val="20"/>
              </w:rPr>
              <w:t xml:space="preserve"> </w:t>
            </w:r>
            <w:r w:rsidRPr="00E62284">
              <w:rPr>
                <w:iCs/>
                <w:sz w:val="20"/>
                <w:szCs w:val="20"/>
              </w:rPr>
              <w:t>(</w:t>
            </w:r>
            <w:r>
              <w:rPr>
                <w:iCs/>
                <w:sz w:val="20"/>
                <w:szCs w:val="20"/>
              </w:rPr>
              <w:t>~</w:t>
            </w:r>
            <w:r w:rsidRPr="00E62284">
              <w:rPr>
                <w:iCs/>
                <w:sz w:val="20"/>
                <w:szCs w:val="20"/>
              </w:rPr>
              <w:t>3.37%)</w:t>
            </w:r>
          </w:p>
        </w:tc>
        <w:tc>
          <w:tcPr>
            <w:tcW w:w="1701" w:type="dxa"/>
          </w:tcPr>
          <w:p w14:paraId="304480F8" w14:textId="77777777" w:rsidR="00FD49EB" w:rsidRPr="00E62284" w:rsidRDefault="00FD49EB" w:rsidP="00FD49EB">
            <w:pPr>
              <w:pStyle w:val="a0"/>
              <w:snapToGrid w:val="0"/>
              <w:spacing w:before="120"/>
              <w:jc w:val="center"/>
              <w:rPr>
                <w:iCs/>
                <w:sz w:val="20"/>
                <w:szCs w:val="20"/>
              </w:rPr>
            </w:pPr>
            <w:r w:rsidRPr="00E62284">
              <w:rPr>
                <w:rFonts w:hint="eastAsia"/>
                <w:iCs/>
                <w:sz w:val="20"/>
                <w:szCs w:val="20"/>
              </w:rPr>
              <w:t>0</w:t>
            </w:r>
            <w:r w:rsidRPr="00E62284">
              <w:rPr>
                <w:iCs/>
                <w:sz w:val="20"/>
                <w:szCs w:val="20"/>
              </w:rPr>
              <w:t>.82</w:t>
            </w:r>
            <w:r w:rsidRPr="00E62284">
              <w:rPr>
                <w:sz w:val="20"/>
                <w:szCs w:val="20"/>
              </w:rPr>
              <w:t xml:space="preserve"> </w:t>
            </w:r>
            <w:r w:rsidRPr="00E62284">
              <w:rPr>
                <w:iCs/>
                <w:sz w:val="20"/>
                <w:szCs w:val="20"/>
              </w:rPr>
              <w:t>(</w:t>
            </w:r>
            <w:r>
              <w:rPr>
                <w:iCs/>
                <w:sz w:val="20"/>
                <w:szCs w:val="20"/>
              </w:rPr>
              <w:t>~</w:t>
            </w:r>
            <w:r w:rsidRPr="00E62284">
              <w:rPr>
                <w:iCs/>
                <w:sz w:val="20"/>
                <w:szCs w:val="20"/>
              </w:rPr>
              <w:t>5.13%)</w:t>
            </w:r>
          </w:p>
        </w:tc>
        <w:tc>
          <w:tcPr>
            <w:tcW w:w="1559" w:type="dxa"/>
          </w:tcPr>
          <w:p w14:paraId="4F146D87" w14:textId="77777777" w:rsidR="00FD49EB" w:rsidRPr="00E62284" w:rsidRDefault="00FD49EB" w:rsidP="00FD49EB">
            <w:pPr>
              <w:pStyle w:val="a0"/>
              <w:snapToGrid w:val="0"/>
              <w:spacing w:before="120"/>
              <w:jc w:val="center"/>
              <w:rPr>
                <w:iCs/>
                <w:sz w:val="20"/>
                <w:szCs w:val="20"/>
              </w:rPr>
            </w:pPr>
            <w:r w:rsidRPr="00E62284">
              <w:rPr>
                <w:rFonts w:hint="eastAsia"/>
                <w:iCs/>
                <w:sz w:val="20"/>
                <w:szCs w:val="20"/>
              </w:rPr>
              <w:t>0</w:t>
            </w:r>
            <w:r w:rsidRPr="00E62284">
              <w:rPr>
                <w:iCs/>
                <w:sz w:val="20"/>
                <w:szCs w:val="20"/>
              </w:rPr>
              <w:t>.75</w:t>
            </w:r>
            <w:r w:rsidRPr="00E62284">
              <w:rPr>
                <w:sz w:val="20"/>
                <w:szCs w:val="20"/>
              </w:rPr>
              <w:t xml:space="preserve"> </w:t>
            </w:r>
            <w:r w:rsidRPr="00E62284">
              <w:rPr>
                <w:iCs/>
                <w:sz w:val="20"/>
                <w:szCs w:val="20"/>
              </w:rPr>
              <w:t>(</w:t>
            </w:r>
            <w:r>
              <w:rPr>
                <w:iCs/>
                <w:sz w:val="20"/>
                <w:szCs w:val="20"/>
              </w:rPr>
              <w:t>~</w:t>
            </w:r>
            <w:r w:rsidRPr="00E62284">
              <w:rPr>
                <w:iCs/>
                <w:sz w:val="20"/>
                <w:szCs w:val="20"/>
              </w:rPr>
              <w:t>7.14%)</w:t>
            </w:r>
          </w:p>
        </w:tc>
        <w:tc>
          <w:tcPr>
            <w:tcW w:w="1552" w:type="dxa"/>
          </w:tcPr>
          <w:p w14:paraId="5DBAC02A" w14:textId="77777777" w:rsidR="00FD49EB" w:rsidRPr="00E62284" w:rsidRDefault="00FD49EB" w:rsidP="00FD49EB">
            <w:pPr>
              <w:pStyle w:val="a0"/>
              <w:snapToGrid w:val="0"/>
              <w:spacing w:before="120"/>
              <w:jc w:val="center"/>
              <w:rPr>
                <w:iCs/>
                <w:sz w:val="20"/>
                <w:szCs w:val="20"/>
              </w:rPr>
            </w:pPr>
            <w:r w:rsidRPr="00E62284">
              <w:rPr>
                <w:rFonts w:hint="eastAsia"/>
                <w:iCs/>
                <w:sz w:val="20"/>
                <w:szCs w:val="20"/>
              </w:rPr>
              <w:t>0</w:t>
            </w:r>
            <w:r w:rsidRPr="00E62284">
              <w:rPr>
                <w:iCs/>
                <w:sz w:val="20"/>
                <w:szCs w:val="20"/>
              </w:rPr>
              <w:t>.7</w:t>
            </w:r>
            <w:r>
              <w:rPr>
                <w:iCs/>
                <w:sz w:val="20"/>
                <w:szCs w:val="20"/>
              </w:rPr>
              <w:t>0</w:t>
            </w:r>
            <w:r w:rsidRPr="00E62284">
              <w:rPr>
                <w:sz w:val="20"/>
                <w:szCs w:val="20"/>
              </w:rPr>
              <w:t xml:space="preserve"> </w:t>
            </w:r>
            <w:r w:rsidRPr="00E62284">
              <w:rPr>
                <w:iCs/>
                <w:sz w:val="20"/>
                <w:szCs w:val="20"/>
              </w:rPr>
              <w:t>(</w:t>
            </w:r>
            <w:r>
              <w:rPr>
                <w:iCs/>
                <w:sz w:val="20"/>
                <w:szCs w:val="20"/>
              </w:rPr>
              <w:t>~</w:t>
            </w:r>
            <w:r w:rsidRPr="00E62284">
              <w:rPr>
                <w:iCs/>
                <w:sz w:val="20"/>
                <w:szCs w:val="20"/>
              </w:rPr>
              <w:t>7.69%)</w:t>
            </w:r>
          </w:p>
        </w:tc>
      </w:tr>
    </w:tbl>
    <w:p w14:paraId="3FD71DA2" w14:textId="0C52FC9B" w:rsidR="005C01DF" w:rsidRPr="00675A67" w:rsidRDefault="00FD49EB" w:rsidP="00FD49EB">
      <w:pPr>
        <w:pStyle w:val="a0"/>
        <w:snapToGrid w:val="0"/>
        <w:spacing w:before="120"/>
        <w:jc w:val="both"/>
        <w:rPr>
          <w:rFonts w:eastAsia="Yu Mincho"/>
          <w:lang w:val="en-GB" w:eastAsia="ja-JP"/>
        </w:rPr>
      </w:pPr>
      <w:r w:rsidRPr="004E5AA2">
        <w:rPr>
          <w:lang w:val="en-GB" w:eastAsia="ja-JP"/>
        </w:rPr>
        <w:t>By observing</w:t>
      </w:r>
      <w:r>
        <w:rPr>
          <w:lang w:val="en-GB" w:eastAsia="ja-JP"/>
        </w:rPr>
        <w:t xml:space="preserve"> from</w:t>
      </w:r>
      <w:r w:rsidRPr="004E5AA2">
        <w:rPr>
          <w:lang w:val="en-GB" w:eastAsia="ja-JP"/>
        </w:rPr>
        <w:t xml:space="preserve"> Table 2-</w:t>
      </w:r>
      <w:r w:rsidR="008D169C">
        <w:rPr>
          <w:lang w:val="en-GB" w:eastAsia="ja-JP"/>
        </w:rPr>
        <w:t>1</w:t>
      </w:r>
      <w:r w:rsidRPr="004E5AA2">
        <w:rPr>
          <w:lang w:val="en-GB" w:eastAsia="ja-JP"/>
        </w:rPr>
        <w:t>,</w:t>
      </w:r>
      <w:r w:rsidR="00CB66AE">
        <w:rPr>
          <w:lang w:val="en-GB" w:eastAsia="ja-JP"/>
        </w:rPr>
        <w:t xml:space="preserve"> </w:t>
      </w:r>
      <w:r w:rsidR="00406EA1">
        <w:rPr>
          <w:lang w:val="en-GB" w:eastAsia="ja-JP"/>
        </w:rPr>
        <w:t>it is clear that the relative gain is increasing from the strongest layer to the weakest one (layer 1 to 4)</w:t>
      </w:r>
      <w:r w:rsidR="00877069">
        <w:rPr>
          <w:lang w:val="en-GB" w:eastAsia="ja-JP"/>
        </w:rPr>
        <w:t>.</w:t>
      </w:r>
      <w:r w:rsidR="00406EA1">
        <w:rPr>
          <w:lang w:val="en-GB" w:eastAsia="ja-JP"/>
        </w:rPr>
        <w:t xml:space="preserve"> </w:t>
      </w:r>
      <w:r w:rsidR="00877069">
        <w:rPr>
          <w:lang w:val="en-GB" w:eastAsia="ja-JP"/>
        </w:rPr>
        <w:t xml:space="preserve">For case 2, </w:t>
      </w:r>
      <w:r w:rsidR="00406EA1">
        <w:rPr>
          <w:lang w:val="en-GB" w:eastAsia="ja-JP"/>
        </w:rPr>
        <w:t>t</w:t>
      </w:r>
      <w:r w:rsidR="00406EA1">
        <w:rPr>
          <w:rFonts w:ascii="BlinkMacSystemFont" w:hAnsi="BlinkMacSystemFont"/>
          <w:color w:val="111111"/>
          <w:shd w:val="clear" w:color="auto" w:fill="FFFFFF"/>
        </w:rPr>
        <w:t>he relative gain</w:t>
      </w:r>
      <w:r w:rsidR="00877069">
        <w:rPr>
          <w:rFonts w:ascii="BlinkMacSystemFont" w:hAnsi="BlinkMacSystemFont"/>
          <w:color w:val="111111"/>
          <w:shd w:val="clear" w:color="auto" w:fill="FFFFFF"/>
        </w:rPr>
        <w:t>s</w:t>
      </w:r>
      <w:r w:rsidR="00406EA1">
        <w:rPr>
          <w:rFonts w:ascii="BlinkMacSystemFont" w:hAnsi="BlinkMacSystemFont"/>
          <w:color w:val="111111"/>
          <w:shd w:val="clear" w:color="auto" w:fill="FFFFFF"/>
        </w:rPr>
        <w:t xml:space="preserve"> (</w:t>
      </w:r>
      <w:r w:rsidR="00877069">
        <w:rPr>
          <w:rFonts w:ascii="BlinkMacSystemFont" w:hAnsi="BlinkMacSystemFont"/>
          <w:color w:val="111111"/>
          <w:shd w:val="clear" w:color="auto" w:fill="FFFFFF"/>
        </w:rPr>
        <w:t>obtained by comparing the SGCS of Case 2 to Case 1</w:t>
      </w:r>
      <w:r w:rsidR="00406EA1">
        <w:rPr>
          <w:rFonts w:ascii="BlinkMacSystemFont" w:hAnsi="BlinkMacSystemFont"/>
          <w:color w:val="111111"/>
          <w:shd w:val="clear" w:color="auto" w:fill="FFFFFF"/>
        </w:rPr>
        <w:t xml:space="preserve">) of layer 1-4 are </w:t>
      </w:r>
      <w:r w:rsidR="00877069">
        <w:rPr>
          <w:rFonts w:ascii="BlinkMacSystemFont" w:hAnsi="BlinkMacSystemFont"/>
          <w:color w:val="111111"/>
          <w:shd w:val="clear" w:color="auto" w:fill="FFFFFF"/>
        </w:rPr>
        <w:t>{</w:t>
      </w:r>
      <w:r w:rsidR="00406EA1">
        <w:rPr>
          <w:rFonts w:ascii="BlinkMacSystemFont" w:hAnsi="BlinkMacSystemFont"/>
          <w:color w:val="111111"/>
          <w:shd w:val="clear" w:color="auto" w:fill="FFFFFF"/>
        </w:rPr>
        <w:t>5.95%, 9.86%, 11.11%, 14.04%</w:t>
      </w:r>
      <w:r w:rsidR="00877069">
        <w:rPr>
          <w:rFonts w:ascii="BlinkMacSystemFont" w:hAnsi="BlinkMacSystemFont"/>
          <w:color w:val="111111"/>
          <w:shd w:val="clear" w:color="auto" w:fill="FFFFFF"/>
        </w:rPr>
        <w:t>}</w:t>
      </w:r>
      <w:r w:rsidR="00406EA1">
        <w:rPr>
          <w:rFonts w:ascii="BlinkMacSystemFont" w:hAnsi="BlinkMacSystemFont"/>
          <w:color w:val="111111"/>
          <w:shd w:val="clear" w:color="auto" w:fill="FFFFFF"/>
        </w:rPr>
        <w:t>, respectively</w:t>
      </w:r>
      <w:r w:rsidR="00877069">
        <w:rPr>
          <w:rFonts w:ascii="BlinkMacSystemFont" w:hAnsi="BlinkMacSystemFont"/>
          <w:color w:val="111111"/>
          <w:shd w:val="clear" w:color="auto" w:fill="FFFFFF"/>
        </w:rPr>
        <w:t xml:space="preserve">, and </w:t>
      </w:r>
      <w:r w:rsidR="00877069">
        <w:rPr>
          <w:lang w:val="en-GB" w:eastAsia="ja-JP"/>
        </w:rPr>
        <w:t>for Case 3, t</w:t>
      </w:r>
      <w:r w:rsidR="00877069">
        <w:rPr>
          <w:rFonts w:ascii="BlinkMacSystemFont" w:hAnsi="BlinkMacSystemFont"/>
          <w:color w:val="111111"/>
          <w:shd w:val="clear" w:color="auto" w:fill="FFFFFF"/>
        </w:rPr>
        <w:t>he relative gains (Case 3 to Case 2) are {3.37%, 5.13%, 7.14%, 7.69%}, respectively. Obviously, the relative gain of the weaker layer is higher than the stronger layer.</w:t>
      </w:r>
      <w:r w:rsidR="00877069">
        <w:rPr>
          <w:rFonts w:eastAsia="Yu Mincho"/>
          <w:lang w:eastAsia="ja-JP"/>
        </w:rPr>
        <w:t xml:space="preserve"> </w:t>
      </w:r>
      <w:r w:rsidRPr="004E5AA2">
        <w:rPr>
          <w:lang w:val="en-GB" w:eastAsia="ja-JP"/>
        </w:rPr>
        <w:t>This suggests that, from the perspectiv</w:t>
      </w:r>
      <w:r w:rsidRPr="00877069">
        <w:rPr>
          <w:lang w:val="en-GB" w:eastAsia="ja-JP"/>
        </w:rPr>
        <w:t>e of</w:t>
      </w:r>
      <w:r w:rsidR="00877069" w:rsidRPr="00FC40FC">
        <w:rPr>
          <w:lang w:val="en-GB" w:eastAsia="ja-JP"/>
        </w:rPr>
        <w:t xml:space="preserve"> purely</w:t>
      </w:r>
      <w:r w:rsidRPr="00877069">
        <w:rPr>
          <w:lang w:val="en-GB" w:eastAsia="ja-JP"/>
        </w:rPr>
        <w:t xml:space="preserve"> maximizing average SGCS,</w:t>
      </w:r>
      <w:r w:rsidRPr="004E5AA2">
        <w:rPr>
          <w:lang w:val="en-GB" w:eastAsia="ja-JP"/>
        </w:rPr>
        <w:t xml:space="preserve"> </w:t>
      </w:r>
      <w:r w:rsidRPr="004E5AA2">
        <w:rPr>
          <w:bCs/>
          <w:lang w:val="en-GB" w:eastAsia="ja-JP"/>
        </w:rPr>
        <w:t>allocating higher payload sizes to</w:t>
      </w:r>
      <w:r w:rsidR="00877069">
        <w:rPr>
          <w:bCs/>
          <w:lang w:val="en-GB" w:eastAsia="ja-JP"/>
        </w:rPr>
        <w:t xml:space="preserve"> weaker</w:t>
      </w:r>
      <w:r w:rsidRPr="004E5AA2">
        <w:rPr>
          <w:bCs/>
          <w:lang w:val="en-GB" w:eastAsia="ja-JP"/>
        </w:rPr>
        <w:t xml:space="preserve"> layer</w:t>
      </w:r>
      <w:r w:rsidR="00877069">
        <w:rPr>
          <w:bCs/>
          <w:lang w:val="en-GB" w:eastAsia="ja-JP"/>
        </w:rPr>
        <w:t>s</w:t>
      </w:r>
      <w:r w:rsidRPr="004E5AA2">
        <w:rPr>
          <w:bCs/>
          <w:lang w:val="en-GB" w:eastAsia="ja-JP"/>
        </w:rPr>
        <w:t xml:space="preserve"> would be more beneficial</w:t>
      </w:r>
      <w:r w:rsidR="00675A67">
        <w:rPr>
          <w:lang w:val="en-GB" w:eastAsia="ja-JP"/>
        </w:rPr>
        <w:t xml:space="preserve"> </w:t>
      </w:r>
      <w:r w:rsidR="00675A67">
        <w:rPr>
          <w:rFonts w:hint="eastAsia"/>
          <w:lang w:val="en-GB"/>
        </w:rPr>
        <w:t>(</w:t>
      </w:r>
      <w:r w:rsidR="00675A67">
        <w:rPr>
          <w:rFonts w:ascii="BlinkMacSystemFont" w:hAnsi="BlinkMacSystemFont"/>
          <w:color w:val="111111"/>
          <w:shd w:val="clear" w:color="auto" w:fill="FFFFFF"/>
          <w:lang w:val="en-GB"/>
        </w:rPr>
        <w:t>This</w:t>
      </w:r>
      <w:r w:rsidR="00675A67">
        <w:rPr>
          <w:rFonts w:ascii="BlinkMacSystemFont" w:hAnsi="BlinkMacSystemFont"/>
          <w:color w:val="111111"/>
          <w:shd w:val="clear" w:color="auto" w:fill="FFFFFF"/>
        </w:rPr>
        <w:t xml:space="preserve"> does not mean it is optimal from a throughput perspective, as the impact of a strong layer may be greater.</w:t>
      </w:r>
      <w:r w:rsidR="00675A67">
        <w:rPr>
          <w:lang w:val="en-GB"/>
        </w:rPr>
        <w:t>)</w:t>
      </w:r>
    </w:p>
    <w:p w14:paraId="10ADA27E" w14:textId="4D476CFA" w:rsidR="00FD49EB" w:rsidRDefault="00FD49EB" w:rsidP="00FD49EB">
      <w:pPr>
        <w:pStyle w:val="a0"/>
        <w:snapToGrid w:val="0"/>
        <w:spacing w:before="120"/>
        <w:jc w:val="both"/>
        <w:rPr>
          <w:rFonts w:eastAsiaTheme="minorEastAsia" w:cs="Times New Roman"/>
          <w:b/>
          <w:bCs/>
          <w:i/>
          <w:lang w:val="en-GB"/>
        </w:rPr>
      </w:pPr>
      <w:r w:rsidRPr="005466DC">
        <w:rPr>
          <w:rFonts w:eastAsiaTheme="minorEastAsia" w:cs="Times New Roman" w:hint="eastAsia"/>
          <w:b/>
          <w:bCs/>
          <w:i/>
          <w:lang w:val="en-GB"/>
        </w:rPr>
        <w:t>O</w:t>
      </w:r>
      <w:r w:rsidRPr="005466DC">
        <w:rPr>
          <w:rFonts w:eastAsiaTheme="minorEastAsia" w:cs="Times New Roman"/>
          <w:b/>
          <w:bCs/>
          <w:i/>
          <w:lang w:val="en-GB"/>
        </w:rPr>
        <w:t>bservation</w:t>
      </w:r>
      <w:r>
        <w:rPr>
          <w:rFonts w:eastAsiaTheme="minorEastAsia" w:cs="Times New Roman"/>
          <w:b/>
          <w:bCs/>
          <w:i/>
          <w:lang w:val="en-GB"/>
        </w:rPr>
        <w:t xml:space="preserve"> </w:t>
      </w:r>
      <w:r w:rsidRPr="005466DC">
        <w:rPr>
          <w:rFonts w:eastAsiaTheme="minorEastAsia" w:cs="Times New Roman"/>
          <w:b/>
          <w:bCs/>
          <w:i/>
          <w:lang w:val="en-GB"/>
        </w:rPr>
        <w:t>1</w:t>
      </w:r>
      <w:r>
        <w:rPr>
          <w:b/>
          <w:bCs/>
          <w:iCs/>
        </w:rPr>
        <w:t>:</w:t>
      </w:r>
      <w:r w:rsidRPr="004E5AA2">
        <w:rPr>
          <w:b/>
          <w:i/>
        </w:rPr>
        <w:t xml:space="preserve"> </w:t>
      </w:r>
      <w:r w:rsidRPr="004E5AA2">
        <w:rPr>
          <w:rFonts w:ascii="BlinkMacSystemFont" w:hAnsi="BlinkMacSystemFont"/>
          <w:b/>
          <w:i/>
          <w:color w:val="111111"/>
          <w:shd w:val="clear" w:color="auto" w:fill="FFFFFF"/>
        </w:rPr>
        <w:t xml:space="preserve">Larger payload sizes yield greater SGCS improvements </w:t>
      </w:r>
      <w:r w:rsidR="00877069">
        <w:rPr>
          <w:rFonts w:ascii="BlinkMacSystemFont" w:hAnsi="BlinkMacSystemFont"/>
          <w:b/>
          <w:i/>
          <w:color w:val="111111"/>
          <w:shd w:val="clear" w:color="auto" w:fill="FFFFFF"/>
        </w:rPr>
        <w:t>for weaker</w:t>
      </w:r>
      <w:r w:rsidRPr="004E5AA2">
        <w:rPr>
          <w:rFonts w:ascii="BlinkMacSystemFont" w:hAnsi="BlinkMacSystemFont"/>
          <w:b/>
          <w:i/>
          <w:color w:val="111111"/>
          <w:shd w:val="clear" w:color="auto" w:fill="FFFFFF"/>
        </w:rPr>
        <w:t xml:space="preserve"> layers</w:t>
      </w:r>
      <w:r w:rsidRPr="004E5AA2">
        <w:rPr>
          <w:rFonts w:eastAsiaTheme="minorEastAsia" w:cs="Times New Roman"/>
          <w:b/>
          <w:bCs/>
          <w:i/>
          <w:lang w:val="en-GB"/>
        </w:rPr>
        <w:t>.</w:t>
      </w:r>
    </w:p>
    <w:p w14:paraId="6BC2C6CD" w14:textId="06CDE6E2" w:rsidR="009A462C" w:rsidRPr="00FC40FC" w:rsidRDefault="00FD49EB" w:rsidP="00FD49EB">
      <w:pPr>
        <w:pStyle w:val="a0"/>
        <w:snapToGrid w:val="0"/>
        <w:spacing w:before="120"/>
        <w:jc w:val="both"/>
        <w:rPr>
          <w:rFonts w:eastAsiaTheme="minorEastAsia" w:cs="Times New Roman"/>
          <w:b/>
          <w:bCs/>
          <w:i/>
          <w:lang w:val="en-GB"/>
        </w:rPr>
      </w:pPr>
      <w:r>
        <w:rPr>
          <w:rFonts w:eastAsiaTheme="minorEastAsia" w:cs="Times New Roman"/>
          <w:b/>
          <w:bCs/>
          <w:i/>
          <w:lang w:val="en-GB"/>
        </w:rPr>
        <w:t xml:space="preserve">Proposal </w:t>
      </w:r>
      <w:r w:rsidR="00432ADF">
        <w:rPr>
          <w:rFonts w:eastAsiaTheme="minorEastAsia" w:cs="Times New Roman"/>
          <w:b/>
          <w:bCs/>
          <w:i/>
          <w:lang w:val="en-GB"/>
        </w:rPr>
        <w:t>3</w:t>
      </w:r>
      <w:r w:rsidRPr="00513CAC">
        <w:rPr>
          <w:rFonts w:eastAsiaTheme="minorEastAsia" w:cs="Times New Roman"/>
          <w:b/>
          <w:bCs/>
          <w:i/>
          <w:lang w:val="en-GB"/>
        </w:rPr>
        <w:t>:</w:t>
      </w:r>
      <w:r w:rsidRPr="004E5AA2">
        <w:rPr>
          <w:rFonts w:eastAsiaTheme="minorEastAsia" w:cs="Times New Roman"/>
          <w:b/>
          <w:bCs/>
          <w:i/>
          <w:lang w:val="en-GB"/>
        </w:rPr>
        <w:t xml:space="preserve"> </w:t>
      </w:r>
      <w:r w:rsidRPr="004E5AA2">
        <w:rPr>
          <w:b/>
          <w:bCs/>
          <w:i/>
          <w:lang w:val="en-GB" w:eastAsia="ja-JP"/>
        </w:rPr>
        <w:t xml:space="preserve">Allocating higher payload sizes to </w:t>
      </w:r>
      <w:r w:rsidR="00675A67">
        <w:rPr>
          <w:b/>
          <w:bCs/>
          <w:i/>
          <w:lang w:val="en-GB" w:eastAsia="ja-JP"/>
        </w:rPr>
        <w:t>weaker layers</w:t>
      </w:r>
      <w:r w:rsidRPr="004E5AA2">
        <w:rPr>
          <w:b/>
          <w:bCs/>
          <w:i/>
          <w:lang w:val="en-GB" w:eastAsia="ja-JP"/>
        </w:rPr>
        <w:t xml:space="preserve"> would be more beneficial</w:t>
      </w:r>
      <w:r w:rsidRPr="004E5AA2">
        <w:rPr>
          <w:b/>
          <w:i/>
          <w:lang w:val="en-GB" w:eastAsia="ja-JP"/>
        </w:rPr>
        <w:t xml:space="preserve"> in terms of maximizing average SGCS</w:t>
      </w:r>
      <w:r w:rsidRPr="004E5AA2">
        <w:rPr>
          <w:rFonts w:eastAsiaTheme="minorEastAsia" w:cs="Times New Roman"/>
          <w:b/>
          <w:bCs/>
          <w:i/>
          <w:lang w:val="en-GB"/>
        </w:rPr>
        <w:t>.</w:t>
      </w:r>
    </w:p>
    <w:p w14:paraId="5D3DEEAF" w14:textId="77777777" w:rsidR="00AD166F" w:rsidRPr="006603C0" w:rsidRDefault="00AD166F" w:rsidP="00AD166F">
      <w:pPr>
        <w:pStyle w:val="a0"/>
        <w:snapToGrid w:val="0"/>
        <w:spacing w:before="120"/>
        <w:jc w:val="both"/>
        <w:rPr>
          <w:b/>
          <w:bCs/>
          <w:u w:val="single"/>
        </w:rPr>
      </w:pPr>
      <w:r w:rsidRPr="006603C0">
        <w:rPr>
          <w:rFonts w:hint="eastAsia"/>
          <w:b/>
          <w:bCs/>
          <w:u w:val="single"/>
        </w:rPr>
        <w:t>Q</w:t>
      </w:r>
      <w:r w:rsidRPr="006603C0">
        <w:rPr>
          <w:b/>
          <w:bCs/>
          <w:u w:val="single"/>
        </w:rPr>
        <w:t>uantization Scheme:</w:t>
      </w:r>
    </w:p>
    <w:p w14:paraId="060985B2" w14:textId="628D8513" w:rsidR="00FD49EB" w:rsidRPr="00316BA1" w:rsidRDefault="00FD49EB" w:rsidP="00FD49EB">
      <w:pPr>
        <w:pStyle w:val="a0"/>
        <w:snapToGrid w:val="0"/>
        <w:spacing w:before="120"/>
        <w:jc w:val="both"/>
      </w:pPr>
      <w:r w:rsidRPr="00EE4521">
        <w:t>Performance with SQ and VQ has been studied in Rel-18 and the following results have been captured by TR 38.843.</w:t>
      </w:r>
    </w:p>
    <w:tbl>
      <w:tblPr>
        <w:tblStyle w:val="ae"/>
        <w:tblW w:w="0" w:type="auto"/>
        <w:tblLook w:val="04A0" w:firstRow="1" w:lastRow="0" w:firstColumn="1" w:lastColumn="0" w:noHBand="0" w:noVBand="1"/>
      </w:tblPr>
      <w:tblGrid>
        <w:gridCol w:w="9060"/>
      </w:tblGrid>
      <w:tr w:rsidR="00FD49EB" w14:paraId="323E14D3" w14:textId="77777777" w:rsidTr="00FD49EB">
        <w:tc>
          <w:tcPr>
            <w:tcW w:w="9629" w:type="dxa"/>
          </w:tcPr>
          <w:p w14:paraId="365AB3B0" w14:textId="77777777" w:rsidR="00FD49EB" w:rsidRPr="001F1013" w:rsidRDefault="00FD49EB" w:rsidP="00FD49EB">
            <w:pPr>
              <w:snapToGrid w:val="0"/>
              <w:spacing w:before="120" w:after="120"/>
              <w:jc w:val="both"/>
              <w:rPr>
                <w:rFonts w:eastAsia="等线" w:cs="Times New Roman"/>
                <w:b/>
                <w:bCs/>
                <w:lang w:val="en-GB"/>
              </w:rPr>
            </w:pPr>
            <w:r w:rsidRPr="001F1013">
              <w:rPr>
                <w:rFonts w:eastAsia="等线" w:cs="Times New Roman"/>
                <w:b/>
                <w:bCs/>
                <w:lang w:val="en-GB"/>
              </w:rPr>
              <w:t>Quantization methods, quantization format</w:t>
            </w:r>
          </w:p>
          <w:p w14:paraId="50AC3F5A" w14:textId="77777777" w:rsidR="00FD49EB" w:rsidRPr="001F1013" w:rsidRDefault="00FD49EB" w:rsidP="00FD49EB">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For the comparison of quantization methods for CSI compression, in general vector quantization (VQ) has comparable performance with scalar quantization (SQ):</w:t>
            </w:r>
          </w:p>
          <w:p w14:paraId="7B07466B" w14:textId="77777777" w:rsidR="00FD49EB" w:rsidRPr="001F1013" w:rsidRDefault="00FD49EB" w:rsidP="00FD49EB">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For SQ and VQ under the same training case, it is </w:t>
            </w:r>
          </w:p>
          <w:p w14:paraId="61257832" w14:textId="77777777" w:rsidR="00FD49EB" w:rsidRPr="001F1013" w:rsidRDefault="00FD49EB" w:rsidP="00FD49EB">
            <w:pPr>
              <w:snapToGrid w:val="0"/>
              <w:spacing w:before="120" w:after="120"/>
              <w:ind w:leftChars="100" w:lef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observed by 3 sources that VQ under Case 2-1 has -1%~-4.5% degradation over SQ under Case 2-1, </w:t>
            </w:r>
          </w:p>
          <w:p w14:paraId="758103C8" w14:textId="77777777" w:rsidR="00FD49EB" w:rsidRPr="001F1013" w:rsidRDefault="00FD49EB" w:rsidP="00FD49EB">
            <w:pPr>
              <w:snapToGrid w:val="0"/>
              <w:spacing w:before="120" w:after="120"/>
              <w:ind w:leftChars="100" w:left="220" w:rightChars="100" w:righ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observed by 1 source that VQ under Case 2-1 has 1.1% gain over SQ under Case 2-1, and </w:t>
            </w:r>
          </w:p>
          <w:p w14:paraId="717B05E4" w14:textId="77777777" w:rsidR="00FD49EB" w:rsidRPr="001F1013" w:rsidRDefault="00FD49EB" w:rsidP="00FD49EB">
            <w:pPr>
              <w:snapToGrid w:val="0"/>
              <w:spacing w:before="120" w:after="120"/>
              <w:ind w:leftChars="100" w:lef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observed by 3 sources that VQ under Case 2-2 has 0.7%~3.8% gain over SQ under Case 2-2.</w:t>
            </w:r>
          </w:p>
          <w:p w14:paraId="179DEDF2" w14:textId="77777777" w:rsidR="00FD49EB" w:rsidRPr="001F1013" w:rsidRDefault="00FD49EB" w:rsidP="00FD49EB">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Note: VQ under Case 2-1 has 8% gains over SQ under Case 2-1 as observed from 1 source due to SQ parameter chosen without matching latent distribution.</w:t>
            </w:r>
          </w:p>
          <w:p w14:paraId="20BE28F8" w14:textId="77777777" w:rsidR="00FD49EB" w:rsidRPr="001F1013" w:rsidRDefault="00FD49EB" w:rsidP="00FD49EB">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For SQ and VQ across training cases, it is </w:t>
            </w:r>
          </w:p>
          <w:p w14:paraId="3A367395" w14:textId="77777777" w:rsidR="00FD49EB" w:rsidRPr="001F1013" w:rsidRDefault="00FD49EB" w:rsidP="00FD49EB">
            <w:pPr>
              <w:snapToGrid w:val="0"/>
              <w:spacing w:before="120" w:after="120"/>
              <w:ind w:leftChars="100" w:lef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observed by 6 sources that VQ under Case 2-2 has 0.46%~4% gain over SQ under Case 2-1, and </w:t>
            </w:r>
          </w:p>
          <w:p w14:paraId="55FCEB87" w14:textId="77777777" w:rsidR="00FD49EB" w:rsidRPr="001F1013" w:rsidRDefault="00FD49EB" w:rsidP="00FD49EB">
            <w:pPr>
              <w:snapToGrid w:val="0"/>
              <w:spacing w:before="120" w:after="120"/>
              <w:ind w:leftChars="100" w:left="220" w:rightChars="100" w:righ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observed by 1 source that VQ under Case 2-2 has -1.3% degradation over SQ under Case 2-1.</w:t>
            </w:r>
          </w:p>
          <w:p w14:paraId="62E4700F" w14:textId="77777777" w:rsidR="00FD49EB" w:rsidRPr="001F1013" w:rsidRDefault="00FD49EB" w:rsidP="00FD49EB">
            <w:pPr>
              <w:snapToGrid w:val="0"/>
              <w:spacing w:before="120" w:after="120"/>
              <w:ind w:leftChars="100" w:lef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observed by 1 source that VQ under Case 2-1 has -2.9%~-6.4% degradation over SQ under Case 2-2.</w:t>
            </w:r>
          </w:p>
          <w:p w14:paraId="70ABDD5E" w14:textId="77777777" w:rsidR="00FD49EB" w:rsidRPr="001F1013" w:rsidRDefault="00FD49EB" w:rsidP="00FD49EB">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Note: in general, more companies observing gain of VQ over SQ than companies observing loss.</w:t>
            </w:r>
          </w:p>
          <w:p w14:paraId="0C584AE6" w14:textId="77777777" w:rsidR="00FD49EB" w:rsidRDefault="00FD49EB" w:rsidP="00FD49EB">
            <w:pPr>
              <w:snapToGrid w:val="0"/>
              <w:spacing w:before="120" w:after="120"/>
              <w:jc w:val="both"/>
              <w:rPr>
                <w:lang w:val="en-GB" w:eastAsia="ja-JP"/>
              </w:rPr>
            </w:pPr>
            <w:r w:rsidRPr="001F1013">
              <w:rPr>
                <w:rFonts w:eastAsia="等线" w:cs="Times New Roman"/>
                <w:sz w:val="20"/>
                <w:szCs w:val="20"/>
                <w:lang w:val="en-GB" w:eastAsia="ko-KR"/>
              </w:rPr>
              <w:t>-</w:t>
            </w:r>
            <w:r w:rsidRPr="001F1013">
              <w:rPr>
                <w:rFonts w:eastAsia="等线" w:cs="Times New Roman"/>
                <w:sz w:val="20"/>
                <w:szCs w:val="20"/>
                <w:lang w:val="en-GB" w:eastAsia="ko-KR"/>
              </w:rPr>
              <w:tab/>
              <w:t>Note: it is observed by 1 source that combined SQ and VQ under Case 2-2 has minor gain of 0.2% over VQ only under Case 2-2.</w:t>
            </w:r>
          </w:p>
        </w:tc>
      </w:tr>
    </w:tbl>
    <w:p w14:paraId="12B1B022" w14:textId="535327DF" w:rsidR="00FD49EB" w:rsidRPr="001F1013" w:rsidRDefault="00FD49EB" w:rsidP="00FD49EB">
      <w:pPr>
        <w:pStyle w:val="a0"/>
        <w:snapToGrid w:val="0"/>
        <w:spacing w:before="120"/>
        <w:jc w:val="center"/>
        <w:rPr>
          <w:rFonts w:eastAsia="Malgun Gothic" w:cs="Times New Roman"/>
          <w:b/>
          <w:bCs/>
          <w:sz w:val="18"/>
          <w:szCs w:val="18"/>
          <w:lang w:val="en-GB" w:eastAsia="en-US"/>
        </w:rPr>
      </w:pPr>
      <w:r w:rsidRPr="001F1013">
        <w:rPr>
          <w:rFonts w:eastAsia="Malgun Gothic" w:cs="Times New Roman"/>
          <w:b/>
          <w:bCs/>
          <w:sz w:val="18"/>
          <w:szCs w:val="18"/>
          <w:lang w:val="en-GB" w:eastAsia="en-US"/>
        </w:rPr>
        <w:t>Table 2-</w:t>
      </w:r>
      <w:r w:rsidR="002F3C36">
        <w:rPr>
          <w:rFonts w:eastAsia="Malgun Gothic" w:cs="Times New Roman"/>
          <w:b/>
          <w:bCs/>
          <w:sz w:val="18"/>
          <w:szCs w:val="18"/>
          <w:lang w:val="en-GB" w:eastAsia="en-US"/>
        </w:rPr>
        <w:t>2</w:t>
      </w:r>
      <w:r w:rsidR="002F3C36" w:rsidRPr="001F1013">
        <w:rPr>
          <w:rFonts w:eastAsia="Malgun Gothic" w:cs="Times New Roman"/>
          <w:b/>
          <w:bCs/>
          <w:sz w:val="18"/>
          <w:szCs w:val="18"/>
          <w:lang w:val="en-GB" w:eastAsia="en-US"/>
        </w:rPr>
        <w:t xml:space="preserve"> </w:t>
      </w:r>
      <w:r w:rsidRPr="001F1013">
        <w:rPr>
          <w:rFonts w:eastAsia="Malgun Gothic" w:cs="Times New Roman"/>
          <w:b/>
          <w:bCs/>
          <w:sz w:val="18"/>
          <w:szCs w:val="18"/>
          <w:lang w:val="en-GB" w:eastAsia="en-US"/>
        </w:rPr>
        <w:t>Comparison between SQ and VQ</w:t>
      </w:r>
    </w:p>
    <w:tbl>
      <w:tblPr>
        <w:tblStyle w:val="ae"/>
        <w:tblW w:w="0" w:type="auto"/>
        <w:tblLook w:val="04A0" w:firstRow="1" w:lastRow="0" w:firstColumn="1" w:lastColumn="0" w:noHBand="0" w:noVBand="1"/>
      </w:tblPr>
      <w:tblGrid>
        <w:gridCol w:w="3823"/>
        <w:gridCol w:w="2268"/>
        <w:gridCol w:w="2969"/>
      </w:tblGrid>
      <w:tr w:rsidR="00FD49EB" w:rsidRPr="00A03AA4" w14:paraId="3F5B13AE" w14:textId="77777777" w:rsidTr="00FD49EB">
        <w:tc>
          <w:tcPr>
            <w:tcW w:w="3823" w:type="dxa"/>
          </w:tcPr>
          <w:p w14:paraId="45BEB4C9" w14:textId="77777777" w:rsidR="00FD49EB" w:rsidRPr="00A03AA4" w:rsidRDefault="00FD49EB" w:rsidP="00FD49EB">
            <w:pPr>
              <w:pStyle w:val="a0"/>
              <w:snapToGrid w:val="0"/>
              <w:spacing w:before="120"/>
              <w:jc w:val="both"/>
            </w:pPr>
            <w:r>
              <w:t>Tota</w:t>
            </w:r>
            <w:r>
              <w:rPr>
                <w:rFonts w:hint="eastAsia"/>
              </w:rPr>
              <w:t>l</w:t>
            </w:r>
            <w:r>
              <w:t xml:space="preserve"> payload =64bits,</w:t>
            </w:r>
            <w:r w:rsidRPr="00A03AA4">
              <w:t xml:space="preserve"> Rank=1,</w:t>
            </w:r>
            <w:r w:rsidRPr="00860B19">
              <w:rPr>
                <w:rFonts w:ascii="Cambria Math" w:hAnsi="Cambria Math"/>
              </w:rPr>
              <w:t xml:space="preserve">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p"/>
                    </m:rPr>
                    <w:rPr>
                      <w:rFonts w:ascii="Cambria Math" w:hAnsi="Cambria Math"/>
                    </w:rPr>
                    <m:t>,</m:t>
                  </m:r>
                  <m:r>
                    <m:rPr>
                      <m:sty m:val="bi"/>
                    </m:rPr>
                    <w:rPr>
                      <w:rFonts w:ascii="Cambria Math" w:hAnsi="Cambria Math"/>
                    </w:rPr>
                    <m:t>ν</m:t>
                  </m:r>
                </m:sup>
              </m:sSubSup>
            </m:oMath>
            <w:r w:rsidRPr="00A03AA4">
              <w:rPr>
                <w:rFonts w:hint="eastAsia"/>
              </w:rPr>
              <w:t>=</w:t>
            </w:r>
            <w:r w:rsidRPr="00A03AA4">
              <w:t>32</w:t>
            </w:r>
          </w:p>
        </w:tc>
        <w:tc>
          <w:tcPr>
            <w:tcW w:w="2268" w:type="dxa"/>
          </w:tcPr>
          <w:p w14:paraId="402A51D8" w14:textId="77777777" w:rsidR="00FD49EB" w:rsidRPr="00A03AA4" w:rsidRDefault="00FD49EB" w:rsidP="00FD49EB">
            <w:pPr>
              <w:pStyle w:val="a0"/>
              <w:snapToGrid w:val="0"/>
              <w:spacing w:before="120"/>
              <w:jc w:val="both"/>
              <w:rPr>
                <w:lang w:val="de-DE"/>
              </w:rPr>
            </w:pPr>
            <w:r>
              <w:rPr>
                <w:rFonts w:hint="eastAsia"/>
              </w:rPr>
              <w:t>S</w:t>
            </w:r>
            <w:r>
              <w:t xml:space="preserve">Q: </w:t>
            </w:r>
            <m:oMath>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m:t>
                  </m:r>
                  <m:r>
                    <m:rPr>
                      <m:sty m:val="p"/>
                    </m:rPr>
                    <w:rPr>
                      <w:rFonts w:ascii="Cambria Math" w:hAnsi="Cambria Math"/>
                      <w:lang w:val="de-DE"/>
                    </w:rPr>
                    <m:t>,</m:t>
                  </m:r>
                  <m:r>
                    <m:rPr>
                      <m:sty m:val="bi"/>
                    </m:rPr>
                    <w:rPr>
                      <w:rFonts w:ascii="Cambria Math" w:hAnsi="Cambria Math"/>
                    </w:rPr>
                    <m:t>ν</m:t>
                  </m:r>
                </m:sup>
              </m:sSup>
              <m:r>
                <m:rPr>
                  <m:sty m:val="p"/>
                </m:rPr>
                <w:rPr>
                  <w:rFonts w:ascii="Cambria Math" w:hAnsi="Cambria Math"/>
                  <w:lang w:val="de-DE"/>
                </w:rPr>
                <m:t>=</m:t>
              </m:r>
              <m:r>
                <m:rPr>
                  <m:sty m:val="b"/>
                </m:rPr>
                <w:rPr>
                  <w:rFonts w:ascii="Cambria Math" w:hAnsi="Cambria Math"/>
                </w:rPr>
                <m:t>2</m:t>
              </m:r>
            </m:oMath>
          </w:p>
        </w:tc>
        <w:tc>
          <w:tcPr>
            <w:tcW w:w="2969" w:type="dxa"/>
          </w:tcPr>
          <w:p w14:paraId="3292A89B" w14:textId="77777777" w:rsidR="00FD49EB" w:rsidRPr="00A03AA4" w:rsidRDefault="00FD49EB" w:rsidP="00FD49EB">
            <w:pPr>
              <w:pStyle w:val="a0"/>
              <w:snapToGrid w:val="0"/>
              <w:spacing w:before="120"/>
              <w:jc w:val="both"/>
              <w:rPr>
                <w:lang w:val="de-DE"/>
              </w:rPr>
            </w:pPr>
            <w:r>
              <w:rPr>
                <w:lang w:val="de-DE"/>
              </w:rPr>
              <w:t>VQ:</w:t>
            </w:r>
            <w:r w:rsidRPr="00A03AA4">
              <w:rPr>
                <w:lang w:val="de-DE"/>
              </w:rPr>
              <w:t xml:space="preserve"> </w:t>
            </w:r>
            <m:oMath>
              <m:r>
                <m:rPr>
                  <m:sty m:val="p"/>
                </m:rPr>
                <w:rPr>
                  <w:rFonts w:ascii="Cambria Math" w:hAnsi="Cambria Math"/>
                  <w:lang w:val="de-DE"/>
                </w:rPr>
                <m:t>L= 4 ,</m:t>
              </m:r>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m:t>
                  </m:r>
                  <m:r>
                    <m:rPr>
                      <m:sty m:val="p"/>
                    </m:rPr>
                    <w:rPr>
                      <w:rFonts w:ascii="Cambria Math" w:hAnsi="Cambria Math"/>
                      <w:lang w:val="de-DE"/>
                    </w:rPr>
                    <m:t>,</m:t>
                  </m:r>
                  <m:r>
                    <m:rPr>
                      <m:sty m:val="bi"/>
                    </m:rPr>
                    <w:rPr>
                      <w:rFonts w:ascii="Cambria Math" w:hAnsi="Cambria Math"/>
                    </w:rPr>
                    <m:t>ν</m:t>
                  </m:r>
                </m:sup>
              </m:sSup>
              <m:r>
                <m:rPr>
                  <m:sty m:val="p"/>
                </m:rPr>
                <w:rPr>
                  <w:rFonts w:ascii="Cambria Math" w:hAnsi="Cambria Math"/>
                  <w:lang w:val="de-DE"/>
                </w:rPr>
                <m:t>=</m:t>
              </m:r>
              <m:r>
                <m:rPr>
                  <m:sty m:val="b"/>
                </m:rPr>
                <w:rPr>
                  <w:rFonts w:ascii="Cambria Math" w:hAnsi="Cambria Math"/>
                </w:rPr>
                <m:t>8</m:t>
              </m:r>
            </m:oMath>
          </w:p>
        </w:tc>
      </w:tr>
      <w:tr w:rsidR="00FD49EB" w:rsidRPr="00A03AA4" w14:paraId="3CCA8306" w14:textId="77777777" w:rsidTr="00FD49EB">
        <w:tc>
          <w:tcPr>
            <w:tcW w:w="3823" w:type="dxa"/>
          </w:tcPr>
          <w:p w14:paraId="240EDE18" w14:textId="77777777" w:rsidR="00FD49EB" w:rsidRPr="00A03AA4" w:rsidRDefault="00FD49EB" w:rsidP="00FD49EB">
            <w:pPr>
              <w:pStyle w:val="a0"/>
              <w:snapToGrid w:val="0"/>
              <w:spacing w:before="120"/>
              <w:jc w:val="both"/>
              <w:rPr>
                <w:lang w:val="de-DE"/>
              </w:rPr>
            </w:pPr>
            <w:r>
              <w:rPr>
                <w:rFonts w:hint="eastAsia"/>
                <w:lang w:val="de-DE"/>
              </w:rPr>
              <w:t>A</w:t>
            </w:r>
            <w:r>
              <w:rPr>
                <w:lang w:val="de-DE"/>
              </w:rPr>
              <w:t>verage SGCS</w:t>
            </w:r>
          </w:p>
        </w:tc>
        <w:tc>
          <w:tcPr>
            <w:tcW w:w="2268" w:type="dxa"/>
          </w:tcPr>
          <w:p w14:paraId="696AF710" w14:textId="4FE9E97E" w:rsidR="00FD49EB" w:rsidRPr="00A03AA4" w:rsidRDefault="00FD49EB" w:rsidP="00FD49EB">
            <w:pPr>
              <w:pStyle w:val="a0"/>
              <w:snapToGrid w:val="0"/>
              <w:spacing w:before="120"/>
              <w:jc w:val="both"/>
              <w:rPr>
                <w:lang w:val="de-DE"/>
              </w:rPr>
            </w:pPr>
            <w:r w:rsidRPr="00A76757">
              <w:rPr>
                <w:rFonts w:hint="eastAsia"/>
                <w:sz w:val="21"/>
                <w:szCs w:val="21"/>
                <w:lang w:val="de-DE"/>
              </w:rPr>
              <w:t>0</w:t>
            </w:r>
            <w:r w:rsidRPr="00A76757">
              <w:rPr>
                <w:sz w:val="21"/>
                <w:szCs w:val="21"/>
                <w:lang w:val="de-DE"/>
              </w:rPr>
              <w:t>.</w:t>
            </w:r>
            <w:r w:rsidR="00B16CE6">
              <w:rPr>
                <w:sz w:val="21"/>
                <w:szCs w:val="21"/>
                <w:lang w:val="de-DE"/>
              </w:rPr>
              <w:t>84</w:t>
            </w:r>
          </w:p>
        </w:tc>
        <w:tc>
          <w:tcPr>
            <w:tcW w:w="2969" w:type="dxa"/>
          </w:tcPr>
          <w:p w14:paraId="4795116E" w14:textId="779FBBBF" w:rsidR="00FD49EB" w:rsidRPr="00A03AA4" w:rsidRDefault="00FD49EB" w:rsidP="00FD49EB">
            <w:pPr>
              <w:pStyle w:val="a0"/>
              <w:snapToGrid w:val="0"/>
              <w:spacing w:before="120"/>
              <w:jc w:val="both"/>
              <w:rPr>
                <w:lang w:val="de-DE"/>
              </w:rPr>
            </w:pPr>
            <w:r w:rsidRPr="001F1013">
              <w:rPr>
                <w:lang w:val="de-DE"/>
              </w:rPr>
              <w:t>0.</w:t>
            </w:r>
            <w:r w:rsidR="00B16CE6">
              <w:rPr>
                <w:lang w:val="de-DE"/>
              </w:rPr>
              <w:t>85</w:t>
            </w:r>
          </w:p>
        </w:tc>
      </w:tr>
    </w:tbl>
    <w:p w14:paraId="401163C2" w14:textId="382D8A3A" w:rsidR="00FD49EB" w:rsidRDefault="00FD49EB" w:rsidP="00FD49EB">
      <w:pPr>
        <w:pStyle w:val="a0"/>
        <w:snapToGrid w:val="0"/>
        <w:spacing w:before="120"/>
        <w:jc w:val="both"/>
      </w:pPr>
      <w:r>
        <w:rPr>
          <w:rFonts w:hint="eastAsia"/>
        </w:rPr>
        <w:t>A</w:t>
      </w:r>
      <w:r>
        <w:t xml:space="preserve">ccording to the simulation results provided by ours </w:t>
      </w:r>
      <w:r>
        <w:rPr>
          <w:rFonts w:hint="eastAsia"/>
        </w:rPr>
        <w:t>(</w:t>
      </w:r>
      <w:r>
        <w:t>See Table 2-</w:t>
      </w:r>
      <w:r w:rsidR="002F3C36">
        <w:t xml:space="preserve">2 </w:t>
      </w:r>
      <w:r>
        <w:t xml:space="preserve">above) and results in </w:t>
      </w:r>
      <w:r w:rsidRPr="00EE4521">
        <w:t>Rel-18</w:t>
      </w:r>
      <w:r>
        <w:t xml:space="preserve"> study, the performance of SQ and VQ is comparable. </w:t>
      </w:r>
      <w:r w:rsidRPr="00E43D3D">
        <w:t xml:space="preserve">The superiority or inferiority may depend on the </w:t>
      </w:r>
      <w:r>
        <w:t>applied</w:t>
      </w:r>
      <w:r w:rsidRPr="00E43D3D">
        <w:t xml:space="preserve"> </w:t>
      </w:r>
      <w:r>
        <w:t>settings</w:t>
      </w:r>
      <w:r w:rsidRPr="00E43D3D">
        <w:t>.</w:t>
      </w:r>
      <w:r>
        <w:t xml:space="preserve"> </w:t>
      </w:r>
      <w:r w:rsidRPr="00E43D3D">
        <w:t xml:space="preserve">That </w:t>
      </w:r>
      <w:r>
        <w:t>implies</w:t>
      </w:r>
      <w:r w:rsidRPr="00E43D3D">
        <w:t>, from the perspective of performance</w:t>
      </w:r>
      <w:r>
        <w:t xml:space="preserve"> only</w:t>
      </w:r>
      <w:r w:rsidRPr="00E43D3D">
        <w:t>, both SQ and VQ could be supported.</w:t>
      </w:r>
      <w:r>
        <w:t xml:space="preserve"> However, </w:t>
      </w:r>
      <w:r w:rsidRPr="00E43D3D">
        <w:t xml:space="preserve">the implementation difficulty of </w:t>
      </w:r>
      <w:r>
        <w:t>VQ</w:t>
      </w:r>
      <w:r w:rsidRPr="00E43D3D">
        <w:t xml:space="preserve"> may be much higher than </w:t>
      </w:r>
      <w:r>
        <w:t xml:space="preserve">that of SQ, e.g., the hardware </w:t>
      </w:r>
      <w:r>
        <w:lastRenderedPageBreak/>
        <w:t>complexity of VQ may be higher, and besides, the codebook exchange method of SQ is</w:t>
      </w:r>
      <w:r w:rsidRPr="000B4122">
        <w:t xml:space="preserve"> </w:t>
      </w:r>
      <w:r>
        <w:t>easier. Therefore, SQ is preferred.</w:t>
      </w:r>
    </w:p>
    <w:p w14:paraId="762CD680" w14:textId="5FE98F5B" w:rsidR="00FD49EB" w:rsidRDefault="00FD49EB" w:rsidP="00FD49EB">
      <w:pPr>
        <w:pStyle w:val="a0"/>
        <w:snapToGrid w:val="0"/>
        <w:spacing w:before="120"/>
        <w:jc w:val="both"/>
        <w:rPr>
          <w:b/>
          <w:bCs/>
          <w:i/>
        </w:rPr>
      </w:pPr>
      <w:r w:rsidRPr="0091549C">
        <w:rPr>
          <w:b/>
          <w:bCs/>
          <w:i/>
        </w:rPr>
        <w:t xml:space="preserve">Proposal </w:t>
      </w:r>
      <w:r w:rsidR="00432ADF">
        <w:rPr>
          <w:b/>
          <w:bCs/>
          <w:i/>
        </w:rPr>
        <w:t>4</w:t>
      </w:r>
      <w:r>
        <w:rPr>
          <w:b/>
          <w:bCs/>
          <w:i/>
        </w:rPr>
        <w:t xml:space="preserve">: For </w:t>
      </w:r>
      <w:r w:rsidRPr="003962DD">
        <w:rPr>
          <w:b/>
          <w:bCs/>
          <w:i/>
        </w:rPr>
        <w:t>Quantization methods</w:t>
      </w:r>
      <w:r>
        <w:rPr>
          <w:b/>
          <w:bCs/>
          <w:i/>
        </w:rPr>
        <w:t>, SQ is preferred</w:t>
      </w:r>
      <w:r w:rsidRPr="0091549C">
        <w:rPr>
          <w:b/>
          <w:bCs/>
          <w:i/>
        </w:rPr>
        <w:t>.</w:t>
      </w:r>
    </w:p>
    <w:p w14:paraId="0891CF3C" w14:textId="0C509FF8" w:rsidR="00FD49EB" w:rsidRPr="00E12731" w:rsidRDefault="00FD49EB" w:rsidP="00E82A66">
      <w:pPr>
        <w:pStyle w:val="a0"/>
        <w:numPr>
          <w:ilvl w:val="0"/>
          <w:numId w:val="18"/>
        </w:numPr>
        <w:snapToGrid w:val="0"/>
        <w:spacing w:before="120"/>
        <w:jc w:val="both"/>
        <w:rPr>
          <w:b/>
          <w:bCs/>
          <w:i/>
        </w:rPr>
      </w:pPr>
      <w:r w:rsidRPr="000B4122">
        <w:rPr>
          <w:rFonts w:hint="eastAsia"/>
          <w:b/>
          <w:bCs/>
          <w:i/>
        </w:rPr>
        <w:t>F</w:t>
      </w:r>
      <w:r w:rsidRPr="000B4122">
        <w:rPr>
          <w:b/>
          <w:bCs/>
          <w:i/>
        </w:rPr>
        <w:t>FS: whether/how to support fixed vector quantization codebook</w:t>
      </w:r>
    </w:p>
    <w:p w14:paraId="0F9AD6CE" w14:textId="1DFE0D36" w:rsidR="00D57824" w:rsidRDefault="00D57824" w:rsidP="000B4122">
      <w:pPr>
        <w:pStyle w:val="2"/>
        <w:numPr>
          <w:ilvl w:val="1"/>
          <w:numId w:val="1"/>
        </w:numPr>
        <w:autoSpaceDE w:val="0"/>
        <w:autoSpaceDN w:val="0"/>
        <w:adjustRightInd w:val="0"/>
        <w:snapToGrid w:val="0"/>
        <w:spacing w:after="240"/>
        <w:ind w:left="0" w:firstLine="0"/>
        <w:jc w:val="both"/>
        <w:rPr>
          <w:rFonts w:ascii="Times New Roman" w:eastAsiaTheme="minorEastAsia" w:hAnsi="Times New Roman" w:cs="Times New Roman"/>
          <w:b/>
          <w:iCs w:val="0"/>
          <w:szCs w:val="22"/>
        </w:rPr>
      </w:pPr>
      <w:r w:rsidRPr="00D57824">
        <w:rPr>
          <w:rFonts w:ascii="Times New Roman" w:eastAsiaTheme="minorEastAsia" w:hAnsi="Times New Roman" w:cs="Times New Roman"/>
          <w:b/>
          <w:iCs w:val="0"/>
          <w:szCs w:val="22"/>
        </w:rPr>
        <w:t>CQI determination</w:t>
      </w:r>
    </w:p>
    <w:p w14:paraId="028276C1" w14:textId="760289A9" w:rsidR="00114154" w:rsidRPr="009002FA" w:rsidRDefault="00114154" w:rsidP="00EF38CE">
      <w:pPr>
        <w:snapToGrid w:val="0"/>
        <w:spacing w:before="120" w:after="120"/>
        <w:jc w:val="both"/>
        <w:rPr>
          <w:rFonts w:eastAsia="Yu Mincho"/>
          <w:lang w:val="en-GB" w:eastAsia="ja-JP"/>
        </w:rPr>
      </w:pPr>
      <w:r>
        <w:rPr>
          <w:rFonts w:hint="eastAsia"/>
          <w:lang w:val="en-GB"/>
        </w:rPr>
        <w:t>F</w:t>
      </w:r>
      <w:r>
        <w:rPr>
          <w:lang w:val="en-GB"/>
        </w:rPr>
        <w:t>or TR 38.843, there are some</w:t>
      </w:r>
      <w:r>
        <w:rPr>
          <w:lang w:val="en-GB" w:eastAsia="ja-JP"/>
        </w:rPr>
        <w:t xml:space="preserve"> options for CQI determination.</w:t>
      </w:r>
      <w:r w:rsidR="009002FA">
        <w:rPr>
          <w:lang w:val="en-GB" w:eastAsia="ja-JP"/>
        </w:rPr>
        <w:t xml:space="preserve"> </w:t>
      </w:r>
    </w:p>
    <w:tbl>
      <w:tblPr>
        <w:tblStyle w:val="ae"/>
        <w:tblW w:w="0" w:type="auto"/>
        <w:tblLook w:val="04A0" w:firstRow="1" w:lastRow="0" w:firstColumn="1" w:lastColumn="0" w:noHBand="0" w:noVBand="1"/>
      </w:tblPr>
      <w:tblGrid>
        <w:gridCol w:w="9060"/>
      </w:tblGrid>
      <w:tr w:rsidR="009002FA" w14:paraId="2DBA59D5" w14:textId="77777777" w:rsidTr="006C4D64">
        <w:tc>
          <w:tcPr>
            <w:tcW w:w="9060" w:type="dxa"/>
          </w:tcPr>
          <w:p w14:paraId="7E4060C1" w14:textId="259B2E27" w:rsidR="009002FA" w:rsidRPr="00477AC9" w:rsidRDefault="009002FA" w:rsidP="00EF38CE">
            <w:pPr>
              <w:snapToGrid w:val="0"/>
              <w:spacing w:before="120" w:after="120"/>
              <w:jc w:val="both"/>
              <w:rPr>
                <w:rFonts w:eastAsia="等线" w:cs="Times New Roman"/>
                <w:b/>
                <w:bCs/>
                <w:lang w:val="en-GB"/>
              </w:rPr>
            </w:pPr>
            <w:r>
              <w:rPr>
                <w:rFonts w:eastAsia="等线" w:cs="Times New Roman"/>
                <w:b/>
                <w:bCs/>
                <w:lang w:val="en-GB"/>
              </w:rPr>
              <w:t>TR 38.843</w:t>
            </w:r>
          </w:p>
          <w:p w14:paraId="0768675C" w14:textId="77777777" w:rsidR="009002FA" w:rsidRPr="009002FA" w:rsidRDefault="009002FA" w:rsidP="00EF38CE">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 xml:space="preserve">For CQI determination in CSI report, if CQI in CSI report is configured. </w:t>
            </w:r>
          </w:p>
          <w:p w14:paraId="4B51D83D" w14:textId="77777777" w:rsidR="009002FA" w:rsidRPr="009002FA" w:rsidRDefault="009002FA" w:rsidP="00EF38CE">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1: CQI is NOT calculated based on the output of CSI reconstruction part from the realistic channel estimation, including</w:t>
            </w:r>
          </w:p>
          <w:p w14:paraId="1DE16F42" w14:textId="77777777" w:rsidR="009002FA" w:rsidRPr="000B4122" w:rsidRDefault="009002FA" w:rsidP="00EF38CE">
            <w:pPr>
              <w:snapToGrid w:val="0"/>
              <w:spacing w:before="120" w:after="120"/>
              <w:ind w:leftChars="200" w:left="440"/>
              <w:jc w:val="both"/>
              <w:rPr>
                <w:rFonts w:eastAsia="等线" w:cs="Times New Roman"/>
                <w:color w:val="000000" w:themeColor="text1"/>
                <w:sz w:val="20"/>
                <w:szCs w:val="20"/>
                <w:lang w:val="en-GB" w:eastAsia="ko-KR"/>
              </w:rPr>
            </w:pPr>
            <w:r w:rsidRPr="000B4122">
              <w:rPr>
                <w:rFonts w:eastAsia="等线" w:cs="Times New Roman"/>
                <w:color w:val="000000" w:themeColor="text1"/>
                <w:sz w:val="20"/>
                <w:szCs w:val="20"/>
                <w:lang w:val="en-GB" w:eastAsia="ko-KR"/>
              </w:rPr>
              <w:t>-</w:t>
            </w:r>
            <w:r w:rsidRPr="000B4122">
              <w:rPr>
                <w:rFonts w:eastAsia="等线" w:cs="Times New Roman"/>
                <w:color w:val="000000" w:themeColor="text1"/>
                <w:sz w:val="20"/>
                <w:szCs w:val="20"/>
                <w:lang w:val="en-GB" w:eastAsia="ko-KR"/>
              </w:rPr>
              <w:tab/>
              <w:t xml:space="preserve">Option 1a: CQI is calculated based on target CSI with realistic channel measurement </w:t>
            </w:r>
          </w:p>
          <w:p w14:paraId="6C75FB4F" w14:textId="77777777" w:rsidR="009002FA" w:rsidRPr="000B4122" w:rsidRDefault="009002FA" w:rsidP="00EF38CE">
            <w:pPr>
              <w:snapToGrid w:val="0"/>
              <w:spacing w:before="120" w:after="120"/>
              <w:ind w:leftChars="200" w:left="440"/>
              <w:jc w:val="both"/>
              <w:rPr>
                <w:rFonts w:eastAsia="等线" w:cs="Times New Roman"/>
                <w:color w:val="000000" w:themeColor="text1"/>
                <w:sz w:val="20"/>
                <w:szCs w:val="20"/>
                <w:lang w:val="en-GB" w:eastAsia="ko-KR"/>
              </w:rPr>
            </w:pPr>
            <w:r w:rsidRPr="000B4122">
              <w:rPr>
                <w:rFonts w:eastAsia="等线" w:cs="Times New Roman"/>
                <w:color w:val="000000" w:themeColor="text1"/>
                <w:sz w:val="20"/>
                <w:szCs w:val="20"/>
                <w:lang w:val="en-GB" w:eastAsia="ko-KR"/>
              </w:rPr>
              <w:t>-</w:t>
            </w:r>
            <w:r w:rsidRPr="000B4122">
              <w:rPr>
                <w:rFonts w:eastAsia="等线" w:cs="Times New Roman"/>
                <w:color w:val="000000" w:themeColor="text1"/>
                <w:sz w:val="20"/>
                <w:szCs w:val="20"/>
                <w:lang w:val="en-GB" w:eastAsia="ko-KR"/>
              </w:rPr>
              <w:tab/>
              <w:t xml:space="preserve">Option 1b: CQI is calculated based on target CSI with realistic channel measurement and potential adjustment </w:t>
            </w:r>
          </w:p>
          <w:p w14:paraId="0536F8B8" w14:textId="77777777" w:rsidR="009002FA" w:rsidRPr="009002FA" w:rsidRDefault="009002FA" w:rsidP="00EF38CE">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1c: CQI is calculated based on legacy codebook</w:t>
            </w:r>
          </w:p>
          <w:p w14:paraId="28F0576E" w14:textId="77777777" w:rsidR="009002FA" w:rsidRPr="009002FA" w:rsidRDefault="009002FA" w:rsidP="00EF38CE">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2: CQI is calculated based on the output of CSI reconstruction part from the realistic channel estimation, including</w:t>
            </w:r>
          </w:p>
          <w:p w14:paraId="2756CD5C" w14:textId="77777777" w:rsidR="009002FA" w:rsidRPr="009002FA" w:rsidRDefault="009002FA" w:rsidP="00EF38CE">
            <w:pPr>
              <w:snapToGrid w:val="0"/>
              <w:spacing w:before="120" w:after="120"/>
              <w:ind w:leftChars="200" w:left="44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2a: CQI is calculated based on CSI reconstruction output, if CSI reconstruction model is available at the UE and UE can perform reconstruction model inference with potential adjustment</w:t>
            </w:r>
          </w:p>
          <w:p w14:paraId="48111751" w14:textId="77777777" w:rsidR="009002FA" w:rsidRPr="009002FA" w:rsidRDefault="009002FA" w:rsidP="00EF38CE">
            <w:pPr>
              <w:snapToGrid w:val="0"/>
              <w:spacing w:before="120" w:after="120"/>
              <w:ind w:leftChars="100" w:left="220" w:rightChars="100" w:right="220" w:firstLineChars="300" w:firstLine="60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 xml:space="preserve">Note: CSI reconstruction part at the UE can be different comparing to the actual CSI reconstruction part used at the NW. </w:t>
            </w:r>
          </w:p>
          <w:p w14:paraId="52B8508C" w14:textId="77777777" w:rsidR="009002FA" w:rsidRPr="009002FA" w:rsidRDefault="009002FA" w:rsidP="00EF38CE">
            <w:pPr>
              <w:snapToGrid w:val="0"/>
              <w:spacing w:before="120" w:after="120"/>
              <w:ind w:leftChars="200" w:left="44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 xml:space="preserve">Option 2b: CQI is calculated using two stage approach, UE derive CQI using </w:t>
            </w:r>
            <w:proofErr w:type="spellStart"/>
            <w:r w:rsidRPr="009002FA">
              <w:rPr>
                <w:rFonts w:eastAsia="等线" w:cs="Times New Roman"/>
                <w:sz w:val="20"/>
                <w:szCs w:val="20"/>
                <w:lang w:val="en-GB" w:eastAsia="ko-KR"/>
              </w:rPr>
              <w:t>precoded</w:t>
            </w:r>
            <w:proofErr w:type="spellEnd"/>
            <w:r w:rsidRPr="009002FA">
              <w:rPr>
                <w:rFonts w:eastAsia="等线" w:cs="Times New Roman"/>
                <w:sz w:val="20"/>
                <w:szCs w:val="20"/>
                <w:lang w:val="en-GB" w:eastAsia="ko-KR"/>
              </w:rPr>
              <w:t xml:space="preserve"> CSI-RS transmitted with a reconstructed precoder.   </w:t>
            </w:r>
          </w:p>
          <w:p w14:paraId="55BF7A0E" w14:textId="1DE946D1" w:rsidR="009002FA" w:rsidRPr="009002FA" w:rsidRDefault="009002FA" w:rsidP="00EF38CE">
            <w:pPr>
              <w:snapToGrid w:val="0"/>
              <w:spacing w:before="120" w:after="120"/>
              <w:ind w:leftChars="100" w:left="220"/>
              <w:jc w:val="both"/>
              <w:rPr>
                <w:rFonts w:eastAsia="Malgun Gothic"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20D4BCE6" w14:textId="77777777" w:rsidR="0025076C" w:rsidRPr="00320C03" w:rsidRDefault="0025076C" w:rsidP="0025076C">
      <w:pPr>
        <w:pStyle w:val="a0"/>
        <w:snapToGrid w:val="0"/>
        <w:spacing w:before="120"/>
        <w:jc w:val="both"/>
      </w:pPr>
      <w:r w:rsidRPr="00320C03">
        <w:t xml:space="preserve">By observing from the above options, it could be noticed that, for Option 2a, the UE may not necessarily obtain the CSI reconstruction part, e.g., for the inter-vendor collaboration Option 3a-1, only encoder is exchanged to the UE side. As for option 2b, it can be supported by the legacy configuration, and no addition spec effort is needed. </w:t>
      </w:r>
      <w:r w:rsidRPr="00320C03">
        <w:rPr>
          <w:rFonts w:hint="eastAsia"/>
        </w:rPr>
        <w:t>T</w:t>
      </w:r>
      <w:r w:rsidRPr="00320C03">
        <w:t>herefore, the discussion can be focused on Option 1a/1b</w:t>
      </w:r>
      <w:r w:rsidRPr="00320C03">
        <w:rPr>
          <w:rFonts w:hint="eastAsia"/>
        </w:rPr>
        <w:t>.</w:t>
      </w:r>
    </w:p>
    <w:p w14:paraId="0BE64F77" w14:textId="77777777" w:rsidR="00FC0B72" w:rsidRDefault="0025076C" w:rsidP="00EF38CE">
      <w:pPr>
        <w:pStyle w:val="a0"/>
        <w:snapToGrid w:val="0"/>
        <w:spacing w:before="120"/>
        <w:jc w:val="both"/>
      </w:pPr>
      <w:r w:rsidRPr="00320C03">
        <w:t>Option 1a is the simplest one. An issue may exist is that the potential misalignment between the Target CSI (realistic channel measurement) and the reconstructed CSI</w:t>
      </w:r>
      <w:r>
        <w:t xml:space="preserve">, may leading to overestimation of CQI calculated by the UE. While for Option 1b, for the potential adjustment, there are two potential scenarios: 1) the adjustment is done by UE without any external information, and 2) the adjustment is done by UE with information </w:t>
      </w:r>
      <w:r>
        <w:rPr>
          <w:rFonts w:eastAsiaTheme="minorEastAsia"/>
        </w:rPr>
        <w:t>indicated by NW, e.g., CQI compensation information. For situation 1), it is up to UE’s implementation and there is extra spec impact. For sit</w:t>
      </w:r>
      <w:r w:rsidRPr="006C4D64">
        <w:t xml:space="preserve">uation 2), since the compensation information is provided by the NW, the CQI adjustment can also be directly completed by the NW, and it seems unnecessary for the UE-side to adjust. </w:t>
      </w:r>
      <w:r>
        <w:t xml:space="preserve"> </w:t>
      </w:r>
    </w:p>
    <w:p w14:paraId="45556A78" w14:textId="50CE0D70" w:rsidR="00FE685B" w:rsidRDefault="00FE685B" w:rsidP="00EF38CE">
      <w:pPr>
        <w:pStyle w:val="a0"/>
        <w:snapToGrid w:val="0"/>
        <w:spacing w:before="120"/>
        <w:jc w:val="both"/>
        <w:rPr>
          <w:b/>
          <w:bCs/>
          <w:i/>
        </w:rPr>
      </w:pPr>
      <w:r w:rsidRPr="0091549C">
        <w:rPr>
          <w:b/>
          <w:bCs/>
          <w:i/>
        </w:rPr>
        <w:t xml:space="preserve">Proposal </w:t>
      </w:r>
      <w:r w:rsidR="00432ADF">
        <w:rPr>
          <w:b/>
          <w:bCs/>
          <w:i/>
        </w:rPr>
        <w:t>5</w:t>
      </w:r>
      <w:r>
        <w:rPr>
          <w:b/>
          <w:bCs/>
          <w:i/>
        </w:rPr>
        <w:t xml:space="preserve">: For CQI </w:t>
      </w:r>
      <w:r w:rsidRPr="00FE685B">
        <w:rPr>
          <w:b/>
          <w:bCs/>
          <w:i/>
        </w:rPr>
        <w:t>determination</w:t>
      </w:r>
      <w:r>
        <w:rPr>
          <w:b/>
          <w:bCs/>
          <w:i/>
        </w:rPr>
        <w:t xml:space="preserve">, support </w:t>
      </w:r>
      <w:r w:rsidR="00E93E4A">
        <w:rPr>
          <w:b/>
          <w:bCs/>
          <w:i/>
        </w:rPr>
        <w:t>O</w:t>
      </w:r>
      <w:r>
        <w:rPr>
          <w:b/>
          <w:bCs/>
          <w:i/>
        </w:rPr>
        <w:t>ption 1a</w:t>
      </w:r>
      <w:r w:rsidR="00B501CE">
        <w:rPr>
          <w:b/>
          <w:bCs/>
          <w:i/>
        </w:rPr>
        <w:t>,</w:t>
      </w:r>
      <w:r w:rsidR="00B501CE" w:rsidRPr="00B501CE">
        <w:t xml:space="preserve"> </w:t>
      </w:r>
      <w:r w:rsidR="00B501CE" w:rsidRPr="00B501CE">
        <w:rPr>
          <w:b/>
          <w:bCs/>
          <w:i/>
        </w:rPr>
        <w:t>CQI is calculated based on target CSI with realistic channel measurement.</w:t>
      </w:r>
      <w:r w:rsidR="00E93E4A">
        <w:rPr>
          <w:b/>
          <w:bCs/>
          <w:i/>
        </w:rPr>
        <w:t xml:space="preserve"> </w:t>
      </w:r>
    </w:p>
    <w:p w14:paraId="543AEE25" w14:textId="77777777" w:rsidR="00A80C95" w:rsidRPr="00A80C95" w:rsidRDefault="00A80C95" w:rsidP="00EF38CE">
      <w:pPr>
        <w:pStyle w:val="a0"/>
        <w:snapToGrid w:val="0"/>
        <w:spacing w:before="120"/>
        <w:jc w:val="both"/>
        <w:rPr>
          <w:b/>
          <w:bCs/>
          <w:i/>
        </w:rPr>
      </w:pPr>
    </w:p>
    <w:p w14:paraId="51AAC72E" w14:textId="4331BDD7" w:rsidR="00577F7B" w:rsidRDefault="00577F7B" w:rsidP="00EF38CE">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UCI mapping</w:t>
      </w:r>
    </w:p>
    <w:p w14:paraId="4186DA96" w14:textId="7D93E032" w:rsidR="00577F7B" w:rsidRPr="007A5901" w:rsidRDefault="00577F7B" w:rsidP="00EF38CE">
      <w:pPr>
        <w:snapToGrid w:val="0"/>
        <w:spacing w:before="120" w:after="120"/>
        <w:jc w:val="both"/>
        <w:rPr>
          <w:rFonts w:eastAsia="等线" w:cs="Times New Roman"/>
          <w:lang w:val="en-GB"/>
        </w:rPr>
      </w:pPr>
      <w:r w:rsidRPr="007A5901">
        <w:rPr>
          <w:rFonts w:eastAsia="等线" w:cs="Times New Roman"/>
          <w:lang w:val="en-GB"/>
        </w:rPr>
        <w:t>For UCI mapping, it has been agreed that the framework of two parts CSI is considered as the start point</w:t>
      </w:r>
      <w:r>
        <w:rPr>
          <w:rFonts w:eastAsia="等线" w:cs="Times New Roman"/>
          <w:lang w:val="en-GB"/>
        </w:rPr>
        <w:t xml:space="preserve"> in TR 38.843.</w:t>
      </w:r>
    </w:p>
    <w:tbl>
      <w:tblPr>
        <w:tblStyle w:val="ae"/>
        <w:tblW w:w="0" w:type="auto"/>
        <w:tblLook w:val="04A0" w:firstRow="1" w:lastRow="0" w:firstColumn="1" w:lastColumn="0" w:noHBand="0" w:noVBand="1"/>
      </w:tblPr>
      <w:tblGrid>
        <w:gridCol w:w="9060"/>
      </w:tblGrid>
      <w:tr w:rsidR="00577F7B" w:rsidRPr="007A5901" w14:paraId="37C0D636" w14:textId="77777777" w:rsidTr="006C4D64">
        <w:tc>
          <w:tcPr>
            <w:tcW w:w="9629" w:type="dxa"/>
          </w:tcPr>
          <w:p w14:paraId="6D7C90A2" w14:textId="206E14FD" w:rsidR="00577F7B" w:rsidRPr="007A5901" w:rsidRDefault="00577F7B" w:rsidP="00EF38CE">
            <w:pPr>
              <w:snapToGrid w:val="0"/>
              <w:spacing w:before="120" w:after="120"/>
              <w:jc w:val="both"/>
              <w:rPr>
                <w:rFonts w:eastAsia="等线" w:cs="Times New Roman"/>
                <w:lang w:val="en-GB"/>
              </w:rPr>
            </w:pPr>
            <w:r>
              <w:rPr>
                <w:rFonts w:eastAsia="等线" w:cs="Times New Roman"/>
                <w:b/>
                <w:bCs/>
                <w:lang w:val="en-GB"/>
              </w:rPr>
              <w:lastRenderedPageBreak/>
              <w:t xml:space="preserve">TR 38.843 </w:t>
            </w:r>
            <w:r w:rsidRPr="00577F7B">
              <w:rPr>
                <w:rFonts w:eastAsia="等线" w:cs="Times New Roman"/>
                <w:b/>
                <w:bCs/>
                <w:lang w:val="en-GB"/>
              </w:rPr>
              <w:t xml:space="preserve">CSI configuration and report: </w:t>
            </w:r>
          </w:p>
          <w:p w14:paraId="33434BD4" w14:textId="77777777" w:rsidR="00577F7B" w:rsidRPr="007A5901" w:rsidRDefault="00577F7B" w:rsidP="00EF38CE">
            <w:pPr>
              <w:snapToGrid w:val="0"/>
              <w:spacing w:before="120" w:after="120"/>
              <w:jc w:val="both"/>
              <w:rPr>
                <w:rFonts w:eastAsia="等线" w:cs="Times New Roman"/>
                <w:lang w:val="en-GB"/>
              </w:rPr>
            </w:pPr>
            <w:r w:rsidRPr="00577F7B">
              <w:rPr>
                <w:rFonts w:eastAsia="等线" w:cs="Times New Roman"/>
                <w:sz w:val="20"/>
                <w:szCs w:val="20"/>
                <w:lang w:val="en-GB" w:eastAsia="ko-KR"/>
              </w:rPr>
              <w:t>-</w:t>
            </w:r>
            <w:r w:rsidRPr="00577F7B">
              <w:rPr>
                <w:rFonts w:eastAsia="等线" w:cs="Times New Roman"/>
                <w:sz w:val="20"/>
                <w:szCs w:val="20"/>
                <w:lang w:val="en-GB" w:eastAsia="ko-KR"/>
              </w:rPr>
              <w:tab/>
              <w:t xml:space="preserve">Relevant UCI format considering the legacy CSI reporting principle with CSI Part 1 and Part 2 as a starting point, where Part 1 has a network configured fixed size and Part 2 size is dynamic, determined by information in Part 1. </w:t>
            </w:r>
          </w:p>
        </w:tc>
      </w:tr>
    </w:tbl>
    <w:p w14:paraId="7BE6B96B" w14:textId="3C5E800D" w:rsidR="00577F7B" w:rsidRPr="001114E0" w:rsidRDefault="00E63475" w:rsidP="00EF38CE">
      <w:pPr>
        <w:snapToGrid w:val="0"/>
        <w:spacing w:before="120" w:after="120"/>
        <w:jc w:val="both"/>
        <w:rPr>
          <w:rFonts w:eastAsia="等线" w:cs="Times New Roman"/>
          <w:lang w:val="en-GB"/>
        </w:rPr>
      </w:pPr>
      <w:r>
        <w:rPr>
          <w:rFonts w:eastAsia="等线" w:cs="Times New Roman"/>
          <w:lang w:val="en-GB"/>
        </w:rPr>
        <w:t>For</w:t>
      </w:r>
      <w:r w:rsidR="00577F7B" w:rsidRPr="001114E0">
        <w:rPr>
          <w:rFonts w:eastAsia="等线" w:cs="Times New Roman"/>
          <w:lang w:val="en-GB"/>
        </w:rPr>
        <w:t xml:space="preserve"> legacy </w:t>
      </w:r>
      <w:proofErr w:type="spellStart"/>
      <w:r w:rsidR="00577F7B" w:rsidRPr="001114E0">
        <w:rPr>
          <w:rFonts w:eastAsia="等线" w:cs="Times New Roman"/>
          <w:lang w:val="en-GB"/>
        </w:rPr>
        <w:t>eType</w:t>
      </w:r>
      <w:proofErr w:type="spellEnd"/>
      <w:r w:rsidR="00577F7B" w:rsidRPr="001114E0">
        <w:rPr>
          <w:rFonts w:eastAsia="等线" w:cs="Times New Roman"/>
          <w:lang w:val="en-GB"/>
        </w:rPr>
        <w:t xml:space="preserve"> II codebook, CSI Part 2 is organized into three groups</w:t>
      </w:r>
      <w:r w:rsidR="00C711C1">
        <w:rPr>
          <w:rFonts w:eastAsia="等线" w:cs="Times New Roman"/>
          <w:lang w:val="en-GB"/>
        </w:rPr>
        <w:t>:</w:t>
      </w:r>
    </w:p>
    <w:p w14:paraId="5D643BF9" w14:textId="21F218C8" w:rsidR="00577F7B" w:rsidRPr="001114E0" w:rsidRDefault="00577F7B" w:rsidP="007E4DE3">
      <w:pPr>
        <w:pStyle w:val="aa"/>
        <w:numPr>
          <w:ilvl w:val="0"/>
          <w:numId w:val="15"/>
        </w:numPr>
        <w:snapToGrid w:val="0"/>
        <w:spacing w:before="120" w:after="120" w:line="259" w:lineRule="auto"/>
        <w:jc w:val="both"/>
        <w:rPr>
          <w:rFonts w:ascii="Times New Roman" w:eastAsia="等线" w:hAnsi="Times New Roman" w:cs="Times New Roman"/>
          <w:lang w:val="en-GB"/>
        </w:rPr>
      </w:pPr>
      <w:r w:rsidRPr="001114E0">
        <w:rPr>
          <w:rFonts w:ascii="Times New Roman" w:eastAsia="等线" w:hAnsi="Times New Roman" w:cs="Times New Roman"/>
          <w:lang w:val="en-GB"/>
        </w:rPr>
        <w:t>G</w:t>
      </w:r>
      <w:r w:rsidR="00E63475">
        <w:rPr>
          <w:rFonts w:ascii="Times New Roman" w:eastAsia="等线" w:hAnsi="Times New Roman" w:cs="Times New Roman"/>
          <w:lang w:val="en-GB"/>
        </w:rPr>
        <w:t xml:space="preserve">roup </w:t>
      </w:r>
      <w:r w:rsidRPr="001114E0">
        <w:rPr>
          <w:rFonts w:ascii="Times New Roman" w:eastAsia="等线" w:hAnsi="Times New Roman" w:cs="Times New Roman"/>
          <w:lang w:val="en-GB"/>
        </w:rPr>
        <w:t>0: Spatial-domain basis vector indicator, and significant coefficient indicator</w:t>
      </w:r>
      <w:r w:rsidR="00E63475">
        <w:rPr>
          <w:rFonts w:ascii="Times New Roman" w:eastAsia="等线" w:hAnsi="Times New Roman" w:cs="Times New Roman"/>
          <w:lang w:val="en-GB"/>
        </w:rPr>
        <w:t xml:space="preserve"> per layer</w:t>
      </w:r>
      <w:r w:rsidRPr="001114E0">
        <w:rPr>
          <w:rFonts w:ascii="Times New Roman" w:eastAsia="等线" w:hAnsi="Times New Roman" w:cs="Times New Roman"/>
          <w:lang w:val="en-GB"/>
        </w:rPr>
        <w:t>.</w:t>
      </w:r>
    </w:p>
    <w:p w14:paraId="695DB445" w14:textId="1F8B8A5F" w:rsidR="00577F7B" w:rsidRPr="001114E0" w:rsidRDefault="00E63475" w:rsidP="007E4DE3">
      <w:pPr>
        <w:pStyle w:val="aa"/>
        <w:numPr>
          <w:ilvl w:val="0"/>
          <w:numId w:val="15"/>
        </w:numPr>
        <w:snapToGrid w:val="0"/>
        <w:spacing w:before="120" w:after="120" w:line="259" w:lineRule="auto"/>
        <w:jc w:val="both"/>
        <w:rPr>
          <w:rFonts w:ascii="Times New Roman" w:eastAsia="等线" w:hAnsi="Times New Roman" w:cs="Times New Roman"/>
          <w:lang w:val="en-GB"/>
        </w:rPr>
      </w:pPr>
      <w:r w:rsidRPr="001114E0">
        <w:rPr>
          <w:rFonts w:ascii="Times New Roman" w:eastAsia="等线" w:hAnsi="Times New Roman" w:cs="Times New Roman"/>
          <w:lang w:val="en-GB"/>
        </w:rPr>
        <w:t>G</w:t>
      </w:r>
      <w:r>
        <w:rPr>
          <w:rFonts w:ascii="Times New Roman" w:eastAsia="等线" w:hAnsi="Times New Roman" w:cs="Times New Roman"/>
          <w:lang w:val="en-GB"/>
        </w:rPr>
        <w:t>roup</w:t>
      </w:r>
      <w:r w:rsidRPr="001114E0">
        <w:rPr>
          <w:rFonts w:ascii="Times New Roman" w:eastAsia="等线" w:hAnsi="Times New Roman" w:cs="Times New Roman"/>
          <w:lang w:val="en-GB"/>
        </w:rPr>
        <w:t xml:space="preserve"> </w:t>
      </w:r>
      <w:r w:rsidR="00577F7B" w:rsidRPr="001114E0">
        <w:rPr>
          <w:rFonts w:ascii="Times New Roman" w:eastAsia="等线" w:hAnsi="Times New Roman" w:cs="Times New Roman"/>
          <w:lang w:val="en-GB"/>
        </w:rPr>
        <w:t>1: Frequency-domain basis vector indicator and high-priority non-zero coefficients.</w:t>
      </w:r>
    </w:p>
    <w:p w14:paraId="4AD99BB9" w14:textId="1A760126" w:rsidR="00577F7B" w:rsidRDefault="00E63475" w:rsidP="007E4DE3">
      <w:pPr>
        <w:pStyle w:val="aa"/>
        <w:numPr>
          <w:ilvl w:val="0"/>
          <w:numId w:val="15"/>
        </w:numPr>
        <w:snapToGrid w:val="0"/>
        <w:spacing w:before="120" w:after="120" w:line="259" w:lineRule="auto"/>
        <w:jc w:val="both"/>
        <w:rPr>
          <w:rFonts w:ascii="Times New Roman" w:eastAsia="等线" w:hAnsi="Times New Roman" w:cs="Times New Roman"/>
          <w:lang w:val="en-GB"/>
        </w:rPr>
      </w:pPr>
      <w:r w:rsidRPr="001114E0">
        <w:rPr>
          <w:rFonts w:ascii="Times New Roman" w:eastAsia="等线" w:hAnsi="Times New Roman" w:cs="Times New Roman"/>
          <w:lang w:val="en-GB"/>
        </w:rPr>
        <w:t>G</w:t>
      </w:r>
      <w:r>
        <w:rPr>
          <w:rFonts w:ascii="Times New Roman" w:eastAsia="等线" w:hAnsi="Times New Roman" w:cs="Times New Roman"/>
          <w:lang w:val="en-GB"/>
        </w:rPr>
        <w:t>roup</w:t>
      </w:r>
      <w:r w:rsidRPr="001114E0">
        <w:rPr>
          <w:rFonts w:ascii="Times New Roman" w:eastAsia="等线" w:hAnsi="Times New Roman" w:cs="Times New Roman"/>
          <w:lang w:val="en-GB"/>
        </w:rPr>
        <w:t xml:space="preserve"> </w:t>
      </w:r>
      <w:r w:rsidR="00577F7B" w:rsidRPr="001114E0">
        <w:rPr>
          <w:rFonts w:ascii="Times New Roman" w:eastAsia="等线" w:hAnsi="Times New Roman" w:cs="Times New Roman"/>
          <w:lang w:val="en-GB"/>
        </w:rPr>
        <w:t>2: Low-priority non-zero coefficients.</w:t>
      </w:r>
    </w:p>
    <w:p w14:paraId="123391EF" w14:textId="7947AD06" w:rsidR="00EF1946" w:rsidRDefault="00BF2768" w:rsidP="00EF38CE">
      <w:pPr>
        <w:snapToGrid w:val="0"/>
        <w:spacing w:before="120" w:after="120" w:line="259" w:lineRule="auto"/>
        <w:jc w:val="both"/>
        <w:rPr>
          <w:rFonts w:cs="Times New Roman"/>
        </w:rPr>
      </w:pPr>
      <w:r>
        <w:rPr>
          <w:rFonts w:eastAsia="等线" w:cs="Times New Roman"/>
          <w:lang w:val="en-GB"/>
        </w:rPr>
        <w:t>E</w:t>
      </w:r>
      <w:r w:rsidR="003A695D" w:rsidRPr="003A695D">
        <w:rPr>
          <w:rFonts w:eastAsia="等线" w:cs="Times New Roman"/>
          <w:lang w:val="en-GB"/>
        </w:rPr>
        <w:t>ach group</w:t>
      </w:r>
      <w:r w:rsidR="003A695D">
        <w:rPr>
          <w:rFonts w:eastAsia="等线" w:cs="Times New Roman" w:hint="eastAsia"/>
          <w:lang w:val="en-GB"/>
        </w:rPr>
        <w:t xml:space="preserve"> con</w:t>
      </w:r>
      <w:r w:rsidR="003A695D">
        <w:rPr>
          <w:rFonts w:eastAsia="等线" w:cs="Times New Roman"/>
          <w:lang w:val="en-GB"/>
        </w:rPr>
        <w:t xml:space="preserve">tains all layers’ information, </w:t>
      </w:r>
      <w:r w:rsidR="00DC2689" w:rsidRPr="00DC2689">
        <w:rPr>
          <w:rFonts w:eastAsia="等线" w:cs="Times New Roman"/>
          <w:lang w:val="en-GB"/>
        </w:rPr>
        <w:t>and the rank remains unchanged even if one group is omitted</w:t>
      </w:r>
      <w:r>
        <w:rPr>
          <w:rFonts w:eastAsia="等线" w:cs="Times New Roman"/>
          <w:lang w:val="en-GB"/>
        </w:rPr>
        <w:t>.</w:t>
      </w:r>
      <w:r w:rsidR="0012365C">
        <w:rPr>
          <w:rFonts w:eastAsia="等线" w:cs="Times New Roman"/>
          <w:lang w:val="en-GB"/>
        </w:rPr>
        <w:t xml:space="preserve"> For CSI compression, the CSI feedback </w:t>
      </w:r>
      <w:r w:rsidR="00A415A3">
        <w:rPr>
          <w:rFonts w:eastAsia="等线" w:cs="Times New Roman"/>
          <w:lang w:val="en-GB"/>
        </w:rPr>
        <w:t xml:space="preserve">bits </w:t>
      </w:r>
      <w:r w:rsidR="0012365C">
        <w:rPr>
          <w:rFonts w:eastAsia="等线" w:cs="Times New Roman"/>
          <w:lang w:val="en-GB"/>
        </w:rPr>
        <w:t>have no physical meaning.</w:t>
      </w:r>
      <w:r w:rsidR="00E525F8">
        <w:rPr>
          <w:rFonts w:eastAsia="等线" w:cs="Times New Roman"/>
          <w:lang w:val="en-GB"/>
        </w:rPr>
        <w:t xml:space="preserve"> </w:t>
      </w:r>
      <w:r w:rsidR="00DC2689" w:rsidRPr="00DC2689">
        <w:rPr>
          <w:rFonts w:eastAsia="等线" w:cs="Times New Roman"/>
          <w:lang w:val="en-GB"/>
        </w:rPr>
        <w:t>A layer-index-based UCI grouping offers a straightforward solution but leads to rank reduction when CSI omission occurs</w:t>
      </w:r>
      <w:r w:rsidR="00DC767E">
        <w:rPr>
          <w:rFonts w:eastAsia="等线" w:cs="Times New Roman"/>
          <w:lang w:val="en-GB"/>
        </w:rPr>
        <w:t>.</w:t>
      </w:r>
      <w:r w:rsidR="00DC767E" w:rsidRPr="00DC767E">
        <w:rPr>
          <w:rFonts w:eastAsia="等线" w:cs="Times New Roman"/>
          <w:lang w:val="en-GB"/>
        </w:rPr>
        <w:t xml:space="preserve"> </w:t>
      </w:r>
      <w:r w:rsidR="00781CA1">
        <w:rPr>
          <w:rFonts w:eastAsia="等线" w:cs="Times New Roman"/>
          <w:lang w:val="en-GB"/>
        </w:rPr>
        <w:t>A</w:t>
      </w:r>
      <w:r w:rsidR="00781CA1" w:rsidRPr="00781CA1">
        <w:rPr>
          <w:rFonts w:eastAsia="等线" w:cs="Times New Roman"/>
          <w:lang w:val="en-GB"/>
        </w:rPr>
        <w:t xml:space="preserve">nother </w:t>
      </w:r>
      <w:r w:rsidR="00F25B8F">
        <w:rPr>
          <w:rFonts w:eastAsia="等线" w:cs="Times New Roman"/>
          <w:lang w:val="en-GB"/>
        </w:rPr>
        <w:t>way</w:t>
      </w:r>
      <w:r w:rsidR="00781CA1" w:rsidRPr="00781CA1">
        <w:rPr>
          <w:rFonts w:eastAsia="等线" w:cs="Times New Roman"/>
          <w:lang w:val="en-GB"/>
        </w:rPr>
        <w:t xml:space="preserve"> is based on portions of each layer similar to the eT2 approach.</w:t>
      </w:r>
      <w:r w:rsidR="00781CA1" w:rsidRPr="00781CA1">
        <w:t xml:space="preserve"> </w:t>
      </w:r>
      <w:r w:rsidR="00F25B8F">
        <w:t xml:space="preserve">There </w:t>
      </w:r>
      <w:r w:rsidR="00DF7476">
        <w:t>are</w:t>
      </w:r>
      <w:r w:rsidR="00F25B8F">
        <w:t xml:space="preserve"> two potential options. The first </w:t>
      </w:r>
      <w:r w:rsidR="00EF1946">
        <w:t xml:space="preserve">option </w:t>
      </w:r>
      <w:r w:rsidR="00F25B8F">
        <w:t xml:space="preserve">is based on </w:t>
      </w:r>
      <w:r w:rsidR="00EF1946">
        <w:t>output dimension index or segment index</w:t>
      </w:r>
      <w:r w:rsidR="00A91968">
        <w:t xml:space="preserve">. </w:t>
      </w:r>
      <w:r w:rsidR="00B67DAA" w:rsidRPr="00375AE7">
        <w:t>For</w:t>
      </w:r>
      <w:r w:rsidR="00B67DAA">
        <w:t xml:space="preserve"> example, for </w:t>
      </w:r>
      <w:r w:rsidR="00B67DAA" w:rsidRPr="00375AE7">
        <w:t xml:space="preserve">a certain layer </w:t>
      </w:r>
      <m:oMath>
        <m:r>
          <w:rPr>
            <w:rFonts w:ascii="Cambria Math" w:hAnsi="Cambria Math"/>
          </w:rPr>
          <m:t>l</m:t>
        </m:r>
      </m:oMath>
      <w:r w:rsidR="00B67DAA" w:rsidRPr="00375AE7">
        <w:t xml:space="preserve"> and rank </w:t>
      </w:r>
      <m:oMath>
        <m:r>
          <m:rPr>
            <m:sty m:val="p"/>
          </m:rPr>
          <w:rPr>
            <w:rFonts w:ascii="Cambria Math" w:hAnsi="Cambria Math"/>
          </w:rPr>
          <m:t>ν</m:t>
        </m:r>
      </m:oMath>
      <w:r w:rsidR="00B67DAA" w:rsidRPr="00375AE7">
        <w:t>,</w:t>
      </w:r>
      <w:r w:rsidR="00B67DAA">
        <w:t xml:space="preserve"> </w:t>
      </w:r>
      <w:r w:rsidR="007B0102">
        <w:t xml:space="preserve">the </w:t>
      </w:r>
      <w:r w:rsidR="007B0102" w:rsidRPr="00375AE7">
        <w:t>latent message</w:t>
      </w:r>
      <w:r w:rsidR="007B0102">
        <w:t xml:space="preserve"> contains 32 elements, </w:t>
      </w:r>
      <w:r w:rsidR="00CB25A0">
        <w:t>i.e.,</w:t>
      </w:r>
      <w:r w:rsidR="007B0102">
        <w:t xml:space="preserve"> </w:t>
      </w:r>
      <m:oMath>
        <m:sSup>
          <m:sSupPr>
            <m:ctrlPr>
              <w:rPr>
                <w:rFonts w:ascii="Cambria Math" w:hAnsi="Cambria Math"/>
              </w:rPr>
            </m:ctrlPr>
          </m:sSupPr>
          <m:e>
            <m:r>
              <m:rPr>
                <m:sty m:val="p"/>
              </m:rPr>
              <w:rPr>
                <w:rFonts w:ascii="Cambria Math" w:hAnsi="Cambria Math"/>
              </w:rPr>
              <m:t>z</m:t>
            </m:r>
          </m:e>
          <m:sup>
            <m:r>
              <w:rPr>
                <w:rFonts w:ascii="Cambria Math" w:hAnsi="Cambria Math"/>
              </w:rPr>
              <m:t>l</m:t>
            </m:r>
          </m:sup>
        </m:sSup>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0</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31</m:t>
                </m:r>
              </m:sub>
              <m:sup>
                <m:r>
                  <w:rPr>
                    <w:rFonts w:ascii="Cambria Math" w:hAnsi="Cambria Math"/>
                  </w:rPr>
                  <m:t>l</m:t>
                </m:r>
              </m:sup>
            </m:sSubSup>
          </m:e>
        </m:d>
      </m:oMath>
      <w:r w:rsidR="008F7C81">
        <w:t>. A</w:t>
      </w:r>
      <w:r w:rsidR="00DF7476" w:rsidRPr="00DF7476">
        <w:rPr>
          <w:rFonts w:cs="Times New Roman"/>
        </w:rPr>
        <w:t xml:space="preserve"> latent message with 32 elements can be split into two 16-element groups, as illustrated in Figure 1(a).</w:t>
      </w:r>
      <w:r w:rsidR="00981F9F">
        <w:t xml:space="preserve"> </w:t>
      </w:r>
      <w:r w:rsidR="00EF1946">
        <w:t xml:space="preserve">The second option is based on </w:t>
      </w:r>
      <w:r w:rsidR="00981F9F" w:rsidRPr="00981F9F">
        <w:t>quantized bit index.</w:t>
      </w:r>
      <w:r w:rsidR="0009742A">
        <w:t xml:space="preserve"> </w:t>
      </w:r>
      <w:r w:rsidR="00FD6122">
        <w:rPr>
          <w:rFonts w:cs="Times New Roman"/>
        </w:rPr>
        <w:t xml:space="preserve">Specifically, </w:t>
      </w:r>
      <w:r w:rsidR="004211BC">
        <w:rPr>
          <w:rFonts w:cs="Times New Roman"/>
        </w:rPr>
        <w:t>t</w:t>
      </w:r>
      <w:r w:rsidR="003B5B4A">
        <w:rPr>
          <w:rFonts w:cs="Times New Roman"/>
        </w:rPr>
        <w:t>he binary bit</w:t>
      </w:r>
      <w:r w:rsidR="005A6C00">
        <w:rPr>
          <w:rFonts w:cs="Times New Roman"/>
        </w:rPr>
        <w:t>s</w:t>
      </w:r>
      <w:r w:rsidR="003B5B4A">
        <w:rPr>
          <w:rFonts w:cs="Times New Roman"/>
        </w:rPr>
        <w:t xml:space="preserve"> corresponding to </w:t>
      </w:r>
      <w:r w:rsidR="00FD6122">
        <w:rPr>
          <w:rFonts w:cs="Times New Roman"/>
        </w:rPr>
        <w:t xml:space="preserve">the same quantization bit index </w:t>
      </w:r>
      <w:r w:rsidR="00DF7476">
        <w:rPr>
          <w:rFonts w:cs="Times New Roman"/>
        </w:rPr>
        <w:t>across</w:t>
      </w:r>
      <w:r w:rsidR="00FD6122">
        <w:rPr>
          <w:rFonts w:cs="Times New Roman"/>
        </w:rPr>
        <w:t xml:space="preserve"> a</w:t>
      </w:r>
      <w:r w:rsidR="00FD6122" w:rsidRPr="00FD6122">
        <w:rPr>
          <w:rFonts w:cs="Times New Roman"/>
        </w:rPr>
        <w:t>l</w:t>
      </w:r>
      <w:r w:rsidR="00FD6122">
        <w:rPr>
          <w:rFonts w:cs="Times New Roman"/>
        </w:rPr>
        <w:t xml:space="preserve">l </w:t>
      </w:r>
      <w:r w:rsidR="00FD6122" w:rsidRPr="00FD6122">
        <w:rPr>
          <w:rFonts w:cs="Times New Roman"/>
        </w:rPr>
        <w:t>output dimensions</w:t>
      </w:r>
      <w:r w:rsidR="00FD6122">
        <w:rPr>
          <w:rFonts w:cs="Times New Roman"/>
        </w:rPr>
        <w:t xml:space="preserve"> are </w:t>
      </w:r>
      <w:r w:rsidR="00FD6122" w:rsidRPr="00FD6122">
        <w:rPr>
          <w:rFonts w:cs="Times New Roman"/>
        </w:rPr>
        <w:t>grouped</w:t>
      </w:r>
      <w:r w:rsidR="00DF7476">
        <w:rPr>
          <w:rFonts w:cs="Times New Roman"/>
        </w:rPr>
        <w:t>,</w:t>
      </w:r>
      <w:r w:rsidR="00A91968">
        <w:rPr>
          <w:rFonts w:cs="Times New Roman"/>
        </w:rPr>
        <w:t xml:space="preserve"> as </w:t>
      </w:r>
      <w:r w:rsidR="00A91968" w:rsidRPr="006E6C23">
        <w:rPr>
          <w:rFonts w:cs="Times New Roman"/>
        </w:rPr>
        <w:t xml:space="preserve">presented </w:t>
      </w:r>
      <w:r w:rsidR="00A91968">
        <w:rPr>
          <w:rFonts w:cs="Times New Roman"/>
        </w:rPr>
        <w:t>by</w:t>
      </w:r>
      <w:r w:rsidR="00A91968" w:rsidRPr="008C5622">
        <w:rPr>
          <w:rFonts w:cs="Times New Roman"/>
        </w:rPr>
        <w:t xml:space="preserve"> Figure </w:t>
      </w:r>
      <w:r w:rsidR="00B83CAC">
        <w:rPr>
          <w:rFonts w:cs="Times New Roman"/>
        </w:rPr>
        <w:t xml:space="preserve">1 </w:t>
      </w:r>
      <w:r w:rsidR="00BF5055">
        <w:rPr>
          <w:rFonts w:cs="Times New Roman"/>
        </w:rPr>
        <w:t>(b)</w:t>
      </w:r>
      <w:r w:rsidR="00FD6122" w:rsidRPr="00FD6122">
        <w:rPr>
          <w:rFonts w:cs="Times New Roman"/>
        </w:rPr>
        <w:t>.</w:t>
      </w:r>
      <w:r w:rsidR="00446018">
        <w:rPr>
          <w:rFonts w:cs="Times New Roman"/>
        </w:rPr>
        <w:t xml:space="preserve"> </w:t>
      </w:r>
    </w:p>
    <w:p w14:paraId="03FDA2D4" w14:textId="068B76DA" w:rsidR="000E149C" w:rsidRDefault="0034328E" w:rsidP="00EF38CE">
      <w:pPr>
        <w:snapToGrid w:val="0"/>
        <w:spacing w:before="120" w:after="120" w:line="259" w:lineRule="auto"/>
        <w:jc w:val="both"/>
      </w:pPr>
      <w:r w:rsidRPr="0034328E">
        <w:rPr>
          <w:noProof/>
        </w:rPr>
        <w:drawing>
          <wp:inline distT="0" distB="0" distL="0" distR="0" wp14:anchorId="7FCD841E" wp14:editId="166314C9">
            <wp:extent cx="1711757" cy="2723480"/>
            <wp:effectExtent l="0" t="0" r="317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30829" cy="2753824"/>
                    </a:xfrm>
                    <a:prstGeom prst="rect">
                      <a:avLst/>
                    </a:prstGeom>
                  </pic:spPr>
                </pic:pic>
              </a:graphicData>
            </a:graphic>
          </wp:inline>
        </w:drawing>
      </w:r>
      <w:r w:rsidRPr="0034328E">
        <w:t xml:space="preserve"> </w:t>
      </w:r>
      <w:r w:rsidR="007E1DA2">
        <w:rPr>
          <w:rFonts w:hint="eastAsia"/>
        </w:rPr>
        <w:t xml:space="preserve"> </w:t>
      </w:r>
      <w:r w:rsidR="007E1DA2">
        <w:t xml:space="preserve">           </w:t>
      </w:r>
      <w:r w:rsidRPr="0034328E">
        <w:rPr>
          <w:noProof/>
        </w:rPr>
        <w:drawing>
          <wp:inline distT="0" distB="0" distL="0" distR="0" wp14:anchorId="0EBE17DB" wp14:editId="0923AB90">
            <wp:extent cx="2004261" cy="2762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11131" cy="2772099"/>
                    </a:xfrm>
                    <a:prstGeom prst="rect">
                      <a:avLst/>
                    </a:prstGeom>
                  </pic:spPr>
                </pic:pic>
              </a:graphicData>
            </a:graphic>
          </wp:inline>
        </w:drawing>
      </w:r>
    </w:p>
    <w:p w14:paraId="1D70DC10" w14:textId="3278ADBD" w:rsidR="007E1DA2" w:rsidRDefault="007E1DA2" w:rsidP="007F4ED0">
      <w:pPr>
        <w:snapToGrid w:val="0"/>
        <w:spacing w:before="120" w:after="120"/>
        <w:jc w:val="center"/>
      </w:pPr>
      <w:r w:rsidRPr="007E1DA2">
        <w:rPr>
          <w:rFonts w:eastAsia="Malgun Gothic" w:cs="Times New Roman" w:hint="eastAsia"/>
          <w:b/>
          <w:bCs/>
          <w:sz w:val="18"/>
          <w:szCs w:val="18"/>
          <w:lang w:val="en-GB" w:eastAsia="en-US"/>
        </w:rPr>
        <w:t>(</w:t>
      </w:r>
      <w:r w:rsidRPr="007E1DA2">
        <w:rPr>
          <w:rFonts w:eastAsia="Malgun Gothic" w:cs="Times New Roman"/>
          <w:b/>
          <w:bCs/>
          <w:sz w:val="18"/>
          <w:szCs w:val="18"/>
          <w:lang w:val="en-GB" w:eastAsia="en-US"/>
        </w:rPr>
        <w:t>a) Option</w:t>
      </w:r>
      <w:r w:rsidR="005466DC">
        <w:rPr>
          <w:rFonts w:eastAsia="Malgun Gothic" w:cs="Times New Roman"/>
          <w:b/>
          <w:bCs/>
          <w:sz w:val="18"/>
          <w:szCs w:val="18"/>
          <w:lang w:val="en-GB" w:eastAsia="en-US"/>
        </w:rPr>
        <w:t xml:space="preserve"> 1</w:t>
      </w:r>
      <w:r w:rsidRPr="007E1DA2">
        <w:rPr>
          <w:rFonts w:eastAsia="Malgun Gothic" w:cs="Times New Roman"/>
          <w:b/>
          <w:bCs/>
          <w:sz w:val="18"/>
          <w:szCs w:val="18"/>
          <w:lang w:val="en-GB" w:eastAsia="en-US"/>
        </w:rPr>
        <w:t xml:space="preserve">                   </w:t>
      </w:r>
      <w:r w:rsidR="00272BB9">
        <w:rPr>
          <w:rFonts w:eastAsia="Malgun Gothic" w:cs="Times New Roman"/>
          <w:b/>
          <w:bCs/>
          <w:sz w:val="18"/>
          <w:szCs w:val="18"/>
          <w:lang w:val="en-GB" w:eastAsia="en-US"/>
        </w:rPr>
        <w:t xml:space="preserve">         </w:t>
      </w:r>
      <w:r w:rsidRPr="007E1DA2">
        <w:rPr>
          <w:rFonts w:eastAsia="Malgun Gothic" w:cs="Times New Roman"/>
          <w:b/>
          <w:bCs/>
          <w:sz w:val="18"/>
          <w:szCs w:val="18"/>
          <w:lang w:val="en-GB" w:eastAsia="en-US"/>
        </w:rPr>
        <w:t xml:space="preserve">            </w:t>
      </w:r>
      <w:proofErr w:type="gramStart"/>
      <w:r w:rsidRPr="007E1DA2">
        <w:rPr>
          <w:rFonts w:eastAsia="Malgun Gothic" w:cs="Times New Roman"/>
          <w:b/>
          <w:bCs/>
          <w:sz w:val="18"/>
          <w:szCs w:val="18"/>
          <w:lang w:val="en-GB" w:eastAsia="en-US"/>
        </w:rPr>
        <w:t xml:space="preserve">   </w:t>
      </w:r>
      <w:r w:rsidRPr="007E1DA2">
        <w:rPr>
          <w:rFonts w:eastAsia="Malgun Gothic" w:cs="Times New Roman" w:hint="eastAsia"/>
          <w:b/>
          <w:bCs/>
          <w:sz w:val="18"/>
          <w:szCs w:val="18"/>
          <w:lang w:val="en-GB" w:eastAsia="en-US"/>
        </w:rPr>
        <w:t>(</w:t>
      </w:r>
      <w:proofErr w:type="gramEnd"/>
      <w:r w:rsidRPr="007E1DA2">
        <w:rPr>
          <w:rFonts w:eastAsia="Malgun Gothic" w:cs="Times New Roman"/>
          <w:b/>
          <w:bCs/>
          <w:sz w:val="18"/>
          <w:szCs w:val="18"/>
          <w:lang w:val="en-GB" w:eastAsia="en-US"/>
        </w:rPr>
        <w:t>b) Option</w:t>
      </w:r>
      <w:r w:rsidR="005466DC">
        <w:rPr>
          <w:rFonts w:eastAsia="Malgun Gothic" w:cs="Times New Roman"/>
          <w:b/>
          <w:bCs/>
          <w:sz w:val="18"/>
          <w:szCs w:val="18"/>
          <w:lang w:val="en-GB" w:eastAsia="en-US"/>
        </w:rPr>
        <w:t xml:space="preserve"> </w:t>
      </w:r>
      <w:r w:rsidRPr="007E1DA2">
        <w:rPr>
          <w:rFonts w:eastAsia="Malgun Gothic" w:cs="Times New Roman"/>
          <w:b/>
          <w:bCs/>
          <w:sz w:val="18"/>
          <w:szCs w:val="18"/>
          <w:lang w:val="en-GB" w:eastAsia="en-US"/>
        </w:rPr>
        <w:t>2</w:t>
      </w:r>
    </w:p>
    <w:p w14:paraId="0D330E1A" w14:textId="19F4E496" w:rsidR="007E1DA2" w:rsidRPr="00D325D4" w:rsidRDefault="007E1DA2" w:rsidP="000B2A80">
      <w:pPr>
        <w:snapToGrid w:val="0"/>
        <w:spacing w:before="120" w:after="120"/>
        <w:jc w:val="center"/>
        <w:rPr>
          <w:rFonts w:eastAsia="Malgun Gothic" w:cs="Times New Roman"/>
          <w:b/>
          <w:bCs/>
          <w:sz w:val="18"/>
          <w:szCs w:val="18"/>
          <w:lang w:val="en-GB" w:eastAsia="en-US"/>
        </w:rPr>
      </w:pPr>
      <w:r w:rsidRPr="00447B19">
        <w:rPr>
          <w:rFonts w:eastAsia="Malgun Gothic" w:cs="Times New Roman"/>
          <w:b/>
          <w:bCs/>
          <w:sz w:val="18"/>
          <w:szCs w:val="18"/>
          <w:lang w:val="en-GB" w:eastAsia="en-US"/>
        </w:rPr>
        <w:t xml:space="preserve">Figure </w:t>
      </w:r>
      <w:r>
        <w:rPr>
          <w:rFonts w:eastAsia="Malgun Gothic" w:cs="Times New Roman"/>
          <w:b/>
          <w:bCs/>
          <w:sz w:val="18"/>
          <w:szCs w:val="18"/>
          <w:lang w:val="en-GB" w:eastAsia="en-US"/>
        </w:rPr>
        <w:t>1</w:t>
      </w:r>
      <w:r w:rsidRPr="00447B19">
        <w:rPr>
          <w:rFonts w:eastAsia="Malgun Gothic" w:cs="Times New Roman"/>
          <w:b/>
          <w:bCs/>
          <w:sz w:val="18"/>
          <w:szCs w:val="18"/>
          <w:lang w:val="en-GB" w:eastAsia="en-US"/>
        </w:rPr>
        <w:t xml:space="preserve"> </w:t>
      </w:r>
      <w:r>
        <w:rPr>
          <w:rFonts w:eastAsia="Malgun Gothic" w:cs="Times New Roman"/>
          <w:b/>
          <w:bCs/>
          <w:sz w:val="18"/>
          <w:szCs w:val="18"/>
          <w:lang w:val="en-GB" w:eastAsia="en-US"/>
        </w:rPr>
        <w:t>UCI Grouping</w:t>
      </w:r>
    </w:p>
    <w:p w14:paraId="2482D188" w14:textId="6ACDA7CF" w:rsidR="005466DC" w:rsidRPr="005466DC" w:rsidRDefault="009A462C" w:rsidP="005466DC">
      <w:pPr>
        <w:rPr>
          <w:rFonts w:eastAsiaTheme="minorEastAsia" w:cs="Times New Roman"/>
          <w:b/>
          <w:bCs/>
          <w:i/>
          <w:lang w:val="en-GB"/>
        </w:rPr>
      </w:pPr>
      <w:r w:rsidRPr="005466DC">
        <w:rPr>
          <w:rFonts w:eastAsiaTheme="minorEastAsia" w:cs="Times New Roman" w:hint="eastAsia"/>
          <w:b/>
          <w:bCs/>
          <w:i/>
          <w:lang w:val="en-GB"/>
        </w:rPr>
        <w:t>O</w:t>
      </w:r>
      <w:r w:rsidRPr="005466DC">
        <w:rPr>
          <w:rFonts w:eastAsiaTheme="minorEastAsia" w:cs="Times New Roman"/>
          <w:b/>
          <w:bCs/>
          <w:i/>
          <w:lang w:val="en-GB"/>
        </w:rPr>
        <w:t>bservation</w:t>
      </w:r>
      <w:r>
        <w:rPr>
          <w:rFonts w:eastAsiaTheme="minorEastAsia" w:cs="Times New Roman"/>
          <w:b/>
          <w:bCs/>
          <w:i/>
          <w:lang w:val="en-GB"/>
        </w:rPr>
        <w:t xml:space="preserve"> 2</w:t>
      </w:r>
      <w:r w:rsidR="005466DC" w:rsidRPr="005466DC">
        <w:rPr>
          <w:rFonts w:eastAsiaTheme="minorEastAsia" w:cs="Times New Roman"/>
          <w:b/>
          <w:bCs/>
          <w:i/>
          <w:lang w:val="en-GB"/>
        </w:rPr>
        <w:t xml:space="preserve">: </w:t>
      </w:r>
      <w:r w:rsidR="005466DC" w:rsidRPr="005466DC">
        <w:rPr>
          <w:rFonts w:eastAsia="等线" w:cs="Times New Roman"/>
          <w:b/>
          <w:i/>
          <w:lang w:val="en-GB"/>
        </w:rPr>
        <w:t xml:space="preserve">A layer-index-based UCI grouping offers a straightforward solution but leads to rank reduction when CSI omission occurs. Resulting in the mismatch between CQI, RI and precoding </w:t>
      </w:r>
      <w:r w:rsidR="00772495" w:rsidRPr="005466DC">
        <w:rPr>
          <w:rFonts w:eastAsia="等线" w:cs="Times New Roman"/>
          <w:b/>
          <w:i/>
          <w:lang w:val="en-GB"/>
        </w:rPr>
        <w:t>matrix (</w:t>
      </w:r>
      <w:r w:rsidR="005466DC" w:rsidRPr="005466DC">
        <w:rPr>
          <w:rFonts w:eastAsia="等线" w:cs="Times New Roman"/>
          <w:b/>
          <w:i/>
          <w:lang w:val="en-GB"/>
        </w:rPr>
        <w:t>reconstructed CSI).</w:t>
      </w:r>
    </w:p>
    <w:p w14:paraId="49AD2699" w14:textId="6EABA35D" w:rsidR="005466DC" w:rsidRDefault="005466DC" w:rsidP="005466DC">
      <w:pPr>
        <w:pStyle w:val="a0"/>
        <w:snapToGrid w:val="0"/>
        <w:spacing w:before="120"/>
        <w:jc w:val="both"/>
        <w:rPr>
          <w:b/>
          <w:bCs/>
          <w:i/>
        </w:rPr>
      </w:pPr>
      <w:r w:rsidRPr="0091549C">
        <w:rPr>
          <w:b/>
          <w:bCs/>
          <w:i/>
        </w:rPr>
        <w:t xml:space="preserve">Proposal </w:t>
      </w:r>
      <w:r w:rsidR="00432ADF">
        <w:rPr>
          <w:b/>
          <w:bCs/>
          <w:i/>
        </w:rPr>
        <w:t>6</w:t>
      </w:r>
      <w:r>
        <w:rPr>
          <w:b/>
          <w:bCs/>
          <w:i/>
        </w:rPr>
        <w:t xml:space="preserve">: For </w:t>
      </w:r>
      <w:r w:rsidRPr="0082670B">
        <w:rPr>
          <w:b/>
          <w:bCs/>
          <w:i/>
        </w:rPr>
        <w:t>UCI mapping</w:t>
      </w:r>
      <w:r>
        <w:rPr>
          <w:b/>
          <w:bCs/>
          <w:i/>
        </w:rPr>
        <w:t xml:space="preserve">, </w:t>
      </w:r>
      <w:r>
        <w:rPr>
          <w:rFonts w:hint="eastAsia"/>
          <w:b/>
          <w:bCs/>
          <w:i/>
        </w:rPr>
        <w:t>supp</w:t>
      </w:r>
      <w:r>
        <w:rPr>
          <w:b/>
          <w:bCs/>
          <w:i/>
        </w:rPr>
        <w:t>ort UCI grouping</w:t>
      </w:r>
      <w:r w:rsidRPr="0082670B">
        <w:rPr>
          <w:b/>
          <w:bCs/>
          <w:i/>
        </w:rPr>
        <w:t xml:space="preserve"> </w:t>
      </w:r>
      <w:r w:rsidRPr="00D05F2C">
        <w:rPr>
          <w:b/>
          <w:bCs/>
          <w:i/>
        </w:rPr>
        <w:t>based on portions of each layer</w:t>
      </w:r>
      <w:r>
        <w:rPr>
          <w:b/>
          <w:bCs/>
          <w:i/>
        </w:rPr>
        <w:t>, further study the following options:</w:t>
      </w:r>
    </w:p>
    <w:p w14:paraId="12AE8D68" w14:textId="77777777" w:rsidR="005466DC" w:rsidRDefault="005466DC" w:rsidP="00C82EE6">
      <w:pPr>
        <w:pStyle w:val="a0"/>
        <w:numPr>
          <w:ilvl w:val="0"/>
          <w:numId w:val="18"/>
        </w:numPr>
        <w:snapToGrid w:val="0"/>
        <w:spacing w:before="120"/>
        <w:jc w:val="both"/>
        <w:rPr>
          <w:b/>
          <w:bCs/>
          <w:i/>
        </w:rPr>
      </w:pPr>
      <w:r>
        <w:rPr>
          <w:b/>
          <w:bCs/>
          <w:i/>
        </w:rPr>
        <w:t xml:space="preserve">Option1: Grouping based on </w:t>
      </w:r>
      <w:r w:rsidRPr="0082670B">
        <w:rPr>
          <w:b/>
          <w:bCs/>
          <w:i/>
        </w:rPr>
        <w:t>output dimension index or segment index</w:t>
      </w:r>
      <w:r>
        <w:rPr>
          <w:b/>
          <w:bCs/>
          <w:i/>
        </w:rPr>
        <w:t>.</w:t>
      </w:r>
    </w:p>
    <w:p w14:paraId="4D738FBE" w14:textId="77777777" w:rsidR="005466DC" w:rsidRDefault="005466DC" w:rsidP="00C82EE6">
      <w:pPr>
        <w:pStyle w:val="a0"/>
        <w:numPr>
          <w:ilvl w:val="0"/>
          <w:numId w:val="18"/>
        </w:numPr>
        <w:snapToGrid w:val="0"/>
        <w:spacing w:before="120"/>
        <w:jc w:val="both"/>
        <w:rPr>
          <w:b/>
          <w:bCs/>
          <w:i/>
        </w:rPr>
      </w:pPr>
      <w:r>
        <w:rPr>
          <w:b/>
          <w:bCs/>
          <w:i/>
        </w:rPr>
        <w:t>Option2: Grouping based on q</w:t>
      </w:r>
      <w:r w:rsidRPr="0082670B">
        <w:rPr>
          <w:b/>
          <w:bCs/>
          <w:i/>
        </w:rPr>
        <w:t>uantized</w:t>
      </w:r>
      <w:r>
        <w:rPr>
          <w:b/>
          <w:bCs/>
          <w:i/>
        </w:rPr>
        <w:t xml:space="preserve"> </w:t>
      </w:r>
      <w:r w:rsidRPr="0082670B">
        <w:rPr>
          <w:b/>
          <w:bCs/>
          <w:i/>
        </w:rPr>
        <w:t>bit index.</w:t>
      </w:r>
    </w:p>
    <w:p w14:paraId="22CDDDEF" w14:textId="77777777" w:rsidR="00F876C4" w:rsidRPr="005466DC" w:rsidRDefault="00F876C4" w:rsidP="005466DC">
      <w:pPr>
        <w:pStyle w:val="a0"/>
        <w:snapToGrid w:val="0"/>
        <w:spacing w:before="120"/>
        <w:ind w:left="1440"/>
        <w:jc w:val="both"/>
        <w:rPr>
          <w:b/>
          <w:bCs/>
          <w:i/>
        </w:rPr>
      </w:pPr>
    </w:p>
    <w:p w14:paraId="189D209A" w14:textId="30FF9A6C" w:rsidR="00976513" w:rsidRDefault="005A51FB" w:rsidP="00EF38CE">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5A51FB">
        <w:rPr>
          <w:rFonts w:ascii="Times New Roman" w:eastAsiaTheme="minorEastAsia" w:hAnsi="Times New Roman" w:cs="Times New Roman"/>
          <w:b/>
          <w:iCs w:val="0"/>
          <w:szCs w:val="22"/>
        </w:rPr>
        <w:lastRenderedPageBreak/>
        <w:t>CSI processing criteria</w:t>
      </w:r>
      <w:r w:rsidR="00C60F04">
        <w:rPr>
          <w:rFonts w:ascii="Times New Roman" w:eastAsiaTheme="minorEastAsia" w:hAnsi="Times New Roman" w:cs="Times New Roman"/>
          <w:b/>
          <w:iCs w:val="0"/>
          <w:szCs w:val="22"/>
        </w:rPr>
        <w:t xml:space="preserve"> and timeline</w:t>
      </w:r>
    </w:p>
    <w:p w14:paraId="329E7B0E" w14:textId="18A0AC82" w:rsidR="00B64739" w:rsidRPr="00FC2A0E" w:rsidRDefault="009D4871" w:rsidP="00EF38CE">
      <w:pPr>
        <w:pStyle w:val="a0"/>
        <w:snapToGrid w:val="0"/>
        <w:spacing w:before="120"/>
        <w:jc w:val="both"/>
        <w:rPr>
          <w:rFonts w:cs="Times New Roman"/>
          <w:b/>
          <w:bCs/>
          <w:u w:val="single"/>
        </w:rPr>
      </w:pPr>
      <w:r w:rsidRPr="009D4871">
        <w:rPr>
          <w:rFonts w:cs="Times New Roman" w:hint="eastAsia"/>
          <w:b/>
          <w:bCs/>
          <w:u w:val="single"/>
        </w:rPr>
        <w:t>C</w:t>
      </w:r>
      <w:r w:rsidRPr="009D4871">
        <w:rPr>
          <w:rFonts w:cs="Times New Roman"/>
          <w:b/>
          <w:bCs/>
          <w:u w:val="single"/>
        </w:rPr>
        <w:t>PU/APU occupancy</w:t>
      </w:r>
    </w:p>
    <w:p w14:paraId="14E11145" w14:textId="6DF4A099" w:rsidR="00B64739" w:rsidRPr="002A72A3" w:rsidRDefault="00B64739" w:rsidP="00EF38CE">
      <w:pPr>
        <w:pStyle w:val="a0"/>
        <w:snapToGrid w:val="0"/>
        <w:spacing w:before="120"/>
        <w:jc w:val="both"/>
        <w:rPr>
          <w:rFonts w:cs="Times New Roman"/>
        </w:rPr>
      </w:pPr>
      <w:r w:rsidRPr="00B64739">
        <w:rPr>
          <w:rFonts w:cs="Times New Roman"/>
        </w:rPr>
        <w:t xml:space="preserve">In general, the </w:t>
      </w:r>
      <w:r w:rsidRPr="002A72A3">
        <w:rPr>
          <w:rFonts w:cs="Times New Roman"/>
        </w:rPr>
        <w:t>CSI processing criteria</w:t>
      </w:r>
      <w:r w:rsidRPr="00B64739">
        <w:rPr>
          <w:rFonts w:cs="Times New Roman"/>
        </w:rPr>
        <w:t xml:space="preserve"> used for </w:t>
      </w:r>
      <w:r w:rsidRPr="002A72A3">
        <w:rPr>
          <w:rFonts w:cs="Times New Roman"/>
        </w:rPr>
        <w:t>AI BM</w:t>
      </w:r>
      <w:r w:rsidRPr="00B64739">
        <w:rPr>
          <w:rFonts w:cs="Times New Roman"/>
        </w:rPr>
        <w:t xml:space="preserve"> and </w:t>
      </w:r>
      <w:r w:rsidRPr="002A72A3">
        <w:rPr>
          <w:rFonts w:cs="Times New Roman"/>
        </w:rPr>
        <w:t>AI CSI prediction</w:t>
      </w:r>
      <w:r w:rsidRPr="00B64739">
        <w:rPr>
          <w:rFonts w:cs="Times New Roman"/>
        </w:rPr>
        <w:t xml:space="preserve"> can</w:t>
      </w:r>
      <w:r>
        <w:rPr>
          <w:rFonts w:cs="Times New Roman"/>
        </w:rPr>
        <w:t xml:space="preserve"> reused</w:t>
      </w:r>
      <w:r w:rsidRPr="00B64739">
        <w:rPr>
          <w:rFonts w:cs="Times New Roman"/>
        </w:rPr>
        <w:t xml:space="preserve"> to </w:t>
      </w:r>
      <w:r w:rsidRPr="002A72A3">
        <w:rPr>
          <w:rFonts w:cs="Times New Roman"/>
        </w:rPr>
        <w:t>CSI compression</w:t>
      </w:r>
      <w:r w:rsidRPr="00B64739">
        <w:rPr>
          <w:rFonts w:cs="Times New Roman"/>
        </w:rPr>
        <w:t xml:space="preserve">. </w:t>
      </w:r>
      <w:r w:rsidR="002A72A3" w:rsidRPr="002A72A3">
        <w:rPr>
          <w:rFonts w:cs="Times New Roman"/>
        </w:rPr>
        <w:t>APU</w:t>
      </w:r>
      <w:r w:rsidR="002A72A3" w:rsidRPr="00B64739">
        <w:rPr>
          <w:rFonts w:cs="Times New Roman"/>
        </w:rPr>
        <w:t xml:space="preserve"> and/or </w:t>
      </w:r>
      <w:r w:rsidR="002A72A3" w:rsidRPr="002A72A3">
        <w:rPr>
          <w:rFonts w:cs="Times New Roman"/>
        </w:rPr>
        <w:t xml:space="preserve">CPU </w:t>
      </w:r>
      <w:r w:rsidR="002A72A3" w:rsidRPr="002A72A3">
        <w:rPr>
          <w:rFonts w:cs="Times New Roman" w:hint="eastAsia"/>
        </w:rPr>
        <w:t>m</w:t>
      </w:r>
      <w:r w:rsidR="002A72A3" w:rsidRPr="002A72A3">
        <w:rPr>
          <w:rFonts w:cs="Times New Roman"/>
        </w:rPr>
        <w:t xml:space="preserve">ay be supported depending on UE’s capability </w:t>
      </w:r>
      <w:r w:rsidR="00C82EE6" w:rsidRPr="002A72A3">
        <w:rPr>
          <w:rFonts w:cs="Times New Roman"/>
        </w:rPr>
        <w:t>reporting.</w:t>
      </w:r>
      <w:r w:rsidR="00C82EE6">
        <w:rPr>
          <w:rFonts w:cs="Times New Roman"/>
        </w:rPr>
        <w:t xml:space="preserve"> In</w:t>
      </w:r>
      <w:r w:rsidR="002A72A3">
        <w:rPr>
          <w:rFonts w:cs="Times New Roman"/>
        </w:rPr>
        <w:t xml:space="preserve"> addition, for</w:t>
      </w:r>
      <w:r w:rsidRPr="00B64739">
        <w:rPr>
          <w:rFonts w:cs="Times New Roman"/>
        </w:rPr>
        <w:t xml:space="preserve"> CSI compression</w:t>
      </w:r>
      <w:r w:rsidR="002A72A3">
        <w:rPr>
          <w:rFonts w:cs="Times New Roman"/>
        </w:rPr>
        <w:t>, the inference for each layer may be</w:t>
      </w:r>
      <w:r w:rsidRPr="00B64739">
        <w:rPr>
          <w:rFonts w:cs="Times New Roman"/>
        </w:rPr>
        <w:t xml:space="preserve"> </w:t>
      </w:r>
      <w:r w:rsidRPr="002A72A3">
        <w:rPr>
          <w:rFonts w:cs="Times New Roman"/>
        </w:rPr>
        <w:t>independen</w:t>
      </w:r>
      <w:r w:rsidR="002A72A3" w:rsidRPr="002A72A3">
        <w:rPr>
          <w:rFonts w:cs="Times New Roman"/>
        </w:rPr>
        <w:t>t</w:t>
      </w:r>
      <w:r w:rsidRPr="00B64739">
        <w:rPr>
          <w:rFonts w:cs="Times New Roman"/>
        </w:rPr>
        <w:t xml:space="preserve">, which is different from AI BM or AI CSI prediction. This raises the question of whether </w:t>
      </w:r>
      <w:r w:rsidRPr="002A72A3">
        <w:rPr>
          <w:rFonts w:cs="Times New Roman"/>
        </w:rPr>
        <w:t>CPU/APU allocation</w:t>
      </w:r>
      <w:r w:rsidRPr="00B64739">
        <w:rPr>
          <w:rFonts w:cs="Times New Roman"/>
        </w:rPr>
        <w:t xml:space="preserve"> should be </w:t>
      </w:r>
      <w:r w:rsidRPr="002A72A3">
        <w:rPr>
          <w:rFonts w:cs="Times New Roman"/>
        </w:rPr>
        <w:t>layer-specific or rank-specific</w:t>
      </w:r>
      <w:r w:rsidRPr="00B64739">
        <w:rPr>
          <w:rFonts w:cs="Times New Roman"/>
        </w:rPr>
        <w:t xml:space="preserve">, which requires further </w:t>
      </w:r>
      <w:r w:rsidR="00C82EE6" w:rsidRPr="00B64739">
        <w:rPr>
          <w:rFonts w:cs="Times New Roman"/>
        </w:rPr>
        <w:t>investigation. For</w:t>
      </w:r>
      <w:r w:rsidRPr="00B64739">
        <w:rPr>
          <w:rFonts w:cs="Times New Roman"/>
        </w:rPr>
        <w:t xml:space="preserve"> example, in </w:t>
      </w:r>
      <w:r w:rsidRPr="002A72A3">
        <w:rPr>
          <w:rFonts w:cs="Times New Roman"/>
        </w:rPr>
        <w:t>Rank 4</w:t>
      </w:r>
      <w:r w:rsidRPr="00B64739">
        <w:rPr>
          <w:rFonts w:cs="Times New Roman"/>
        </w:rPr>
        <w:t xml:space="preserve">, inference </w:t>
      </w:r>
      <w:r w:rsidR="002A72A3">
        <w:rPr>
          <w:rFonts w:cs="Times New Roman"/>
        </w:rPr>
        <w:t>may be</w:t>
      </w:r>
      <w:r w:rsidRPr="00B64739">
        <w:rPr>
          <w:rFonts w:cs="Times New Roman"/>
        </w:rPr>
        <w:t xml:space="preserve"> performed across </w:t>
      </w:r>
      <w:r w:rsidRPr="002A72A3">
        <w:rPr>
          <w:rFonts w:cs="Times New Roman"/>
        </w:rPr>
        <w:t>four layers</w:t>
      </w:r>
      <w:r w:rsidRPr="00B64739">
        <w:rPr>
          <w:rFonts w:cs="Times New Roman"/>
        </w:rPr>
        <w:t xml:space="preserve">, while </w:t>
      </w:r>
      <w:r w:rsidRPr="002A72A3">
        <w:rPr>
          <w:rFonts w:cs="Times New Roman"/>
        </w:rPr>
        <w:t>Rank 1</w:t>
      </w:r>
      <w:r w:rsidRPr="00B64739">
        <w:rPr>
          <w:rFonts w:cs="Times New Roman"/>
        </w:rPr>
        <w:t xml:space="preserve"> only requires inference for </w:t>
      </w:r>
      <w:r w:rsidRPr="002A72A3">
        <w:rPr>
          <w:rFonts w:cs="Times New Roman"/>
        </w:rPr>
        <w:t>Layer 1</w:t>
      </w:r>
      <w:r w:rsidRPr="00B64739">
        <w:rPr>
          <w:rFonts w:cs="Times New Roman"/>
        </w:rPr>
        <w:t xml:space="preserve">. Consequently, </w:t>
      </w:r>
      <w:r w:rsidRPr="002A72A3">
        <w:rPr>
          <w:rFonts w:cs="Times New Roman"/>
        </w:rPr>
        <w:t>Rank 1</w:t>
      </w:r>
      <w:r w:rsidRPr="00B64739">
        <w:rPr>
          <w:rFonts w:cs="Times New Roman"/>
        </w:rPr>
        <w:t xml:space="preserve"> may occupy </w:t>
      </w:r>
      <w:r w:rsidRPr="002A72A3">
        <w:rPr>
          <w:rFonts w:cs="Times New Roman"/>
        </w:rPr>
        <w:t>fewer CPU/APU resources</w:t>
      </w:r>
      <w:r w:rsidRPr="00B64739">
        <w:rPr>
          <w:rFonts w:cs="Times New Roman"/>
        </w:rPr>
        <w:t xml:space="preserve"> compared to </w:t>
      </w:r>
      <w:r w:rsidRPr="002A72A3">
        <w:rPr>
          <w:rFonts w:cs="Times New Roman"/>
        </w:rPr>
        <w:t>Rank 4</w:t>
      </w:r>
      <w:r w:rsidRPr="00B64739">
        <w:rPr>
          <w:rFonts w:cs="Times New Roman"/>
        </w:rPr>
        <w:t xml:space="preserve">. However, since the network cannot determine the actual reported rank in advance, the </w:t>
      </w:r>
      <w:r w:rsidRPr="002A72A3">
        <w:rPr>
          <w:rFonts w:cs="Times New Roman"/>
        </w:rPr>
        <w:t>CPU/APU occupancy for CSI compression reporting</w:t>
      </w:r>
      <w:r w:rsidRPr="00B64739">
        <w:rPr>
          <w:rFonts w:cs="Times New Roman"/>
        </w:rPr>
        <w:t xml:space="preserve"> should be provisioned based on the </w:t>
      </w:r>
      <w:r w:rsidRPr="002A72A3">
        <w:rPr>
          <w:rFonts w:cs="Times New Roman"/>
        </w:rPr>
        <w:t>maximum rank configured by the network</w:t>
      </w:r>
      <w:r w:rsidRPr="00B64739">
        <w:rPr>
          <w:rFonts w:cs="Times New Roman"/>
        </w:rPr>
        <w:t>.</w:t>
      </w:r>
    </w:p>
    <w:p w14:paraId="7C5E95C3" w14:textId="66B1810D" w:rsidR="00035828" w:rsidRDefault="00035828" w:rsidP="00EF38CE">
      <w:pPr>
        <w:pStyle w:val="a0"/>
        <w:snapToGrid w:val="0"/>
        <w:spacing w:before="120"/>
        <w:jc w:val="both"/>
        <w:rPr>
          <w:b/>
          <w:bCs/>
          <w:i/>
        </w:rPr>
      </w:pPr>
      <w:r w:rsidRPr="0091549C">
        <w:rPr>
          <w:b/>
          <w:bCs/>
          <w:i/>
        </w:rPr>
        <w:t>Proposal</w:t>
      </w:r>
      <w:r>
        <w:rPr>
          <w:b/>
          <w:bCs/>
          <w:i/>
        </w:rPr>
        <w:t xml:space="preserve"> </w:t>
      </w:r>
      <w:r w:rsidR="00FC0B72">
        <w:rPr>
          <w:b/>
          <w:bCs/>
          <w:i/>
        </w:rPr>
        <w:t>7</w:t>
      </w:r>
      <w:r>
        <w:rPr>
          <w:b/>
          <w:bCs/>
          <w:i/>
        </w:rPr>
        <w:t xml:space="preserve">: For </w:t>
      </w:r>
      <w:r w:rsidRPr="00035828">
        <w:rPr>
          <w:b/>
          <w:bCs/>
          <w:i/>
        </w:rPr>
        <w:t>CPU/APU occupancy</w:t>
      </w:r>
      <w:r>
        <w:rPr>
          <w:b/>
          <w:bCs/>
          <w:i/>
        </w:rPr>
        <w:t xml:space="preserve">, </w:t>
      </w:r>
      <w:r w:rsidR="00341CAC">
        <w:rPr>
          <w:b/>
          <w:bCs/>
          <w:i/>
        </w:rPr>
        <w:t>f</w:t>
      </w:r>
      <w:r>
        <w:rPr>
          <w:b/>
          <w:bCs/>
          <w:i/>
        </w:rPr>
        <w:t xml:space="preserve">urther study </w:t>
      </w:r>
      <w:r w:rsidRPr="00035828">
        <w:rPr>
          <w:b/>
          <w:bCs/>
          <w:i/>
        </w:rPr>
        <w:t xml:space="preserve">whether </w:t>
      </w:r>
      <w:r w:rsidRPr="00035828">
        <w:rPr>
          <w:rFonts w:hint="eastAsia"/>
          <w:b/>
          <w:bCs/>
          <w:i/>
        </w:rPr>
        <w:t>C</w:t>
      </w:r>
      <w:r w:rsidRPr="00035828">
        <w:rPr>
          <w:b/>
          <w:bCs/>
          <w:i/>
        </w:rPr>
        <w:t>PU/APU</w:t>
      </w:r>
      <w:r w:rsidR="002A72A3">
        <w:rPr>
          <w:b/>
          <w:bCs/>
          <w:i/>
        </w:rPr>
        <w:t xml:space="preserve"> occupancy</w:t>
      </w:r>
      <w:r w:rsidRPr="00035828">
        <w:rPr>
          <w:b/>
          <w:bCs/>
          <w:i/>
        </w:rPr>
        <w:t xml:space="preserve"> is </w:t>
      </w:r>
      <w:r w:rsidR="00FA2787" w:rsidRPr="00FA2787">
        <w:rPr>
          <w:b/>
          <w:bCs/>
          <w:i/>
        </w:rPr>
        <w:t xml:space="preserve">specific </w:t>
      </w:r>
      <w:r w:rsidRPr="00035828">
        <w:rPr>
          <w:b/>
          <w:bCs/>
          <w:i/>
        </w:rPr>
        <w:t>for different layers</w:t>
      </w:r>
      <w:r w:rsidRPr="00035828">
        <w:rPr>
          <w:rFonts w:hint="eastAsia"/>
          <w:b/>
          <w:bCs/>
          <w:i/>
        </w:rPr>
        <w:t>/rank</w:t>
      </w:r>
      <w:r w:rsidRPr="00035828">
        <w:rPr>
          <w:b/>
          <w:bCs/>
          <w:i/>
        </w:rPr>
        <w:t>s</w:t>
      </w:r>
      <w:r w:rsidR="00D556D7">
        <w:rPr>
          <w:b/>
          <w:bCs/>
          <w:i/>
        </w:rPr>
        <w:t>.</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256293AA" w:rsidR="00DA5160" w:rsidRDefault="00DA5160" w:rsidP="005B0BB1">
      <w:pPr>
        <w:pStyle w:val="a0"/>
        <w:snapToGrid w:val="0"/>
        <w:spacing w:before="120"/>
        <w:jc w:val="both"/>
      </w:pPr>
      <w:r w:rsidRPr="00AA16C0">
        <w:t>In this paper we make the following observations and proposals:</w:t>
      </w:r>
    </w:p>
    <w:p w14:paraId="38DF9D44" w14:textId="77777777" w:rsidR="00432ADF" w:rsidRDefault="00432ADF" w:rsidP="00432ADF">
      <w:pPr>
        <w:pStyle w:val="a0"/>
        <w:snapToGrid w:val="0"/>
        <w:spacing w:before="120"/>
        <w:jc w:val="both"/>
        <w:rPr>
          <w:rFonts w:eastAsiaTheme="minorEastAsia" w:cs="Times New Roman"/>
          <w:b/>
          <w:bCs/>
          <w:i/>
          <w:lang w:val="en-GB"/>
        </w:rPr>
      </w:pPr>
      <w:r w:rsidRPr="005466DC">
        <w:rPr>
          <w:rFonts w:eastAsiaTheme="minorEastAsia" w:cs="Times New Roman" w:hint="eastAsia"/>
          <w:b/>
          <w:bCs/>
          <w:i/>
          <w:lang w:val="en-GB"/>
        </w:rPr>
        <w:t>O</w:t>
      </w:r>
      <w:r w:rsidRPr="005466DC">
        <w:rPr>
          <w:rFonts w:eastAsiaTheme="minorEastAsia" w:cs="Times New Roman"/>
          <w:b/>
          <w:bCs/>
          <w:i/>
          <w:lang w:val="en-GB"/>
        </w:rPr>
        <w:t>bservation</w:t>
      </w:r>
      <w:r>
        <w:rPr>
          <w:rFonts w:eastAsiaTheme="minorEastAsia" w:cs="Times New Roman"/>
          <w:b/>
          <w:bCs/>
          <w:i/>
          <w:lang w:val="en-GB"/>
        </w:rPr>
        <w:t xml:space="preserve"> </w:t>
      </w:r>
      <w:r w:rsidRPr="005466DC">
        <w:rPr>
          <w:rFonts w:eastAsiaTheme="minorEastAsia" w:cs="Times New Roman"/>
          <w:b/>
          <w:bCs/>
          <w:i/>
          <w:lang w:val="en-GB"/>
        </w:rPr>
        <w:t>1</w:t>
      </w:r>
      <w:r>
        <w:rPr>
          <w:b/>
          <w:bCs/>
          <w:iCs/>
        </w:rPr>
        <w:t>:</w:t>
      </w:r>
      <w:r w:rsidRPr="004E5AA2">
        <w:rPr>
          <w:b/>
          <w:i/>
        </w:rPr>
        <w:t xml:space="preserve"> </w:t>
      </w:r>
      <w:r w:rsidRPr="004E5AA2">
        <w:rPr>
          <w:rFonts w:ascii="BlinkMacSystemFont" w:hAnsi="BlinkMacSystemFont"/>
          <w:b/>
          <w:i/>
          <w:color w:val="111111"/>
          <w:shd w:val="clear" w:color="auto" w:fill="FFFFFF"/>
        </w:rPr>
        <w:t xml:space="preserve">Larger payload sizes yield greater SGCS improvements </w:t>
      </w:r>
      <w:r>
        <w:rPr>
          <w:rFonts w:ascii="BlinkMacSystemFont" w:hAnsi="BlinkMacSystemFont"/>
          <w:b/>
          <w:i/>
          <w:color w:val="111111"/>
          <w:shd w:val="clear" w:color="auto" w:fill="FFFFFF"/>
        </w:rPr>
        <w:t>for weaker</w:t>
      </w:r>
      <w:r w:rsidRPr="004E5AA2">
        <w:rPr>
          <w:rFonts w:ascii="BlinkMacSystemFont" w:hAnsi="BlinkMacSystemFont"/>
          <w:b/>
          <w:i/>
          <w:color w:val="111111"/>
          <w:shd w:val="clear" w:color="auto" w:fill="FFFFFF"/>
        </w:rPr>
        <w:t xml:space="preserve"> layers</w:t>
      </w:r>
      <w:r w:rsidRPr="004E5AA2">
        <w:rPr>
          <w:rFonts w:eastAsiaTheme="minorEastAsia" w:cs="Times New Roman"/>
          <w:b/>
          <w:bCs/>
          <w:i/>
          <w:lang w:val="en-GB"/>
        </w:rPr>
        <w:t>.</w:t>
      </w:r>
    </w:p>
    <w:p w14:paraId="30FA7A69" w14:textId="27DDFFB8" w:rsidR="00C82EE6" w:rsidRPr="005466DC" w:rsidRDefault="00C82EE6" w:rsidP="00C82EE6">
      <w:pPr>
        <w:rPr>
          <w:rFonts w:eastAsiaTheme="minorEastAsia" w:cs="Times New Roman"/>
          <w:b/>
          <w:bCs/>
          <w:i/>
          <w:lang w:val="en-GB"/>
        </w:rPr>
      </w:pPr>
      <w:r w:rsidRPr="005466DC">
        <w:rPr>
          <w:rFonts w:eastAsiaTheme="minorEastAsia" w:cs="Times New Roman" w:hint="eastAsia"/>
          <w:b/>
          <w:bCs/>
          <w:i/>
          <w:lang w:val="en-GB"/>
        </w:rPr>
        <w:t>O</w:t>
      </w:r>
      <w:r w:rsidRPr="005466DC">
        <w:rPr>
          <w:rFonts w:eastAsiaTheme="minorEastAsia" w:cs="Times New Roman"/>
          <w:b/>
          <w:bCs/>
          <w:i/>
          <w:lang w:val="en-GB"/>
        </w:rPr>
        <w:t>bservation</w:t>
      </w:r>
      <w:r w:rsidR="0088626E">
        <w:rPr>
          <w:rFonts w:eastAsiaTheme="minorEastAsia" w:cs="Times New Roman"/>
          <w:b/>
          <w:bCs/>
          <w:i/>
          <w:lang w:val="en-GB"/>
        </w:rPr>
        <w:t xml:space="preserve"> 2</w:t>
      </w:r>
      <w:r w:rsidRPr="005466DC">
        <w:rPr>
          <w:rFonts w:eastAsiaTheme="minorEastAsia" w:cs="Times New Roman"/>
          <w:b/>
          <w:bCs/>
          <w:i/>
          <w:lang w:val="en-GB"/>
        </w:rPr>
        <w:t xml:space="preserve">: </w:t>
      </w:r>
      <w:r w:rsidRPr="005466DC">
        <w:rPr>
          <w:rFonts w:eastAsia="等线" w:cs="Times New Roman"/>
          <w:b/>
          <w:i/>
          <w:lang w:val="en-GB"/>
        </w:rPr>
        <w:t>A layer-index-based UCI grouping offers a straightforward solution but leads to rank reduction when CSI omission occurs. Resulting in the mismatch between CQI, RI and precoding matrix (reconstructed CSI).</w:t>
      </w:r>
    </w:p>
    <w:p w14:paraId="3F144E23" w14:textId="77777777" w:rsidR="00815E7F" w:rsidRPr="006603C0" w:rsidRDefault="00815E7F" w:rsidP="00815E7F">
      <w:pPr>
        <w:shd w:val="clear" w:color="auto" w:fill="FFFFFF"/>
        <w:textAlignment w:val="baseline"/>
        <w:rPr>
          <w:highlight w:val="yellow"/>
        </w:rPr>
      </w:pPr>
      <w:r w:rsidRPr="0091549C">
        <w:rPr>
          <w:b/>
          <w:bCs/>
          <w:i/>
        </w:rPr>
        <w:t>Pr</w:t>
      </w:r>
      <w:r w:rsidRPr="0088626E">
        <w:rPr>
          <w:b/>
          <w:bCs/>
          <w:i/>
        </w:rPr>
        <w:t xml:space="preserve">oposal 1: </w:t>
      </w:r>
      <w:r w:rsidRPr="00FC40FC">
        <w:rPr>
          <w:rFonts w:eastAsia="Batang" w:cs="Times New Roman"/>
          <w:b/>
          <w:i/>
          <w:lang w:val="en-GB" w:eastAsia="x-none"/>
        </w:rPr>
        <w:t xml:space="preserve">Each combination of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FC40FC">
        <w:rPr>
          <w:rFonts w:eastAsia="Batang" w:cs="Times New Roman"/>
          <w:b/>
          <w:i/>
          <w:lang w:val="en-GB" w:eastAsia="x-none"/>
        </w:rPr>
        <w:t xml:space="preserve">,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FC40FC">
        <w:rPr>
          <w:rFonts w:eastAsia="Batang" w:cs="Times New Roman"/>
          <w:b/>
          <w:i/>
          <w:lang w:val="en-GB" w:eastAsia="x-none"/>
        </w:rPr>
        <w:t xml:space="preserve"> and </w:t>
      </w:r>
      <m:oMath>
        <m:r>
          <m:rPr>
            <m:sty m:val="bi"/>
          </m:rPr>
          <w:rPr>
            <w:rFonts w:ascii="Cambria Math" w:eastAsia="Batang" w:hAnsi="Cambria Math" w:cs="Times New Roman"/>
            <w:lang w:val="en-GB" w:eastAsia="en-US"/>
          </w:rPr>
          <m:t xml:space="preserve">L </m:t>
        </m:r>
      </m:oMath>
      <w:r w:rsidRPr="00FC40FC">
        <w:rPr>
          <w:rFonts w:eastAsia="Batang" w:cs="Times New Roman"/>
          <w:b/>
          <w:i/>
          <w:lang w:val="en-GB" w:eastAsia="x-none"/>
        </w:rPr>
        <w:t xml:space="preserve">can be applicable to a certain set of subband and port configurations, e.g., the size of </w:t>
      </w:r>
      <m:oMath>
        <m:sSub>
          <m:sSubPr>
            <m:ctrlPr>
              <w:rPr>
                <w:rFonts w:ascii="Cambria Math" w:eastAsia="Batang" w:hAnsi="Cambria Math" w:cs="Times New Roman"/>
                <w:b/>
                <w:i/>
                <w:lang w:val="en-GB" w:eastAsia="x-none"/>
              </w:rPr>
            </m:ctrlPr>
          </m:sSubPr>
          <m:e>
            <m:r>
              <m:rPr>
                <m:sty m:val="bi"/>
              </m:rPr>
              <w:rPr>
                <w:rFonts w:ascii="Cambria Math" w:eastAsia="Batang" w:hAnsi="Cambria Math" w:cs="Times New Roman"/>
                <w:lang w:val="en-GB" w:eastAsia="x-none"/>
              </w:rPr>
              <m:t>N</m:t>
            </m:r>
          </m:e>
          <m:sub>
            <m:r>
              <m:rPr>
                <m:sty m:val="bi"/>
              </m:rPr>
              <w:rPr>
                <w:rFonts w:ascii="Cambria Math" w:eastAsia="Batang" w:hAnsi="Cambria Math" w:cs="Times New Roman"/>
                <w:lang w:val="en-GB" w:eastAsia="x-none"/>
              </w:rPr>
              <m:t>subband</m:t>
            </m:r>
          </m:sub>
        </m:sSub>
        <m:r>
          <w:rPr>
            <w:rFonts w:ascii="Cambria Math" w:eastAsiaTheme="minorEastAsia" w:hAnsi="Cambria Math" w:cs="Times New Roman"/>
            <w:lang w:val="en-GB"/>
          </w:rPr>
          <m:t>×</m:t>
        </m:r>
        <m:sSub>
          <m:sSubPr>
            <m:ctrlPr>
              <w:rPr>
                <w:rFonts w:ascii="Cambria Math" w:eastAsia="Batang" w:hAnsi="Cambria Math" w:cs="Times New Roman"/>
                <w:b/>
                <w:i/>
                <w:lang w:val="en-GB" w:eastAsia="x-none"/>
              </w:rPr>
            </m:ctrlPr>
          </m:sSubPr>
          <m:e>
            <m:r>
              <m:rPr>
                <m:sty m:val="bi"/>
              </m:rPr>
              <w:rPr>
                <w:rFonts w:ascii="Cambria Math" w:eastAsia="Batang" w:hAnsi="Cambria Math" w:cs="Times New Roman"/>
                <w:lang w:val="en-GB" w:eastAsia="x-none"/>
              </w:rPr>
              <m:t>N</m:t>
            </m:r>
          </m:e>
          <m:sub>
            <m:r>
              <m:rPr>
                <m:sty m:val="bi"/>
              </m:rPr>
              <w:rPr>
                <w:rFonts w:ascii="Cambria Math" w:eastAsia="Batang" w:hAnsi="Cambria Math" w:cs="Times New Roman"/>
                <w:lang w:val="en-GB" w:eastAsia="x-none"/>
              </w:rPr>
              <m:t>port</m:t>
            </m:r>
          </m:sub>
        </m:sSub>
      </m:oMath>
      <w:r w:rsidRPr="00FC40FC">
        <w:rPr>
          <w:rFonts w:eastAsia="Batang" w:cs="Times New Roman"/>
          <w:b/>
          <w:i/>
          <w:lang w:val="en-GB" w:eastAsia="x-none"/>
        </w:rPr>
        <w:t xml:space="preserve"> are the same or at least similar.</w:t>
      </w:r>
    </w:p>
    <w:p w14:paraId="49B7470B" w14:textId="77777777" w:rsidR="00093DEE" w:rsidRPr="00FC40FC" w:rsidRDefault="00093DEE" w:rsidP="00093DEE">
      <w:pPr>
        <w:pStyle w:val="a0"/>
        <w:snapToGrid w:val="0"/>
        <w:spacing w:before="120"/>
        <w:jc w:val="both"/>
        <w:rPr>
          <w:b/>
          <w:bCs/>
          <w:i/>
          <w:iCs/>
          <w:lang w:val="en-GB"/>
        </w:rPr>
      </w:pPr>
      <w:r w:rsidRPr="00FC40FC">
        <w:rPr>
          <w:b/>
          <w:bCs/>
          <w:i/>
          <w:iCs/>
          <w:lang w:val="en-GB"/>
        </w:rPr>
        <w:t>Proposal 2: In the inference report configuration, support NW configures a set of payload size configurations for a certain PC and rank value, UE can select one payload size configuration from the set.</w:t>
      </w:r>
    </w:p>
    <w:p w14:paraId="2FBADF01" w14:textId="30D89130" w:rsidR="00432ADF" w:rsidRPr="004E5AA2" w:rsidRDefault="00432ADF" w:rsidP="00432ADF">
      <w:pPr>
        <w:pStyle w:val="a0"/>
        <w:snapToGrid w:val="0"/>
        <w:spacing w:before="120"/>
        <w:jc w:val="both"/>
        <w:rPr>
          <w:rFonts w:eastAsiaTheme="minorEastAsia" w:cs="Times New Roman"/>
          <w:b/>
          <w:bCs/>
          <w:i/>
          <w:lang w:val="en-GB"/>
        </w:rPr>
      </w:pPr>
      <w:r>
        <w:rPr>
          <w:rFonts w:eastAsiaTheme="minorEastAsia" w:cs="Times New Roman"/>
          <w:b/>
          <w:bCs/>
          <w:i/>
          <w:lang w:val="en-GB"/>
        </w:rPr>
        <w:t>Proposal 3</w:t>
      </w:r>
      <w:r w:rsidRPr="00513CAC">
        <w:rPr>
          <w:rFonts w:eastAsiaTheme="minorEastAsia" w:cs="Times New Roman"/>
          <w:b/>
          <w:bCs/>
          <w:i/>
          <w:lang w:val="en-GB"/>
        </w:rPr>
        <w:t>:</w:t>
      </w:r>
      <w:r w:rsidRPr="004E5AA2">
        <w:rPr>
          <w:rFonts w:eastAsiaTheme="minorEastAsia" w:cs="Times New Roman"/>
          <w:b/>
          <w:bCs/>
          <w:i/>
          <w:lang w:val="en-GB"/>
        </w:rPr>
        <w:t xml:space="preserve"> </w:t>
      </w:r>
      <w:r w:rsidRPr="004E5AA2">
        <w:rPr>
          <w:b/>
          <w:bCs/>
          <w:i/>
          <w:lang w:val="en-GB" w:eastAsia="ja-JP"/>
        </w:rPr>
        <w:t xml:space="preserve">Allocating higher payload sizes to </w:t>
      </w:r>
      <w:r>
        <w:rPr>
          <w:b/>
          <w:bCs/>
          <w:i/>
          <w:lang w:val="en-GB" w:eastAsia="ja-JP"/>
        </w:rPr>
        <w:t>weaker layers</w:t>
      </w:r>
      <w:r w:rsidRPr="004E5AA2">
        <w:rPr>
          <w:b/>
          <w:bCs/>
          <w:i/>
          <w:lang w:val="en-GB" w:eastAsia="ja-JP"/>
        </w:rPr>
        <w:t xml:space="preserve"> would be more beneficial</w:t>
      </w:r>
      <w:r w:rsidRPr="004E5AA2">
        <w:rPr>
          <w:b/>
          <w:i/>
          <w:lang w:val="en-GB" w:eastAsia="ja-JP"/>
        </w:rPr>
        <w:t xml:space="preserve"> in terms of maximizing average SGCS</w:t>
      </w:r>
      <w:r w:rsidRPr="004E5AA2">
        <w:rPr>
          <w:rFonts w:eastAsiaTheme="minorEastAsia" w:cs="Times New Roman"/>
          <w:b/>
          <w:bCs/>
          <w:i/>
          <w:lang w:val="en-GB"/>
        </w:rPr>
        <w:t>.</w:t>
      </w:r>
    </w:p>
    <w:p w14:paraId="0A746F59" w14:textId="314985B7" w:rsidR="0088626E" w:rsidRDefault="0088626E" w:rsidP="0088626E">
      <w:pPr>
        <w:pStyle w:val="a0"/>
        <w:snapToGrid w:val="0"/>
        <w:spacing w:before="120"/>
        <w:jc w:val="both"/>
        <w:rPr>
          <w:b/>
          <w:bCs/>
          <w:i/>
        </w:rPr>
      </w:pPr>
      <w:r w:rsidRPr="0091549C">
        <w:rPr>
          <w:b/>
          <w:bCs/>
          <w:i/>
        </w:rPr>
        <w:t xml:space="preserve">Proposal </w:t>
      </w:r>
      <w:r w:rsidR="00432ADF">
        <w:rPr>
          <w:b/>
          <w:bCs/>
          <w:i/>
        </w:rPr>
        <w:t>4</w:t>
      </w:r>
      <w:r>
        <w:rPr>
          <w:b/>
          <w:bCs/>
          <w:i/>
        </w:rPr>
        <w:t xml:space="preserve">: For </w:t>
      </w:r>
      <w:r w:rsidRPr="003962DD">
        <w:rPr>
          <w:b/>
          <w:bCs/>
          <w:i/>
        </w:rPr>
        <w:t>Quantization methods</w:t>
      </w:r>
      <w:r>
        <w:rPr>
          <w:b/>
          <w:bCs/>
          <w:i/>
        </w:rPr>
        <w:t>, SQ is preferred</w:t>
      </w:r>
      <w:r w:rsidRPr="0091549C">
        <w:rPr>
          <w:b/>
          <w:bCs/>
          <w:i/>
        </w:rPr>
        <w:t>.</w:t>
      </w:r>
    </w:p>
    <w:p w14:paraId="32118C93" w14:textId="45FF05BC" w:rsidR="0088626E" w:rsidRPr="0088626E" w:rsidRDefault="0088626E" w:rsidP="00E82A66">
      <w:pPr>
        <w:pStyle w:val="a0"/>
        <w:numPr>
          <w:ilvl w:val="0"/>
          <w:numId w:val="18"/>
        </w:numPr>
        <w:snapToGrid w:val="0"/>
        <w:spacing w:before="120"/>
        <w:jc w:val="both"/>
        <w:rPr>
          <w:b/>
          <w:bCs/>
          <w:i/>
        </w:rPr>
      </w:pPr>
      <w:r w:rsidRPr="000B4122">
        <w:rPr>
          <w:rFonts w:hint="eastAsia"/>
          <w:b/>
          <w:bCs/>
          <w:i/>
        </w:rPr>
        <w:t>F</w:t>
      </w:r>
      <w:r w:rsidRPr="000B4122">
        <w:rPr>
          <w:b/>
          <w:bCs/>
          <w:i/>
        </w:rPr>
        <w:t>FS: whether/how to support fixed vector quantization codebook</w:t>
      </w:r>
    </w:p>
    <w:p w14:paraId="40A357DE" w14:textId="402477FC" w:rsidR="0088626E" w:rsidRDefault="0088626E" w:rsidP="0088626E">
      <w:pPr>
        <w:pStyle w:val="a0"/>
        <w:snapToGrid w:val="0"/>
        <w:spacing w:before="120"/>
        <w:jc w:val="both"/>
        <w:rPr>
          <w:b/>
          <w:bCs/>
          <w:i/>
        </w:rPr>
      </w:pPr>
      <w:r w:rsidRPr="0091549C">
        <w:rPr>
          <w:b/>
          <w:bCs/>
          <w:i/>
        </w:rPr>
        <w:t xml:space="preserve">Proposal </w:t>
      </w:r>
      <w:r w:rsidR="00432ADF">
        <w:rPr>
          <w:b/>
          <w:bCs/>
          <w:i/>
        </w:rPr>
        <w:t>5</w:t>
      </w:r>
      <w:r>
        <w:rPr>
          <w:b/>
          <w:bCs/>
          <w:i/>
        </w:rPr>
        <w:t xml:space="preserve">: For CQI </w:t>
      </w:r>
      <w:r w:rsidRPr="00FE685B">
        <w:rPr>
          <w:b/>
          <w:bCs/>
          <w:i/>
        </w:rPr>
        <w:t>determination</w:t>
      </w:r>
      <w:r>
        <w:rPr>
          <w:b/>
          <w:bCs/>
          <w:i/>
        </w:rPr>
        <w:t>, support Option 1a,</w:t>
      </w:r>
      <w:r w:rsidRPr="00B501CE">
        <w:t xml:space="preserve"> </w:t>
      </w:r>
      <w:r w:rsidRPr="00B501CE">
        <w:rPr>
          <w:b/>
          <w:bCs/>
          <w:i/>
        </w:rPr>
        <w:t>CQI is calculated based on target CSI with realistic channel measurement.</w:t>
      </w:r>
      <w:r>
        <w:rPr>
          <w:b/>
          <w:bCs/>
          <w:i/>
        </w:rPr>
        <w:t xml:space="preserve"> </w:t>
      </w:r>
    </w:p>
    <w:p w14:paraId="02C3C6F5" w14:textId="165116B4" w:rsidR="0088626E" w:rsidRDefault="0088626E" w:rsidP="0088626E">
      <w:pPr>
        <w:pStyle w:val="a0"/>
        <w:snapToGrid w:val="0"/>
        <w:spacing w:before="120"/>
        <w:jc w:val="both"/>
        <w:rPr>
          <w:b/>
          <w:bCs/>
          <w:i/>
        </w:rPr>
      </w:pPr>
      <w:r w:rsidRPr="0091549C">
        <w:rPr>
          <w:b/>
          <w:bCs/>
          <w:i/>
        </w:rPr>
        <w:t>Proposal</w:t>
      </w:r>
      <w:r w:rsidR="00432ADF">
        <w:rPr>
          <w:b/>
          <w:bCs/>
          <w:i/>
        </w:rPr>
        <w:t xml:space="preserve"> 6</w:t>
      </w:r>
      <w:r>
        <w:rPr>
          <w:b/>
          <w:bCs/>
          <w:i/>
        </w:rPr>
        <w:t xml:space="preserve">: For </w:t>
      </w:r>
      <w:r w:rsidRPr="0082670B">
        <w:rPr>
          <w:b/>
          <w:bCs/>
          <w:i/>
        </w:rPr>
        <w:t>UCI mapping</w:t>
      </w:r>
      <w:r>
        <w:rPr>
          <w:b/>
          <w:bCs/>
          <w:i/>
        </w:rPr>
        <w:t xml:space="preserve">, </w:t>
      </w:r>
      <w:r>
        <w:rPr>
          <w:rFonts w:hint="eastAsia"/>
          <w:b/>
          <w:bCs/>
          <w:i/>
        </w:rPr>
        <w:t>supp</w:t>
      </w:r>
      <w:r>
        <w:rPr>
          <w:b/>
          <w:bCs/>
          <w:i/>
        </w:rPr>
        <w:t>ort UCI grouping</w:t>
      </w:r>
      <w:r w:rsidRPr="0082670B">
        <w:rPr>
          <w:b/>
          <w:bCs/>
          <w:i/>
        </w:rPr>
        <w:t xml:space="preserve"> </w:t>
      </w:r>
      <w:r w:rsidRPr="00D05F2C">
        <w:rPr>
          <w:b/>
          <w:bCs/>
          <w:i/>
        </w:rPr>
        <w:t>based on portions of each layer</w:t>
      </w:r>
      <w:r>
        <w:rPr>
          <w:b/>
          <w:bCs/>
          <w:i/>
        </w:rPr>
        <w:t>, further study the following options:</w:t>
      </w:r>
    </w:p>
    <w:p w14:paraId="2BB459C1" w14:textId="77777777" w:rsidR="0088626E" w:rsidRDefault="0088626E" w:rsidP="0088626E">
      <w:pPr>
        <w:pStyle w:val="a0"/>
        <w:numPr>
          <w:ilvl w:val="0"/>
          <w:numId w:val="18"/>
        </w:numPr>
        <w:snapToGrid w:val="0"/>
        <w:spacing w:before="120"/>
        <w:jc w:val="both"/>
        <w:rPr>
          <w:b/>
          <w:bCs/>
          <w:i/>
        </w:rPr>
      </w:pPr>
      <w:r>
        <w:rPr>
          <w:b/>
          <w:bCs/>
          <w:i/>
        </w:rPr>
        <w:t xml:space="preserve">Option1: Grouping based on </w:t>
      </w:r>
      <w:r w:rsidRPr="0082670B">
        <w:rPr>
          <w:b/>
          <w:bCs/>
          <w:i/>
        </w:rPr>
        <w:t>output dimension index or segment index</w:t>
      </w:r>
      <w:r>
        <w:rPr>
          <w:b/>
          <w:bCs/>
          <w:i/>
        </w:rPr>
        <w:t>.</w:t>
      </w:r>
    </w:p>
    <w:p w14:paraId="34D73F47" w14:textId="6B9C3FA0" w:rsidR="0088626E" w:rsidRPr="0088626E" w:rsidRDefault="0088626E" w:rsidP="00FC40FC">
      <w:pPr>
        <w:pStyle w:val="a0"/>
        <w:numPr>
          <w:ilvl w:val="0"/>
          <w:numId w:val="18"/>
        </w:numPr>
        <w:snapToGrid w:val="0"/>
        <w:spacing w:before="120"/>
        <w:jc w:val="both"/>
        <w:rPr>
          <w:b/>
          <w:bCs/>
          <w:i/>
        </w:rPr>
      </w:pPr>
      <w:r>
        <w:rPr>
          <w:b/>
          <w:bCs/>
          <w:i/>
        </w:rPr>
        <w:t>Option2: Grouping based on q</w:t>
      </w:r>
      <w:r w:rsidRPr="0082670B">
        <w:rPr>
          <w:b/>
          <w:bCs/>
          <w:i/>
        </w:rPr>
        <w:t>uantized</w:t>
      </w:r>
      <w:r>
        <w:rPr>
          <w:b/>
          <w:bCs/>
          <w:i/>
        </w:rPr>
        <w:t xml:space="preserve"> </w:t>
      </w:r>
      <w:r w:rsidRPr="0082670B">
        <w:rPr>
          <w:b/>
          <w:bCs/>
          <w:i/>
        </w:rPr>
        <w:t>bit index.</w:t>
      </w:r>
    </w:p>
    <w:p w14:paraId="5F617379" w14:textId="53E9DC64" w:rsidR="00435A25" w:rsidRPr="00C82EE6" w:rsidRDefault="0088626E" w:rsidP="00C55D3A">
      <w:pPr>
        <w:pStyle w:val="a0"/>
        <w:snapToGrid w:val="0"/>
        <w:spacing w:before="120"/>
        <w:jc w:val="both"/>
        <w:rPr>
          <w:rFonts w:eastAsia="Times New Roman" w:cs="Times New Roman"/>
          <w:b/>
          <w:bCs/>
          <w:i/>
        </w:rPr>
      </w:pPr>
      <w:r w:rsidRPr="0091549C">
        <w:rPr>
          <w:b/>
          <w:bCs/>
          <w:i/>
        </w:rPr>
        <w:t>Proposal</w:t>
      </w:r>
      <w:r>
        <w:rPr>
          <w:b/>
          <w:bCs/>
          <w:i/>
        </w:rPr>
        <w:t xml:space="preserve"> </w:t>
      </w:r>
      <w:r w:rsidR="00FC0B72">
        <w:rPr>
          <w:b/>
          <w:bCs/>
          <w:i/>
        </w:rPr>
        <w:t>7</w:t>
      </w:r>
      <w:r>
        <w:rPr>
          <w:b/>
          <w:bCs/>
          <w:i/>
        </w:rPr>
        <w:t xml:space="preserve">: For </w:t>
      </w:r>
      <w:r w:rsidRPr="00035828">
        <w:rPr>
          <w:b/>
          <w:bCs/>
          <w:i/>
        </w:rPr>
        <w:t>CPU/APU occupancy</w:t>
      </w:r>
      <w:r>
        <w:rPr>
          <w:b/>
          <w:bCs/>
          <w:i/>
        </w:rPr>
        <w:t xml:space="preserve">, further study </w:t>
      </w:r>
      <w:r w:rsidRPr="00035828">
        <w:rPr>
          <w:b/>
          <w:bCs/>
          <w:i/>
        </w:rPr>
        <w:t xml:space="preserve">whether </w:t>
      </w:r>
      <w:r w:rsidRPr="00035828">
        <w:rPr>
          <w:rFonts w:hint="eastAsia"/>
          <w:b/>
          <w:bCs/>
          <w:i/>
        </w:rPr>
        <w:t>C</w:t>
      </w:r>
      <w:r w:rsidRPr="00035828">
        <w:rPr>
          <w:b/>
          <w:bCs/>
          <w:i/>
        </w:rPr>
        <w:t>PU/APU</w:t>
      </w:r>
      <w:r>
        <w:rPr>
          <w:b/>
          <w:bCs/>
          <w:i/>
        </w:rPr>
        <w:t xml:space="preserve"> occupancy</w:t>
      </w:r>
      <w:r w:rsidRPr="00035828">
        <w:rPr>
          <w:b/>
          <w:bCs/>
          <w:i/>
        </w:rPr>
        <w:t xml:space="preserve"> is </w:t>
      </w:r>
      <w:r w:rsidRPr="00FA2787">
        <w:rPr>
          <w:b/>
          <w:bCs/>
          <w:i/>
        </w:rPr>
        <w:t xml:space="preserve">specific </w:t>
      </w:r>
      <w:r w:rsidRPr="00035828">
        <w:rPr>
          <w:b/>
          <w:bCs/>
          <w:i/>
        </w:rPr>
        <w:t>for different layers</w:t>
      </w:r>
      <w:r w:rsidRPr="00035828">
        <w:rPr>
          <w:rFonts w:hint="eastAsia"/>
          <w:b/>
          <w:bCs/>
          <w:i/>
        </w:rPr>
        <w:t>/rank</w:t>
      </w:r>
      <w:r w:rsidRPr="00035828">
        <w:rPr>
          <w:b/>
          <w:bCs/>
          <w:i/>
        </w:rPr>
        <w:t>s</w:t>
      </w:r>
      <w:r>
        <w:rPr>
          <w:b/>
          <w:bCs/>
          <w:i/>
        </w:rPr>
        <w:t>.</w:t>
      </w:r>
    </w:p>
    <w:p w14:paraId="59777FCB"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28E4EE0A" w14:textId="1C88CF80" w:rsidR="00C70B08" w:rsidRPr="00004770" w:rsidRDefault="000E3E4E" w:rsidP="00004770">
      <w:pPr>
        <w:pStyle w:val="References"/>
        <w:numPr>
          <w:ilvl w:val="0"/>
          <w:numId w:val="3"/>
        </w:numPr>
        <w:jc w:val="both"/>
        <w:rPr>
          <w:lang w:val="en-GB"/>
        </w:rPr>
      </w:pPr>
      <w:bookmarkStart w:id="3" w:name="_Ref157442088"/>
      <w:r w:rsidRPr="000E3E4E">
        <w:rPr>
          <w:szCs w:val="22"/>
          <w:lang w:val="en-GB"/>
        </w:rPr>
        <w:t xml:space="preserve">RP-251870, “New WID on </w:t>
      </w:r>
      <w:proofErr w:type="spellStart"/>
      <w:r w:rsidRPr="000E3E4E">
        <w:rPr>
          <w:szCs w:val="22"/>
          <w:lang w:val="en-GB"/>
        </w:rPr>
        <w:t>Aritificial</w:t>
      </w:r>
      <w:proofErr w:type="spellEnd"/>
      <w:r w:rsidRPr="000E3E4E">
        <w:rPr>
          <w:szCs w:val="22"/>
          <w:lang w:val="en-GB"/>
        </w:rPr>
        <w:t xml:space="preserve"> Intelligence (AI)/Machine Learning (ML) for NR Air Interface enhancements,” 3GPP TSG RAN Meeting #108, Qualcomm (Moderator), Prague, Czech, June 9-13, 2025</w:t>
      </w:r>
      <w:r w:rsidR="005D61A9" w:rsidRPr="00A20883">
        <w:rPr>
          <w:szCs w:val="22"/>
          <w:lang w:val="en-GB"/>
        </w:rPr>
        <w:t>.</w:t>
      </w:r>
      <w:bookmarkEnd w:id="3"/>
    </w:p>
    <w:sectPr w:rsidR="00C70B08" w:rsidRPr="00004770"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1D135" w14:textId="77777777" w:rsidR="005D4598" w:rsidRDefault="005D4598" w:rsidP="00274D37">
      <w:r>
        <w:separator/>
      </w:r>
    </w:p>
  </w:endnote>
  <w:endnote w:type="continuationSeparator" w:id="0">
    <w:p w14:paraId="26C3BB8E" w14:textId="77777777" w:rsidR="005D4598" w:rsidRDefault="005D4598"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linkMacSystemFon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4F2A1" w14:textId="77777777" w:rsidR="005D4598" w:rsidRDefault="005D4598" w:rsidP="00274D37">
      <w:r>
        <w:separator/>
      </w:r>
    </w:p>
  </w:footnote>
  <w:footnote w:type="continuationSeparator" w:id="0">
    <w:p w14:paraId="3EAA109F" w14:textId="77777777" w:rsidR="005D4598" w:rsidRDefault="005D4598"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8287A8F"/>
    <w:multiLevelType w:val="hybridMultilevel"/>
    <w:tmpl w:val="13F4F558"/>
    <w:lvl w:ilvl="0" w:tplc="5B16D3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97143D2"/>
    <w:multiLevelType w:val="multilevel"/>
    <w:tmpl w:val="93E43A2A"/>
    <w:lvl w:ilvl="0">
      <w:start w:val="1"/>
      <w:numFmt w:val="bullet"/>
      <w:lvlText w:val="o"/>
      <w:lvlJc w:val="left"/>
      <w:pPr>
        <w:tabs>
          <w:tab w:val="left" w:pos="0"/>
        </w:tabs>
        <w:ind w:left="1200" w:hanging="400"/>
      </w:pPr>
      <w:rPr>
        <w:rFonts w:ascii="Courier New" w:hAnsi="Courier New" w:cs="Courier New" w:hint="default"/>
        <w:strike w:val="0"/>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FC6907"/>
    <w:multiLevelType w:val="hybridMultilevel"/>
    <w:tmpl w:val="2244CCA6"/>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19774F"/>
    <w:multiLevelType w:val="hybridMultilevel"/>
    <w:tmpl w:val="C4E073DA"/>
    <w:lvl w:ilvl="0" w:tplc="5B16D3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F2EF5"/>
    <w:multiLevelType w:val="hybridMultilevel"/>
    <w:tmpl w:val="537881A8"/>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D97E4F"/>
    <w:multiLevelType w:val="hybridMultilevel"/>
    <w:tmpl w:val="D83E6FFE"/>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D70DE"/>
    <w:multiLevelType w:val="hybridMultilevel"/>
    <w:tmpl w:val="703C08E0"/>
    <w:lvl w:ilvl="0" w:tplc="EDC4F5C8">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617BF8"/>
    <w:multiLevelType w:val="hybridMultilevel"/>
    <w:tmpl w:val="4988762C"/>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4D2B6C"/>
    <w:multiLevelType w:val="multilevel"/>
    <w:tmpl w:val="F782C180"/>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BE23236"/>
    <w:multiLevelType w:val="multilevel"/>
    <w:tmpl w:val="DF96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943084"/>
    <w:multiLevelType w:val="hybridMultilevel"/>
    <w:tmpl w:val="F83A4F0A"/>
    <w:lvl w:ilvl="0" w:tplc="62A6D5FE">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05B563D"/>
    <w:multiLevelType w:val="hybridMultilevel"/>
    <w:tmpl w:val="ADF07AD2"/>
    <w:lvl w:ilvl="0" w:tplc="62A6D5FE">
      <w:start w:val="1"/>
      <w:numFmt w:val="bullet"/>
      <w:lvlText w:val=""/>
      <w:lvlJc w:val="left"/>
      <w:pPr>
        <w:ind w:left="860" w:hanging="440"/>
      </w:pPr>
      <w:rPr>
        <w:rFonts w:ascii="Symbol" w:hAnsi="Symbol" w:hint="default"/>
      </w:rPr>
    </w:lvl>
    <w:lvl w:ilvl="1" w:tplc="62A6D5FE">
      <w:start w:val="1"/>
      <w:numFmt w:val="bullet"/>
      <w:lvlText w:val=""/>
      <w:lvlJc w:val="left"/>
      <w:pPr>
        <w:ind w:left="1300" w:hanging="440"/>
      </w:pPr>
      <w:rPr>
        <w:rFonts w:ascii="Symbol" w:hAnsi="Symbol"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E4284F"/>
    <w:multiLevelType w:val="hybridMultilevel"/>
    <w:tmpl w:val="2B9ED0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3"/>
  </w:num>
  <w:num w:numId="2">
    <w:abstractNumId w:val="14"/>
  </w:num>
  <w:num w:numId="3">
    <w:abstractNumId w:val="3"/>
  </w:num>
  <w:num w:numId="4">
    <w:abstractNumId w:val="18"/>
  </w:num>
  <w:num w:numId="5">
    <w:abstractNumId w:val="4"/>
  </w:num>
  <w:num w:numId="6">
    <w:abstractNumId w:val="1"/>
  </w:num>
  <w:num w:numId="7">
    <w:abstractNumId w:val="12"/>
  </w:num>
  <w:num w:numId="8">
    <w:abstractNumId w:val="11"/>
  </w:num>
  <w:num w:numId="9">
    <w:abstractNumId w:val="9"/>
  </w:num>
  <w:num w:numId="10">
    <w:abstractNumId w:val="26"/>
  </w:num>
  <w:num w:numId="11">
    <w:abstractNumId w:val="17"/>
  </w:num>
  <w:num w:numId="12">
    <w:abstractNumId w:val="5"/>
  </w:num>
  <w:num w:numId="13">
    <w:abstractNumId w:val="15"/>
  </w:num>
  <w:num w:numId="14">
    <w:abstractNumId w:val="19"/>
  </w:num>
  <w:num w:numId="15">
    <w:abstractNumId w:val="16"/>
  </w:num>
  <w:num w:numId="16">
    <w:abstractNumId w:val="2"/>
  </w:num>
  <w:num w:numId="17">
    <w:abstractNumId w:val="8"/>
  </w:num>
  <w:num w:numId="18">
    <w:abstractNumId w:val="22"/>
  </w:num>
  <w:num w:numId="19">
    <w:abstractNumId w:val="7"/>
  </w:num>
  <w:num w:numId="20">
    <w:abstractNumId w:val="27"/>
  </w:num>
  <w:num w:numId="21">
    <w:abstractNumId w:val="20"/>
  </w:num>
  <w:num w:numId="22">
    <w:abstractNumId w:val="21"/>
  </w:num>
  <w:num w:numId="23">
    <w:abstractNumId w:val="23"/>
  </w:num>
  <w:num w:numId="24">
    <w:abstractNumId w:val="25"/>
  </w:num>
  <w:num w:numId="25">
    <w:abstractNumId w:val="10"/>
  </w:num>
  <w:num w:numId="26">
    <w:abstractNumId w:val="0"/>
  </w:num>
  <w:num w:numId="27">
    <w:abstractNumId w:val="24"/>
  </w:num>
  <w:num w:numId="28">
    <w:abstractNumId w:val="6"/>
  </w:num>
  <w:num w:numId="29">
    <w:abstractNumId w:val="28"/>
  </w:num>
  <w:num w:numId="30">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241D"/>
    <w:rsid w:val="000026E1"/>
    <w:rsid w:val="0000318D"/>
    <w:rsid w:val="000034E5"/>
    <w:rsid w:val="000043F8"/>
    <w:rsid w:val="000044F8"/>
    <w:rsid w:val="00004770"/>
    <w:rsid w:val="00004CE5"/>
    <w:rsid w:val="00005F15"/>
    <w:rsid w:val="00005F9D"/>
    <w:rsid w:val="0000673B"/>
    <w:rsid w:val="00010041"/>
    <w:rsid w:val="00010F9C"/>
    <w:rsid w:val="0001130E"/>
    <w:rsid w:val="00011CB2"/>
    <w:rsid w:val="00011CD9"/>
    <w:rsid w:val="000133E5"/>
    <w:rsid w:val="000134C4"/>
    <w:rsid w:val="00014254"/>
    <w:rsid w:val="000154F5"/>
    <w:rsid w:val="00015D0C"/>
    <w:rsid w:val="00016DDF"/>
    <w:rsid w:val="00016F68"/>
    <w:rsid w:val="00017288"/>
    <w:rsid w:val="000229E7"/>
    <w:rsid w:val="00022F09"/>
    <w:rsid w:val="00023EE7"/>
    <w:rsid w:val="000248B4"/>
    <w:rsid w:val="000251EA"/>
    <w:rsid w:val="00025A9B"/>
    <w:rsid w:val="000260C8"/>
    <w:rsid w:val="000262FA"/>
    <w:rsid w:val="0002672B"/>
    <w:rsid w:val="00027B9F"/>
    <w:rsid w:val="00027E8F"/>
    <w:rsid w:val="000300EF"/>
    <w:rsid w:val="00030623"/>
    <w:rsid w:val="00031215"/>
    <w:rsid w:val="000317EA"/>
    <w:rsid w:val="00031EF2"/>
    <w:rsid w:val="000327F8"/>
    <w:rsid w:val="0003430E"/>
    <w:rsid w:val="0003442D"/>
    <w:rsid w:val="000347DA"/>
    <w:rsid w:val="0003480A"/>
    <w:rsid w:val="000349DD"/>
    <w:rsid w:val="00034A62"/>
    <w:rsid w:val="00034CB7"/>
    <w:rsid w:val="00034CE8"/>
    <w:rsid w:val="00034E9D"/>
    <w:rsid w:val="000352BC"/>
    <w:rsid w:val="00035828"/>
    <w:rsid w:val="000358FF"/>
    <w:rsid w:val="00035A31"/>
    <w:rsid w:val="00035E45"/>
    <w:rsid w:val="000364D6"/>
    <w:rsid w:val="00036AE3"/>
    <w:rsid w:val="00040862"/>
    <w:rsid w:val="00041B7E"/>
    <w:rsid w:val="000428A9"/>
    <w:rsid w:val="00042A42"/>
    <w:rsid w:val="00042E49"/>
    <w:rsid w:val="00042EA9"/>
    <w:rsid w:val="0004313B"/>
    <w:rsid w:val="00043214"/>
    <w:rsid w:val="00043BE4"/>
    <w:rsid w:val="00044EAB"/>
    <w:rsid w:val="00046320"/>
    <w:rsid w:val="000467AD"/>
    <w:rsid w:val="00046CB4"/>
    <w:rsid w:val="0004721B"/>
    <w:rsid w:val="0004729E"/>
    <w:rsid w:val="00047586"/>
    <w:rsid w:val="00050FFF"/>
    <w:rsid w:val="00052324"/>
    <w:rsid w:val="00052680"/>
    <w:rsid w:val="00053E65"/>
    <w:rsid w:val="00054C51"/>
    <w:rsid w:val="00054D48"/>
    <w:rsid w:val="00054E67"/>
    <w:rsid w:val="000559AA"/>
    <w:rsid w:val="00056270"/>
    <w:rsid w:val="000567C6"/>
    <w:rsid w:val="00056BC2"/>
    <w:rsid w:val="000574ED"/>
    <w:rsid w:val="00057513"/>
    <w:rsid w:val="00060673"/>
    <w:rsid w:val="000610EB"/>
    <w:rsid w:val="00061775"/>
    <w:rsid w:val="00061BF4"/>
    <w:rsid w:val="00062A86"/>
    <w:rsid w:val="00062F02"/>
    <w:rsid w:val="000634F3"/>
    <w:rsid w:val="00064516"/>
    <w:rsid w:val="0006453A"/>
    <w:rsid w:val="000673C9"/>
    <w:rsid w:val="0006741A"/>
    <w:rsid w:val="00067C29"/>
    <w:rsid w:val="00067C99"/>
    <w:rsid w:val="0007333C"/>
    <w:rsid w:val="000741FC"/>
    <w:rsid w:val="000744DE"/>
    <w:rsid w:val="0007578F"/>
    <w:rsid w:val="00080613"/>
    <w:rsid w:val="00080E96"/>
    <w:rsid w:val="00080EB0"/>
    <w:rsid w:val="00080F28"/>
    <w:rsid w:val="00080F91"/>
    <w:rsid w:val="00081589"/>
    <w:rsid w:val="00081825"/>
    <w:rsid w:val="00081B35"/>
    <w:rsid w:val="00081DA0"/>
    <w:rsid w:val="000825E3"/>
    <w:rsid w:val="000827BD"/>
    <w:rsid w:val="00082A92"/>
    <w:rsid w:val="00082F5B"/>
    <w:rsid w:val="0008323D"/>
    <w:rsid w:val="00084B2B"/>
    <w:rsid w:val="00085BD6"/>
    <w:rsid w:val="00085CEE"/>
    <w:rsid w:val="000867B6"/>
    <w:rsid w:val="00090052"/>
    <w:rsid w:val="00090825"/>
    <w:rsid w:val="00093C43"/>
    <w:rsid w:val="00093DEE"/>
    <w:rsid w:val="00093F4B"/>
    <w:rsid w:val="00094125"/>
    <w:rsid w:val="00094882"/>
    <w:rsid w:val="000954B0"/>
    <w:rsid w:val="00095CEB"/>
    <w:rsid w:val="00095EFC"/>
    <w:rsid w:val="00096026"/>
    <w:rsid w:val="0009618B"/>
    <w:rsid w:val="0009654B"/>
    <w:rsid w:val="0009672D"/>
    <w:rsid w:val="0009742A"/>
    <w:rsid w:val="00097C98"/>
    <w:rsid w:val="000A0506"/>
    <w:rsid w:val="000A08B0"/>
    <w:rsid w:val="000A1591"/>
    <w:rsid w:val="000A1BE9"/>
    <w:rsid w:val="000A1ED0"/>
    <w:rsid w:val="000A29D3"/>
    <w:rsid w:val="000A2D8F"/>
    <w:rsid w:val="000A310C"/>
    <w:rsid w:val="000A3CEF"/>
    <w:rsid w:val="000A4BCB"/>
    <w:rsid w:val="000A54D4"/>
    <w:rsid w:val="000A6AB9"/>
    <w:rsid w:val="000A70F3"/>
    <w:rsid w:val="000A713D"/>
    <w:rsid w:val="000A7927"/>
    <w:rsid w:val="000B05B2"/>
    <w:rsid w:val="000B0658"/>
    <w:rsid w:val="000B1234"/>
    <w:rsid w:val="000B2645"/>
    <w:rsid w:val="000B29C2"/>
    <w:rsid w:val="000B2A80"/>
    <w:rsid w:val="000B2C7F"/>
    <w:rsid w:val="000B309F"/>
    <w:rsid w:val="000B3586"/>
    <w:rsid w:val="000B3E87"/>
    <w:rsid w:val="000B404E"/>
    <w:rsid w:val="000B4122"/>
    <w:rsid w:val="000B6004"/>
    <w:rsid w:val="000B69CD"/>
    <w:rsid w:val="000B6C7E"/>
    <w:rsid w:val="000B7080"/>
    <w:rsid w:val="000B7111"/>
    <w:rsid w:val="000C017C"/>
    <w:rsid w:val="000C0D23"/>
    <w:rsid w:val="000C0E51"/>
    <w:rsid w:val="000C124D"/>
    <w:rsid w:val="000C12D3"/>
    <w:rsid w:val="000C179E"/>
    <w:rsid w:val="000C26F5"/>
    <w:rsid w:val="000C2DDD"/>
    <w:rsid w:val="000C2DEC"/>
    <w:rsid w:val="000C3237"/>
    <w:rsid w:val="000C3935"/>
    <w:rsid w:val="000C4841"/>
    <w:rsid w:val="000C5859"/>
    <w:rsid w:val="000C5F96"/>
    <w:rsid w:val="000C6219"/>
    <w:rsid w:val="000C670C"/>
    <w:rsid w:val="000C764C"/>
    <w:rsid w:val="000C79CA"/>
    <w:rsid w:val="000C7FF9"/>
    <w:rsid w:val="000D007F"/>
    <w:rsid w:val="000D1246"/>
    <w:rsid w:val="000D1749"/>
    <w:rsid w:val="000D17C7"/>
    <w:rsid w:val="000D17EA"/>
    <w:rsid w:val="000D1897"/>
    <w:rsid w:val="000D22EA"/>
    <w:rsid w:val="000D265C"/>
    <w:rsid w:val="000D2BBF"/>
    <w:rsid w:val="000D2EF2"/>
    <w:rsid w:val="000D3261"/>
    <w:rsid w:val="000D37AD"/>
    <w:rsid w:val="000D41FD"/>
    <w:rsid w:val="000D5247"/>
    <w:rsid w:val="000D68FF"/>
    <w:rsid w:val="000D70E2"/>
    <w:rsid w:val="000D7DBC"/>
    <w:rsid w:val="000E0083"/>
    <w:rsid w:val="000E03B6"/>
    <w:rsid w:val="000E0420"/>
    <w:rsid w:val="000E04E3"/>
    <w:rsid w:val="000E0622"/>
    <w:rsid w:val="000E07A5"/>
    <w:rsid w:val="000E0F67"/>
    <w:rsid w:val="000E1448"/>
    <w:rsid w:val="000E149C"/>
    <w:rsid w:val="000E1B82"/>
    <w:rsid w:val="000E1C73"/>
    <w:rsid w:val="000E2742"/>
    <w:rsid w:val="000E3069"/>
    <w:rsid w:val="000E3A8C"/>
    <w:rsid w:val="000E3E4E"/>
    <w:rsid w:val="000E4166"/>
    <w:rsid w:val="000E4577"/>
    <w:rsid w:val="000E464A"/>
    <w:rsid w:val="000E562B"/>
    <w:rsid w:val="000E57B5"/>
    <w:rsid w:val="000E5D72"/>
    <w:rsid w:val="000E7067"/>
    <w:rsid w:val="000E72CE"/>
    <w:rsid w:val="000E73F8"/>
    <w:rsid w:val="000E7F1D"/>
    <w:rsid w:val="000F07B3"/>
    <w:rsid w:val="000F1C38"/>
    <w:rsid w:val="000F297E"/>
    <w:rsid w:val="000F2CAD"/>
    <w:rsid w:val="000F3913"/>
    <w:rsid w:val="000F39B9"/>
    <w:rsid w:val="000F443F"/>
    <w:rsid w:val="000F47B4"/>
    <w:rsid w:val="000F59C6"/>
    <w:rsid w:val="000F5C64"/>
    <w:rsid w:val="000F5E37"/>
    <w:rsid w:val="000F7486"/>
    <w:rsid w:val="00100700"/>
    <w:rsid w:val="00101FDD"/>
    <w:rsid w:val="001030EE"/>
    <w:rsid w:val="0010366F"/>
    <w:rsid w:val="001043B5"/>
    <w:rsid w:val="0010547F"/>
    <w:rsid w:val="0010562A"/>
    <w:rsid w:val="00105E64"/>
    <w:rsid w:val="00106A8C"/>
    <w:rsid w:val="001075A5"/>
    <w:rsid w:val="00107740"/>
    <w:rsid w:val="00107BF4"/>
    <w:rsid w:val="00110CA8"/>
    <w:rsid w:val="001112E9"/>
    <w:rsid w:val="001114AF"/>
    <w:rsid w:val="00112E3F"/>
    <w:rsid w:val="001140DB"/>
    <w:rsid w:val="00114154"/>
    <w:rsid w:val="001143DF"/>
    <w:rsid w:val="001147DA"/>
    <w:rsid w:val="00114865"/>
    <w:rsid w:val="00114B73"/>
    <w:rsid w:val="00114C15"/>
    <w:rsid w:val="00114C30"/>
    <w:rsid w:val="0011558E"/>
    <w:rsid w:val="00115FC1"/>
    <w:rsid w:val="00116278"/>
    <w:rsid w:val="001177F1"/>
    <w:rsid w:val="00117DED"/>
    <w:rsid w:val="001202FE"/>
    <w:rsid w:val="00122881"/>
    <w:rsid w:val="0012365C"/>
    <w:rsid w:val="00124AF9"/>
    <w:rsid w:val="00124D26"/>
    <w:rsid w:val="00125D46"/>
    <w:rsid w:val="00125F99"/>
    <w:rsid w:val="001266C6"/>
    <w:rsid w:val="00131FCB"/>
    <w:rsid w:val="0013236C"/>
    <w:rsid w:val="00133452"/>
    <w:rsid w:val="0013367C"/>
    <w:rsid w:val="0013438D"/>
    <w:rsid w:val="001345AC"/>
    <w:rsid w:val="001353B8"/>
    <w:rsid w:val="001355F1"/>
    <w:rsid w:val="0013608F"/>
    <w:rsid w:val="0013691F"/>
    <w:rsid w:val="00136938"/>
    <w:rsid w:val="00136B2D"/>
    <w:rsid w:val="00137393"/>
    <w:rsid w:val="0014040D"/>
    <w:rsid w:val="00141A48"/>
    <w:rsid w:val="00141F7C"/>
    <w:rsid w:val="00141FF5"/>
    <w:rsid w:val="00142097"/>
    <w:rsid w:val="00144442"/>
    <w:rsid w:val="001449E6"/>
    <w:rsid w:val="00145A3F"/>
    <w:rsid w:val="00145B73"/>
    <w:rsid w:val="0014768E"/>
    <w:rsid w:val="001476EB"/>
    <w:rsid w:val="00147944"/>
    <w:rsid w:val="0015004F"/>
    <w:rsid w:val="00150089"/>
    <w:rsid w:val="0015052D"/>
    <w:rsid w:val="00151105"/>
    <w:rsid w:val="00151776"/>
    <w:rsid w:val="00151F13"/>
    <w:rsid w:val="00151FBC"/>
    <w:rsid w:val="001525D4"/>
    <w:rsid w:val="00152884"/>
    <w:rsid w:val="00153270"/>
    <w:rsid w:val="00153432"/>
    <w:rsid w:val="001537C3"/>
    <w:rsid w:val="00153800"/>
    <w:rsid w:val="00155379"/>
    <w:rsid w:val="001554CA"/>
    <w:rsid w:val="00155FF0"/>
    <w:rsid w:val="00156044"/>
    <w:rsid w:val="0015613C"/>
    <w:rsid w:val="0015639A"/>
    <w:rsid w:val="00156736"/>
    <w:rsid w:val="00156F1B"/>
    <w:rsid w:val="0015756D"/>
    <w:rsid w:val="0015765C"/>
    <w:rsid w:val="00160314"/>
    <w:rsid w:val="00160BC0"/>
    <w:rsid w:val="0016106E"/>
    <w:rsid w:val="0016152D"/>
    <w:rsid w:val="001617DD"/>
    <w:rsid w:val="001618D7"/>
    <w:rsid w:val="00162A43"/>
    <w:rsid w:val="00162DFE"/>
    <w:rsid w:val="00163A32"/>
    <w:rsid w:val="00164DFC"/>
    <w:rsid w:val="001658D7"/>
    <w:rsid w:val="00165E36"/>
    <w:rsid w:val="00166723"/>
    <w:rsid w:val="001669BE"/>
    <w:rsid w:val="001673EC"/>
    <w:rsid w:val="00171970"/>
    <w:rsid w:val="00171E13"/>
    <w:rsid w:val="00172AD4"/>
    <w:rsid w:val="00172B94"/>
    <w:rsid w:val="00174963"/>
    <w:rsid w:val="00174AB4"/>
    <w:rsid w:val="00175062"/>
    <w:rsid w:val="00175272"/>
    <w:rsid w:val="001757E0"/>
    <w:rsid w:val="00176996"/>
    <w:rsid w:val="00177940"/>
    <w:rsid w:val="001809EC"/>
    <w:rsid w:val="00183257"/>
    <w:rsid w:val="0018335C"/>
    <w:rsid w:val="001833D9"/>
    <w:rsid w:val="001837D9"/>
    <w:rsid w:val="001848D6"/>
    <w:rsid w:val="00184962"/>
    <w:rsid w:val="00184A05"/>
    <w:rsid w:val="00184E87"/>
    <w:rsid w:val="00184F22"/>
    <w:rsid w:val="001858DE"/>
    <w:rsid w:val="00185FD0"/>
    <w:rsid w:val="00186708"/>
    <w:rsid w:val="001869AA"/>
    <w:rsid w:val="00187634"/>
    <w:rsid w:val="00187AEF"/>
    <w:rsid w:val="001911EC"/>
    <w:rsid w:val="001913C6"/>
    <w:rsid w:val="00191758"/>
    <w:rsid w:val="0019194A"/>
    <w:rsid w:val="00193D08"/>
    <w:rsid w:val="001946CC"/>
    <w:rsid w:val="00194E33"/>
    <w:rsid w:val="00195C39"/>
    <w:rsid w:val="001965ED"/>
    <w:rsid w:val="001966E3"/>
    <w:rsid w:val="001968A4"/>
    <w:rsid w:val="00196C64"/>
    <w:rsid w:val="00196D77"/>
    <w:rsid w:val="00197047"/>
    <w:rsid w:val="00197288"/>
    <w:rsid w:val="00197D28"/>
    <w:rsid w:val="001A0620"/>
    <w:rsid w:val="001A0D79"/>
    <w:rsid w:val="001A2446"/>
    <w:rsid w:val="001A312D"/>
    <w:rsid w:val="001A3A26"/>
    <w:rsid w:val="001A5104"/>
    <w:rsid w:val="001A5E64"/>
    <w:rsid w:val="001A7058"/>
    <w:rsid w:val="001A7168"/>
    <w:rsid w:val="001B08E0"/>
    <w:rsid w:val="001B1821"/>
    <w:rsid w:val="001B21D4"/>
    <w:rsid w:val="001B4361"/>
    <w:rsid w:val="001B4396"/>
    <w:rsid w:val="001B472B"/>
    <w:rsid w:val="001B56E3"/>
    <w:rsid w:val="001B59E7"/>
    <w:rsid w:val="001B5DFF"/>
    <w:rsid w:val="001B6184"/>
    <w:rsid w:val="001B61DC"/>
    <w:rsid w:val="001B6841"/>
    <w:rsid w:val="001B7318"/>
    <w:rsid w:val="001B7530"/>
    <w:rsid w:val="001B7941"/>
    <w:rsid w:val="001B7E7D"/>
    <w:rsid w:val="001C0E23"/>
    <w:rsid w:val="001C1008"/>
    <w:rsid w:val="001C282D"/>
    <w:rsid w:val="001C2AED"/>
    <w:rsid w:val="001C383F"/>
    <w:rsid w:val="001C3EE0"/>
    <w:rsid w:val="001C41A7"/>
    <w:rsid w:val="001C45D7"/>
    <w:rsid w:val="001C5556"/>
    <w:rsid w:val="001C5DD4"/>
    <w:rsid w:val="001C5E02"/>
    <w:rsid w:val="001C6E99"/>
    <w:rsid w:val="001C71A7"/>
    <w:rsid w:val="001C75D0"/>
    <w:rsid w:val="001D0764"/>
    <w:rsid w:val="001D0917"/>
    <w:rsid w:val="001D1E73"/>
    <w:rsid w:val="001D23C1"/>
    <w:rsid w:val="001D372A"/>
    <w:rsid w:val="001D40FD"/>
    <w:rsid w:val="001D4438"/>
    <w:rsid w:val="001D4764"/>
    <w:rsid w:val="001D4B9A"/>
    <w:rsid w:val="001D4E06"/>
    <w:rsid w:val="001D711F"/>
    <w:rsid w:val="001D73F6"/>
    <w:rsid w:val="001E14EA"/>
    <w:rsid w:val="001E17DF"/>
    <w:rsid w:val="001E302F"/>
    <w:rsid w:val="001E31B2"/>
    <w:rsid w:val="001E3710"/>
    <w:rsid w:val="001E3F39"/>
    <w:rsid w:val="001E4408"/>
    <w:rsid w:val="001E5DE9"/>
    <w:rsid w:val="001E6561"/>
    <w:rsid w:val="001E7660"/>
    <w:rsid w:val="001E76FC"/>
    <w:rsid w:val="001F08BD"/>
    <w:rsid w:val="001F1013"/>
    <w:rsid w:val="001F1C67"/>
    <w:rsid w:val="001F2342"/>
    <w:rsid w:val="001F4DEC"/>
    <w:rsid w:val="001F6E6A"/>
    <w:rsid w:val="001F751B"/>
    <w:rsid w:val="002003F4"/>
    <w:rsid w:val="002017E9"/>
    <w:rsid w:val="002022CA"/>
    <w:rsid w:val="002025AE"/>
    <w:rsid w:val="00202953"/>
    <w:rsid w:val="00202ACE"/>
    <w:rsid w:val="002038F3"/>
    <w:rsid w:val="00204035"/>
    <w:rsid w:val="002048B1"/>
    <w:rsid w:val="002050BF"/>
    <w:rsid w:val="0020645F"/>
    <w:rsid w:val="00206E99"/>
    <w:rsid w:val="002071B7"/>
    <w:rsid w:val="002076B0"/>
    <w:rsid w:val="00207903"/>
    <w:rsid w:val="00210846"/>
    <w:rsid w:val="00211370"/>
    <w:rsid w:val="00212652"/>
    <w:rsid w:val="002127A7"/>
    <w:rsid w:val="0021326A"/>
    <w:rsid w:val="0021462C"/>
    <w:rsid w:val="00217024"/>
    <w:rsid w:val="00217752"/>
    <w:rsid w:val="00217AD8"/>
    <w:rsid w:val="002209FB"/>
    <w:rsid w:val="00220A28"/>
    <w:rsid w:val="002229A2"/>
    <w:rsid w:val="00223607"/>
    <w:rsid w:val="00223D40"/>
    <w:rsid w:val="00223FE7"/>
    <w:rsid w:val="002246FC"/>
    <w:rsid w:val="00225935"/>
    <w:rsid w:val="0022704A"/>
    <w:rsid w:val="002271DB"/>
    <w:rsid w:val="0022790E"/>
    <w:rsid w:val="00227A20"/>
    <w:rsid w:val="00230617"/>
    <w:rsid w:val="00230CD2"/>
    <w:rsid w:val="00230DF1"/>
    <w:rsid w:val="00231327"/>
    <w:rsid w:val="0023188C"/>
    <w:rsid w:val="00231AA7"/>
    <w:rsid w:val="0023253D"/>
    <w:rsid w:val="002326C8"/>
    <w:rsid w:val="0023396C"/>
    <w:rsid w:val="00235CA9"/>
    <w:rsid w:val="00235EA4"/>
    <w:rsid w:val="00236782"/>
    <w:rsid w:val="00236A16"/>
    <w:rsid w:val="00236DC2"/>
    <w:rsid w:val="00237CB1"/>
    <w:rsid w:val="00237FB1"/>
    <w:rsid w:val="0024019D"/>
    <w:rsid w:val="002409FA"/>
    <w:rsid w:val="00240C27"/>
    <w:rsid w:val="0024129B"/>
    <w:rsid w:val="00241F23"/>
    <w:rsid w:val="0024275E"/>
    <w:rsid w:val="00242F7C"/>
    <w:rsid w:val="00243691"/>
    <w:rsid w:val="00243B00"/>
    <w:rsid w:val="00243C18"/>
    <w:rsid w:val="0024507C"/>
    <w:rsid w:val="00245CB2"/>
    <w:rsid w:val="00246309"/>
    <w:rsid w:val="00247C3C"/>
    <w:rsid w:val="00250302"/>
    <w:rsid w:val="0025076C"/>
    <w:rsid w:val="002510C5"/>
    <w:rsid w:val="002514A6"/>
    <w:rsid w:val="00251F0F"/>
    <w:rsid w:val="00251F3A"/>
    <w:rsid w:val="00252981"/>
    <w:rsid w:val="00252A75"/>
    <w:rsid w:val="00252DDC"/>
    <w:rsid w:val="00254F4A"/>
    <w:rsid w:val="0025500F"/>
    <w:rsid w:val="002550A7"/>
    <w:rsid w:val="00256B64"/>
    <w:rsid w:val="0025718D"/>
    <w:rsid w:val="002575A7"/>
    <w:rsid w:val="00257DEF"/>
    <w:rsid w:val="0026030E"/>
    <w:rsid w:val="00260D3A"/>
    <w:rsid w:val="002619D6"/>
    <w:rsid w:val="0026204D"/>
    <w:rsid w:val="002647FA"/>
    <w:rsid w:val="00265C28"/>
    <w:rsid w:val="00265EB6"/>
    <w:rsid w:val="002665F0"/>
    <w:rsid w:val="00266A60"/>
    <w:rsid w:val="002704F5"/>
    <w:rsid w:val="0027147B"/>
    <w:rsid w:val="0027238B"/>
    <w:rsid w:val="002729E0"/>
    <w:rsid w:val="00272BB9"/>
    <w:rsid w:val="0027374D"/>
    <w:rsid w:val="002743E4"/>
    <w:rsid w:val="00274D37"/>
    <w:rsid w:val="00274F5B"/>
    <w:rsid w:val="00274F9D"/>
    <w:rsid w:val="00275A6E"/>
    <w:rsid w:val="002767ED"/>
    <w:rsid w:val="0027789E"/>
    <w:rsid w:val="00280E61"/>
    <w:rsid w:val="0028308E"/>
    <w:rsid w:val="0028382A"/>
    <w:rsid w:val="00284965"/>
    <w:rsid w:val="00284E4B"/>
    <w:rsid w:val="00285EE7"/>
    <w:rsid w:val="00286210"/>
    <w:rsid w:val="00286A55"/>
    <w:rsid w:val="00286BCC"/>
    <w:rsid w:val="002871E2"/>
    <w:rsid w:val="00287DD9"/>
    <w:rsid w:val="00290037"/>
    <w:rsid w:val="002913CB"/>
    <w:rsid w:val="00293470"/>
    <w:rsid w:val="00293494"/>
    <w:rsid w:val="00293A95"/>
    <w:rsid w:val="00293E8C"/>
    <w:rsid w:val="002941D6"/>
    <w:rsid w:val="00294D12"/>
    <w:rsid w:val="002968D3"/>
    <w:rsid w:val="00296D57"/>
    <w:rsid w:val="002A08F3"/>
    <w:rsid w:val="002A2662"/>
    <w:rsid w:val="002A2748"/>
    <w:rsid w:val="002A46AB"/>
    <w:rsid w:val="002A4DF7"/>
    <w:rsid w:val="002A5AD0"/>
    <w:rsid w:val="002A6EAD"/>
    <w:rsid w:val="002A6FEE"/>
    <w:rsid w:val="002A72A3"/>
    <w:rsid w:val="002A7C32"/>
    <w:rsid w:val="002B14DE"/>
    <w:rsid w:val="002B1FDF"/>
    <w:rsid w:val="002B21FB"/>
    <w:rsid w:val="002B2D56"/>
    <w:rsid w:val="002B3B85"/>
    <w:rsid w:val="002B506A"/>
    <w:rsid w:val="002B5121"/>
    <w:rsid w:val="002B5CEA"/>
    <w:rsid w:val="002B6BE7"/>
    <w:rsid w:val="002C0386"/>
    <w:rsid w:val="002C0B08"/>
    <w:rsid w:val="002C1357"/>
    <w:rsid w:val="002C1675"/>
    <w:rsid w:val="002C2F9F"/>
    <w:rsid w:val="002C5A6A"/>
    <w:rsid w:val="002C5BB8"/>
    <w:rsid w:val="002C723A"/>
    <w:rsid w:val="002D06D7"/>
    <w:rsid w:val="002D1929"/>
    <w:rsid w:val="002D1C31"/>
    <w:rsid w:val="002D26CE"/>
    <w:rsid w:val="002D500F"/>
    <w:rsid w:val="002D5B8F"/>
    <w:rsid w:val="002D6DC4"/>
    <w:rsid w:val="002D7106"/>
    <w:rsid w:val="002E0080"/>
    <w:rsid w:val="002E1036"/>
    <w:rsid w:val="002E1B94"/>
    <w:rsid w:val="002E203D"/>
    <w:rsid w:val="002E221C"/>
    <w:rsid w:val="002E32D3"/>
    <w:rsid w:val="002E3B1E"/>
    <w:rsid w:val="002E3B44"/>
    <w:rsid w:val="002E4A66"/>
    <w:rsid w:val="002E5499"/>
    <w:rsid w:val="002E64D9"/>
    <w:rsid w:val="002E68FA"/>
    <w:rsid w:val="002E71A7"/>
    <w:rsid w:val="002E7DDD"/>
    <w:rsid w:val="002F0260"/>
    <w:rsid w:val="002F06F9"/>
    <w:rsid w:val="002F16AF"/>
    <w:rsid w:val="002F18F0"/>
    <w:rsid w:val="002F1B87"/>
    <w:rsid w:val="002F2452"/>
    <w:rsid w:val="002F3C36"/>
    <w:rsid w:val="002F491E"/>
    <w:rsid w:val="002F524C"/>
    <w:rsid w:val="002F5370"/>
    <w:rsid w:val="002F56AA"/>
    <w:rsid w:val="002F56BA"/>
    <w:rsid w:val="002F5A48"/>
    <w:rsid w:val="002F6D28"/>
    <w:rsid w:val="002F6E93"/>
    <w:rsid w:val="003007E6"/>
    <w:rsid w:val="003023E6"/>
    <w:rsid w:val="00303B7A"/>
    <w:rsid w:val="00304487"/>
    <w:rsid w:val="00304FC6"/>
    <w:rsid w:val="003058F2"/>
    <w:rsid w:val="00306359"/>
    <w:rsid w:val="003067FB"/>
    <w:rsid w:val="003106C2"/>
    <w:rsid w:val="00310E02"/>
    <w:rsid w:val="00310F20"/>
    <w:rsid w:val="00310FB2"/>
    <w:rsid w:val="00310FFF"/>
    <w:rsid w:val="003119AB"/>
    <w:rsid w:val="003119CF"/>
    <w:rsid w:val="003123EF"/>
    <w:rsid w:val="00312B13"/>
    <w:rsid w:val="00313356"/>
    <w:rsid w:val="00313A56"/>
    <w:rsid w:val="00313FCF"/>
    <w:rsid w:val="00314E20"/>
    <w:rsid w:val="00314EB2"/>
    <w:rsid w:val="00315AD9"/>
    <w:rsid w:val="003164E3"/>
    <w:rsid w:val="0031659A"/>
    <w:rsid w:val="00316788"/>
    <w:rsid w:val="00316BA1"/>
    <w:rsid w:val="0031767E"/>
    <w:rsid w:val="00317760"/>
    <w:rsid w:val="00317893"/>
    <w:rsid w:val="00320471"/>
    <w:rsid w:val="00320C03"/>
    <w:rsid w:val="00321281"/>
    <w:rsid w:val="00322682"/>
    <w:rsid w:val="00322A7F"/>
    <w:rsid w:val="00323CFF"/>
    <w:rsid w:val="00324419"/>
    <w:rsid w:val="003244DD"/>
    <w:rsid w:val="003258F2"/>
    <w:rsid w:val="00325E90"/>
    <w:rsid w:val="00325FC9"/>
    <w:rsid w:val="003262AD"/>
    <w:rsid w:val="003265DC"/>
    <w:rsid w:val="00327D4F"/>
    <w:rsid w:val="00332266"/>
    <w:rsid w:val="00332895"/>
    <w:rsid w:val="003332E0"/>
    <w:rsid w:val="0033346E"/>
    <w:rsid w:val="0033439A"/>
    <w:rsid w:val="0033475B"/>
    <w:rsid w:val="003347CB"/>
    <w:rsid w:val="0033496C"/>
    <w:rsid w:val="00334C3F"/>
    <w:rsid w:val="0033563C"/>
    <w:rsid w:val="00335B7D"/>
    <w:rsid w:val="00337AC0"/>
    <w:rsid w:val="00340293"/>
    <w:rsid w:val="00340884"/>
    <w:rsid w:val="00341CAC"/>
    <w:rsid w:val="003422DD"/>
    <w:rsid w:val="0034328E"/>
    <w:rsid w:val="00343362"/>
    <w:rsid w:val="00343A70"/>
    <w:rsid w:val="00345F64"/>
    <w:rsid w:val="003465A7"/>
    <w:rsid w:val="0034686B"/>
    <w:rsid w:val="00346F59"/>
    <w:rsid w:val="003472B2"/>
    <w:rsid w:val="003474A2"/>
    <w:rsid w:val="00350C60"/>
    <w:rsid w:val="003518C5"/>
    <w:rsid w:val="003531E5"/>
    <w:rsid w:val="00354383"/>
    <w:rsid w:val="00354A69"/>
    <w:rsid w:val="00355134"/>
    <w:rsid w:val="0035515E"/>
    <w:rsid w:val="00355327"/>
    <w:rsid w:val="00355607"/>
    <w:rsid w:val="00355734"/>
    <w:rsid w:val="0035657F"/>
    <w:rsid w:val="00356CAA"/>
    <w:rsid w:val="00356F0D"/>
    <w:rsid w:val="003576E7"/>
    <w:rsid w:val="00357F31"/>
    <w:rsid w:val="003600AF"/>
    <w:rsid w:val="003609EC"/>
    <w:rsid w:val="00361A26"/>
    <w:rsid w:val="00361F02"/>
    <w:rsid w:val="0036250D"/>
    <w:rsid w:val="00362870"/>
    <w:rsid w:val="00363475"/>
    <w:rsid w:val="0036408E"/>
    <w:rsid w:val="003643D9"/>
    <w:rsid w:val="003646A9"/>
    <w:rsid w:val="003646BE"/>
    <w:rsid w:val="00364F22"/>
    <w:rsid w:val="00365550"/>
    <w:rsid w:val="003657C1"/>
    <w:rsid w:val="00366171"/>
    <w:rsid w:val="003661D3"/>
    <w:rsid w:val="00366A9F"/>
    <w:rsid w:val="00367059"/>
    <w:rsid w:val="00367726"/>
    <w:rsid w:val="00367852"/>
    <w:rsid w:val="00367AB2"/>
    <w:rsid w:val="00367E60"/>
    <w:rsid w:val="00370E7D"/>
    <w:rsid w:val="00371497"/>
    <w:rsid w:val="00371DF7"/>
    <w:rsid w:val="003724DF"/>
    <w:rsid w:val="0037254B"/>
    <w:rsid w:val="00372F67"/>
    <w:rsid w:val="0037305E"/>
    <w:rsid w:val="0037442C"/>
    <w:rsid w:val="00375AE7"/>
    <w:rsid w:val="00376223"/>
    <w:rsid w:val="003769BB"/>
    <w:rsid w:val="00377695"/>
    <w:rsid w:val="0038012D"/>
    <w:rsid w:val="003822D6"/>
    <w:rsid w:val="003825F1"/>
    <w:rsid w:val="00383B98"/>
    <w:rsid w:val="00383BDA"/>
    <w:rsid w:val="0038447C"/>
    <w:rsid w:val="00384524"/>
    <w:rsid w:val="00384AF4"/>
    <w:rsid w:val="00384E05"/>
    <w:rsid w:val="003850B0"/>
    <w:rsid w:val="003855D1"/>
    <w:rsid w:val="00385A8E"/>
    <w:rsid w:val="0038631A"/>
    <w:rsid w:val="00386731"/>
    <w:rsid w:val="00390AE4"/>
    <w:rsid w:val="00391536"/>
    <w:rsid w:val="00391C75"/>
    <w:rsid w:val="00391FB9"/>
    <w:rsid w:val="00392644"/>
    <w:rsid w:val="003932F0"/>
    <w:rsid w:val="003933EB"/>
    <w:rsid w:val="00393A3B"/>
    <w:rsid w:val="00394449"/>
    <w:rsid w:val="00394620"/>
    <w:rsid w:val="00394AF0"/>
    <w:rsid w:val="003962DD"/>
    <w:rsid w:val="003966CD"/>
    <w:rsid w:val="00396FF5"/>
    <w:rsid w:val="00397188"/>
    <w:rsid w:val="00397755"/>
    <w:rsid w:val="003A1E67"/>
    <w:rsid w:val="003A41B6"/>
    <w:rsid w:val="003A4779"/>
    <w:rsid w:val="003A4C30"/>
    <w:rsid w:val="003A600E"/>
    <w:rsid w:val="003A695D"/>
    <w:rsid w:val="003A6AD6"/>
    <w:rsid w:val="003A7AD7"/>
    <w:rsid w:val="003B0392"/>
    <w:rsid w:val="003B03DA"/>
    <w:rsid w:val="003B07CD"/>
    <w:rsid w:val="003B07D6"/>
    <w:rsid w:val="003B209F"/>
    <w:rsid w:val="003B24A3"/>
    <w:rsid w:val="003B2723"/>
    <w:rsid w:val="003B3C45"/>
    <w:rsid w:val="003B44FC"/>
    <w:rsid w:val="003B4F30"/>
    <w:rsid w:val="003B5B4A"/>
    <w:rsid w:val="003B5EE9"/>
    <w:rsid w:val="003C01E3"/>
    <w:rsid w:val="003C2421"/>
    <w:rsid w:val="003C2D5A"/>
    <w:rsid w:val="003C334E"/>
    <w:rsid w:val="003C39AA"/>
    <w:rsid w:val="003C51B9"/>
    <w:rsid w:val="003C5C08"/>
    <w:rsid w:val="003C683C"/>
    <w:rsid w:val="003C7E5E"/>
    <w:rsid w:val="003C7E7C"/>
    <w:rsid w:val="003D0C33"/>
    <w:rsid w:val="003D0C75"/>
    <w:rsid w:val="003D1FA7"/>
    <w:rsid w:val="003D22DC"/>
    <w:rsid w:val="003D24C1"/>
    <w:rsid w:val="003D2654"/>
    <w:rsid w:val="003D2E27"/>
    <w:rsid w:val="003D2E39"/>
    <w:rsid w:val="003D396C"/>
    <w:rsid w:val="003D3EB2"/>
    <w:rsid w:val="003D4637"/>
    <w:rsid w:val="003D4A51"/>
    <w:rsid w:val="003D5522"/>
    <w:rsid w:val="003D5C8B"/>
    <w:rsid w:val="003D6201"/>
    <w:rsid w:val="003D6BCB"/>
    <w:rsid w:val="003D7FC3"/>
    <w:rsid w:val="003E1329"/>
    <w:rsid w:val="003E15C1"/>
    <w:rsid w:val="003E20FF"/>
    <w:rsid w:val="003E2DD0"/>
    <w:rsid w:val="003E2E34"/>
    <w:rsid w:val="003E4448"/>
    <w:rsid w:val="003E5E72"/>
    <w:rsid w:val="003E6418"/>
    <w:rsid w:val="003E64A1"/>
    <w:rsid w:val="003E6753"/>
    <w:rsid w:val="003E6E4D"/>
    <w:rsid w:val="003E7B9F"/>
    <w:rsid w:val="003F110A"/>
    <w:rsid w:val="003F1645"/>
    <w:rsid w:val="003F18B1"/>
    <w:rsid w:val="003F28F2"/>
    <w:rsid w:val="003F30F8"/>
    <w:rsid w:val="003F3DA8"/>
    <w:rsid w:val="003F415E"/>
    <w:rsid w:val="003F456E"/>
    <w:rsid w:val="003F4D0B"/>
    <w:rsid w:val="003F4D7B"/>
    <w:rsid w:val="003F4D98"/>
    <w:rsid w:val="003F5EF8"/>
    <w:rsid w:val="003F6450"/>
    <w:rsid w:val="003F7028"/>
    <w:rsid w:val="003F70AE"/>
    <w:rsid w:val="003F7560"/>
    <w:rsid w:val="00400561"/>
    <w:rsid w:val="0040057A"/>
    <w:rsid w:val="00401A9A"/>
    <w:rsid w:val="004036AE"/>
    <w:rsid w:val="00405A46"/>
    <w:rsid w:val="00405D0B"/>
    <w:rsid w:val="00406532"/>
    <w:rsid w:val="00406EA1"/>
    <w:rsid w:val="0040728A"/>
    <w:rsid w:val="004075A4"/>
    <w:rsid w:val="004103DF"/>
    <w:rsid w:val="00410A36"/>
    <w:rsid w:val="004115D8"/>
    <w:rsid w:val="004119D9"/>
    <w:rsid w:val="00411C23"/>
    <w:rsid w:val="00412520"/>
    <w:rsid w:val="0041384D"/>
    <w:rsid w:val="004143F2"/>
    <w:rsid w:val="0041449E"/>
    <w:rsid w:val="0041461D"/>
    <w:rsid w:val="00415D33"/>
    <w:rsid w:val="00415E1E"/>
    <w:rsid w:val="004169AE"/>
    <w:rsid w:val="0042060D"/>
    <w:rsid w:val="00420CD6"/>
    <w:rsid w:val="004211BC"/>
    <w:rsid w:val="004220D8"/>
    <w:rsid w:val="0042543B"/>
    <w:rsid w:val="0042593E"/>
    <w:rsid w:val="00425962"/>
    <w:rsid w:val="00425EEC"/>
    <w:rsid w:val="004263CA"/>
    <w:rsid w:val="004273C7"/>
    <w:rsid w:val="0043036A"/>
    <w:rsid w:val="00432316"/>
    <w:rsid w:val="00432ADF"/>
    <w:rsid w:val="00433489"/>
    <w:rsid w:val="0043441A"/>
    <w:rsid w:val="0043499B"/>
    <w:rsid w:val="00435197"/>
    <w:rsid w:val="00435220"/>
    <w:rsid w:val="00435A25"/>
    <w:rsid w:val="00435A52"/>
    <w:rsid w:val="00436697"/>
    <w:rsid w:val="00436A8F"/>
    <w:rsid w:val="004377A5"/>
    <w:rsid w:val="004378B1"/>
    <w:rsid w:val="00437C4E"/>
    <w:rsid w:val="00440A17"/>
    <w:rsid w:val="00441339"/>
    <w:rsid w:val="00441DBE"/>
    <w:rsid w:val="004426AC"/>
    <w:rsid w:val="004433E1"/>
    <w:rsid w:val="00443ACD"/>
    <w:rsid w:val="004446D0"/>
    <w:rsid w:val="00445108"/>
    <w:rsid w:val="0044513A"/>
    <w:rsid w:val="004452B4"/>
    <w:rsid w:val="00446018"/>
    <w:rsid w:val="00446835"/>
    <w:rsid w:val="00446E60"/>
    <w:rsid w:val="00447B19"/>
    <w:rsid w:val="00451EE4"/>
    <w:rsid w:val="00453229"/>
    <w:rsid w:val="00453A3D"/>
    <w:rsid w:val="0045509A"/>
    <w:rsid w:val="004555A6"/>
    <w:rsid w:val="00456C9D"/>
    <w:rsid w:val="00456E2A"/>
    <w:rsid w:val="00461C03"/>
    <w:rsid w:val="00462822"/>
    <w:rsid w:val="00462CFF"/>
    <w:rsid w:val="004638C6"/>
    <w:rsid w:val="00464549"/>
    <w:rsid w:val="004650DA"/>
    <w:rsid w:val="0046559F"/>
    <w:rsid w:val="00465778"/>
    <w:rsid w:val="0046754C"/>
    <w:rsid w:val="0046759D"/>
    <w:rsid w:val="004675B3"/>
    <w:rsid w:val="00467FFC"/>
    <w:rsid w:val="00471849"/>
    <w:rsid w:val="00471CE7"/>
    <w:rsid w:val="00472E08"/>
    <w:rsid w:val="00472ECE"/>
    <w:rsid w:val="00473C0B"/>
    <w:rsid w:val="004743C6"/>
    <w:rsid w:val="0047457F"/>
    <w:rsid w:val="00475AC5"/>
    <w:rsid w:val="00475C4C"/>
    <w:rsid w:val="00475F99"/>
    <w:rsid w:val="00476380"/>
    <w:rsid w:val="00477406"/>
    <w:rsid w:val="00477491"/>
    <w:rsid w:val="00477AC9"/>
    <w:rsid w:val="00480200"/>
    <w:rsid w:val="00482AC1"/>
    <w:rsid w:val="004853A6"/>
    <w:rsid w:val="0048551B"/>
    <w:rsid w:val="00486B32"/>
    <w:rsid w:val="00487850"/>
    <w:rsid w:val="00487D9A"/>
    <w:rsid w:val="00487FE6"/>
    <w:rsid w:val="00490A37"/>
    <w:rsid w:val="00491990"/>
    <w:rsid w:val="00492204"/>
    <w:rsid w:val="00492402"/>
    <w:rsid w:val="00492AC0"/>
    <w:rsid w:val="00493A95"/>
    <w:rsid w:val="00493A9C"/>
    <w:rsid w:val="00493C3E"/>
    <w:rsid w:val="00493C60"/>
    <w:rsid w:val="00496761"/>
    <w:rsid w:val="004A0A8E"/>
    <w:rsid w:val="004A111D"/>
    <w:rsid w:val="004A1CCE"/>
    <w:rsid w:val="004A1E80"/>
    <w:rsid w:val="004A2800"/>
    <w:rsid w:val="004A286A"/>
    <w:rsid w:val="004A3004"/>
    <w:rsid w:val="004A4F0E"/>
    <w:rsid w:val="004A56A8"/>
    <w:rsid w:val="004A5D71"/>
    <w:rsid w:val="004A75BE"/>
    <w:rsid w:val="004A77D0"/>
    <w:rsid w:val="004B08D0"/>
    <w:rsid w:val="004B0B52"/>
    <w:rsid w:val="004B0E12"/>
    <w:rsid w:val="004B27BD"/>
    <w:rsid w:val="004B284B"/>
    <w:rsid w:val="004B2E5A"/>
    <w:rsid w:val="004B42D5"/>
    <w:rsid w:val="004B4825"/>
    <w:rsid w:val="004B490F"/>
    <w:rsid w:val="004B5DAA"/>
    <w:rsid w:val="004B6794"/>
    <w:rsid w:val="004B6B23"/>
    <w:rsid w:val="004B6BBE"/>
    <w:rsid w:val="004C0F45"/>
    <w:rsid w:val="004C121F"/>
    <w:rsid w:val="004C1BEC"/>
    <w:rsid w:val="004C1FB0"/>
    <w:rsid w:val="004C2151"/>
    <w:rsid w:val="004C32B6"/>
    <w:rsid w:val="004C46E7"/>
    <w:rsid w:val="004C4A8C"/>
    <w:rsid w:val="004C572A"/>
    <w:rsid w:val="004C6FEA"/>
    <w:rsid w:val="004C70A6"/>
    <w:rsid w:val="004C790E"/>
    <w:rsid w:val="004C7D60"/>
    <w:rsid w:val="004D000C"/>
    <w:rsid w:val="004D0496"/>
    <w:rsid w:val="004D0EC5"/>
    <w:rsid w:val="004D1583"/>
    <w:rsid w:val="004D2185"/>
    <w:rsid w:val="004D23CE"/>
    <w:rsid w:val="004D30B2"/>
    <w:rsid w:val="004D3531"/>
    <w:rsid w:val="004D4925"/>
    <w:rsid w:val="004D61C4"/>
    <w:rsid w:val="004D6689"/>
    <w:rsid w:val="004D6CD8"/>
    <w:rsid w:val="004D6D01"/>
    <w:rsid w:val="004E05EF"/>
    <w:rsid w:val="004E07D5"/>
    <w:rsid w:val="004E125B"/>
    <w:rsid w:val="004E1996"/>
    <w:rsid w:val="004E229A"/>
    <w:rsid w:val="004E2379"/>
    <w:rsid w:val="004E23AA"/>
    <w:rsid w:val="004E3563"/>
    <w:rsid w:val="004E38D2"/>
    <w:rsid w:val="004E3CD6"/>
    <w:rsid w:val="004E5897"/>
    <w:rsid w:val="004E65F9"/>
    <w:rsid w:val="004E6733"/>
    <w:rsid w:val="004E731B"/>
    <w:rsid w:val="004E7AA4"/>
    <w:rsid w:val="004F0C68"/>
    <w:rsid w:val="004F1912"/>
    <w:rsid w:val="004F1F1F"/>
    <w:rsid w:val="004F20F7"/>
    <w:rsid w:val="004F2399"/>
    <w:rsid w:val="004F3508"/>
    <w:rsid w:val="004F362B"/>
    <w:rsid w:val="004F380A"/>
    <w:rsid w:val="004F4611"/>
    <w:rsid w:val="004F52DA"/>
    <w:rsid w:val="004F566C"/>
    <w:rsid w:val="004F57BE"/>
    <w:rsid w:val="004F5E4B"/>
    <w:rsid w:val="004F672A"/>
    <w:rsid w:val="004F6CAF"/>
    <w:rsid w:val="005000CF"/>
    <w:rsid w:val="00500484"/>
    <w:rsid w:val="00500D40"/>
    <w:rsid w:val="00501253"/>
    <w:rsid w:val="005014EE"/>
    <w:rsid w:val="00501E96"/>
    <w:rsid w:val="005026F7"/>
    <w:rsid w:val="00502A49"/>
    <w:rsid w:val="00502C9E"/>
    <w:rsid w:val="00503D75"/>
    <w:rsid w:val="00504BD0"/>
    <w:rsid w:val="005053ED"/>
    <w:rsid w:val="00505C38"/>
    <w:rsid w:val="00506086"/>
    <w:rsid w:val="005101A6"/>
    <w:rsid w:val="00510320"/>
    <w:rsid w:val="005110FC"/>
    <w:rsid w:val="005116ED"/>
    <w:rsid w:val="0051270A"/>
    <w:rsid w:val="00513135"/>
    <w:rsid w:val="00513779"/>
    <w:rsid w:val="00513CAC"/>
    <w:rsid w:val="00513EF4"/>
    <w:rsid w:val="00513FF2"/>
    <w:rsid w:val="00514AD0"/>
    <w:rsid w:val="00516B24"/>
    <w:rsid w:val="00516CAA"/>
    <w:rsid w:val="00517CA2"/>
    <w:rsid w:val="00520D77"/>
    <w:rsid w:val="00520F2E"/>
    <w:rsid w:val="00520F91"/>
    <w:rsid w:val="0052107D"/>
    <w:rsid w:val="00521DDA"/>
    <w:rsid w:val="00522F4E"/>
    <w:rsid w:val="00523BF6"/>
    <w:rsid w:val="00524641"/>
    <w:rsid w:val="00525C1F"/>
    <w:rsid w:val="00526BCF"/>
    <w:rsid w:val="00526FFE"/>
    <w:rsid w:val="00527A7F"/>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1F99"/>
    <w:rsid w:val="00542661"/>
    <w:rsid w:val="005445C5"/>
    <w:rsid w:val="005449E8"/>
    <w:rsid w:val="005466DC"/>
    <w:rsid w:val="00546B47"/>
    <w:rsid w:val="0054743C"/>
    <w:rsid w:val="005478B0"/>
    <w:rsid w:val="00550A1C"/>
    <w:rsid w:val="00550A56"/>
    <w:rsid w:val="00551868"/>
    <w:rsid w:val="00551AE7"/>
    <w:rsid w:val="0055494E"/>
    <w:rsid w:val="00554ADF"/>
    <w:rsid w:val="0055506C"/>
    <w:rsid w:val="0055548F"/>
    <w:rsid w:val="00556212"/>
    <w:rsid w:val="005562D9"/>
    <w:rsid w:val="005607B9"/>
    <w:rsid w:val="005608D7"/>
    <w:rsid w:val="00560A7F"/>
    <w:rsid w:val="00561325"/>
    <w:rsid w:val="005621C1"/>
    <w:rsid w:val="0056327F"/>
    <w:rsid w:val="005637AA"/>
    <w:rsid w:val="0056447F"/>
    <w:rsid w:val="005645AE"/>
    <w:rsid w:val="00564C6E"/>
    <w:rsid w:val="00565AC5"/>
    <w:rsid w:val="00565C3D"/>
    <w:rsid w:val="005670C5"/>
    <w:rsid w:val="00567304"/>
    <w:rsid w:val="0057050F"/>
    <w:rsid w:val="005708C0"/>
    <w:rsid w:val="00570C76"/>
    <w:rsid w:val="00571236"/>
    <w:rsid w:val="0057125B"/>
    <w:rsid w:val="00572AF5"/>
    <w:rsid w:val="00573414"/>
    <w:rsid w:val="00573B73"/>
    <w:rsid w:val="00573F1A"/>
    <w:rsid w:val="00574533"/>
    <w:rsid w:val="0057573B"/>
    <w:rsid w:val="005757A7"/>
    <w:rsid w:val="00575A58"/>
    <w:rsid w:val="00575C1D"/>
    <w:rsid w:val="00576618"/>
    <w:rsid w:val="00576724"/>
    <w:rsid w:val="0057752A"/>
    <w:rsid w:val="00577A81"/>
    <w:rsid w:val="00577AFD"/>
    <w:rsid w:val="00577E02"/>
    <w:rsid w:val="00577EE4"/>
    <w:rsid w:val="00577F7B"/>
    <w:rsid w:val="005803E1"/>
    <w:rsid w:val="00582192"/>
    <w:rsid w:val="00582387"/>
    <w:rsid w:val="0058273D"/>
    <w:rsid w:val="005828F6"/>
    <w:rsid w:val="00583153"/>
    <w:rsid w:val="00583559"/>
    <w:rsid w:val="00583A85"/>
    <w:rsid w:val="00584E3E"/>
    <w:rsid w:val="005850E7"/>
    <w:rsid w:val="005852D2"/>
    <w:rsid w:val="00586357"/>
    <w:rsid w:val="0058658C"/>
    <w:rsid w:val="00587137"/>
    <w:rsid w:val="00587286"/>
    <w:rsid w:val="005874E0"/>
    <w:rsid w:val="005877A9"/>
    <w:rsid w:val="00587A2E"/>
    <w:rsid w:val="005914D8"/>
    <w:rsid w:val="00591CC3"/>
    <w:rsid w:val="00591CE6"/>
    <w:rsid w:val="005924DE"/>
    <w:rsid w:val="0059494E"/>
    <w:rsid w:val="005953C2"/>
    <w:rsid w:val="005953F2"/>
    <w:rsid w:val="00595A64"/>
    <w:rsid w:val="00595FBB"/>
    <w:rsid w:val="0059642F"/>
    <w:rsid w:val="005967FC"/>
    <w:rsid w:val="005977A9"/>
    <w:rsid w:val="005A01D7"/>
    <w:rsid w:val="005A0305"/>
    <w:rsid w:val="005A0506"/>
    <w:rsid w:val="005A08DF"/>
    <w:rsid w:val="005A1BC7"/>
    <w:rsid w:val="005A26D2"/>
    <w:rsid w:val="005A399D"/>
    <w:rsid w:val="005A3AE8"/>
    <w:rsid w:val="005A51FB"/>
    <w:rsid w:val="005A5821"/>
    <w:rsid w:val="005A5D72"/>
    <w:rsid w:val="005A6243"/>
    <w:rsid w:val="005A637E"/>
    <w:rsid w:val="005A6C00"/>
    <w:rsid w:val="005A6E7D"/>
    <w:rsid w:val="005A7D21"/>
    <w:rsid w:val="005A7DC0"/>
    <w:rsid w:val="005B0BB1"/>
    <w:rsid w:val="005B1345"/>
    <w:rsid w:val="005B1A69"/>
    <w:rsid w:val="005B309E"/>
    <w:rsid w:val="005B429E"/>
    <w:rsid w:val="005B4CB2"/>
    <w:rsid w:val="005B56EC"/>
    <w:rsid w:val="005B58AE"/>
    <w:rsid w:val="005B5953"/>
    <w:rsid w:val="005B59E4"/>
    <w:rsid w:val="005B688F"/>
    <w:rsid w:val="005B718D"/>
    <w:rsid w:val="005C01DF"/>
    <w:rsid w:val="005C0859"/>
    <w:rsid w:val="005C1DD9"/>
    <w:rsid w:val="005C1EBC"/>
    <w:rsid w:val="005C2A50"/>
    <w:rsid w:val="005C2EF5"/>
    <w:rsid w:val="005C3D99"/>
    <w:rsid w:val="005C458C"/>
    <w:rsid w:val="005C48A0"/>
    <w:rsid w:val="005C4CD9"/>
    <w:rsid w:val="005C4EBD"/>
    <w:rsid w:val="005C511E"/>
    <w:rsid w:val="005C575E"/>
    <w:rsid w:val="005C596D"/>
    <w:rsid w:val="005C5AE1"/>
    <w:rsid w:val="005C5D71"/>
    <w:rsid w:val="005C615A"/>
    <w:rsid w:val="005C7402"/>
    <w:rsid w:val="005D1063"/>
    <w:rsid w:val="005D1553"/>
    <w:rsid w:val="005D221E"/>
    <w:rsid w:val="005D2252"/>
    <w:rsid w:val="005D2A65"/>
    <w:rsid w:val="005D30D0"/>
    <w:rsid w:val="005D323C"/>
    <w:rsid w:val="005D3D16"/>
    <w:rsid w:val="005D3ED7"/>
    <w:rsid w:val="005D4598"/>
    <w:rsid w:val="005D5680"/>
    <w:rsid w:val="005D5ABF"/>
    <w:rsid w:val="005D61A9"/>
    <w:rsid w:val="005D64E0"/>
    <w:rsid w:val="005D6930"/>
    <w:rsid w:val="005D6F69"/>
    <w:rsid w:val="005D7244"/>
    <w:rsid w:val="005E06A4"/>
    <w:rsid w:val="005E142D"/>
    <w:rsid w:val="005E22E0"/>
    <w:rsid w:val="005E25DF"/>
    <w:rsid w:val="005E2752"/>
    <w:rsid w:val="005E2BF8"/>
    <w:rsid w:val="005E4C0E"/>
    <w:rsid w:val="005E6B4F"/>
    <w:rsid w:val="005E7000"/>
    <w:rsid w:val="005E7667"/>
    <w:rsid w:val="005E7E9B"/>
    <w:rsid w:val="005E7F01"/>
    <w:rsid w:val="005F0007"/>
    <w:rsid w:val="005F01BC"/>
    <w:rsid w:val="005F02A1"/>
    <w:rsid w:val="005F06AA"/>
    <w:rsid w:val="005F146A"/>
    <w:rsid w:val="005F1607"/>
    <w:rsid w:val="005F1664"/>
    <w:rsid w:val="005F2C6E"/>
    <w:rsid w:val="005F426E"/>
    <w:rsid w:val="005F5183"/>
    <w:rsid w:val="005F53F8"/>
    <w:rsid w:val="005F6F75"/>
    <w:rsid w:val="005F7EC5"/>
    <w:rsid w:val="005F7ECF"/>
    <w:rsid w:val="0060046C"/>
    <w:rsid w:val="00600DB6"/>
    <w:rsid w:val="00601648"/>
    <w:rsid w:val="00602F81"/>
    <w:rsid w:val="00603059"/>
    <w:rsid w:val="00603B1E"/>
    <w:rsid w:val="00606C4A"/>
    <w:rsid w:val="00607D19"/>
    <w:rsid w:val="006105F5"/>
    <w:rsid w:val="00610774"/>
    <w:rsid w:val="00610D39"/>
    <w:rsid w:val="00612D63"/>
    <w:rsid w:val="00613E46"/>
    <w:rsid w:val="00615117"/>
    <w:rsid w:val="006162F7"/>
    <w:rsid w:val="006168C7"/>
    <w:rsid w:val="00617B2A"/>
    <w:rsid w:val="00617E50"/>
    <w:rsid w:val="00620AE7"/>
    <w:rsid w:val="00620E4B"/>
    <w:rsid w:val="00621727"/>
    <w:rsid w:val="00621B9B"/>
    <w:rsid w:val="00621EB8"/>
    <w:rsid w:val="00621FC6"/>
    <w:rsid w:val="00622379"/>
    <w:rsid w:val="00622C03"/>
    <w:rsid w:val="00623A96"/>
    <w:rsid w:val="00623B7D"/>
    <w:rsid w:val="00624328"/>
    <w:rsid w:val="00624FAA"/>
    <w:rsid w:val="00626BB8"/>
    <w:rsid w:val="00626BDC"/>
    <w:rsid w:val="00627061"/>
    <w:rsid w:val="00627DA9"/>
    <w:rsid w:val="00631388"/>
    <w:rsid w:val="00632492"/>
    <w:rsid w:val="006325B0"/>
    <w:rsid w:val="006326F7"/>
    <w:rsid w:val="006327E1"/>
    <w:rsid w:val="00632D96"/>
    <w:rsid w:val="00632FB0"/>
    <w:rsid w:val="006330AD"/>
    <w:rsid w:val="00633668"/>
    <w:rsid w:val="00633DDF"/>
    <w:rsid w:val="006363EC"/>
    <w:rsid w:val="00636693"/>
    <w:rsid w:val="006376F7"/>
    <w:rsid w:val="00640B7D"/>
    <w:rsid w:val="00640EE8"/>
    <w:rsid w:val="00641C25"/>
    <w:rsid w:val="00641D7F"/>
    <w:rsid w:val="006423DC"/>
    <w:rsid w:val="006428C9"/>
    <w:rsid w:val="00642C6A"/>
    <w:rsid w:val="006439D5"/>
    <w:rsid w:val="00643CDC"/>
    <w:rsid w:val="00644053"/>
    <w:rsid w:val="0064530A"/>
    <w:rsid w:val="0064619E"/>
    <w:rsid w:val="0064739F"/>
    <w:rsid w:val="00650311"/>
    <w:rsid w:val="006503FC"/>
    <w:rsid w:val="00651642"/>
    <w:rsid w:val="00651953"/>
    <w:rsid w:val="00653430"/>
    <w:rsid w:val="00653AD1"/>
    <w:rsid w:val="00653AF4"/>
    <w:rsid w:val="0065424A"/>
    <w:rsid w:val="00654828"/>
    <w:rsid w:val="006552A8"/>
    <w:rsid w:val="00655C8B"/>
    <w:rsid w:val="00655D6A"/>
    <w:rsid w:val="0065603B"/>
    <w:rsid w:val="006577F5"/>
    <w:rsid w:val="00660900"/>
    <w:rsid w:val="00660F5C"/>
    <w:rsid w:val="006611EE"/>
    <w:rsid w:val="00661229"/>
    <w:rsid w:val="006615D6"/>
    <w:rsid w:val="00663ECD"/>
    <w:rsid w:val="00664372"/>
    <w:rsid w:val="00665072"/>
    <w:rsid w:val="00666213"/>
    <w:rsid w:val="0066674B"/>
    <w:rsid w:val="00666F02"/>
    <w:rsid w:val="006675DA"/>
    <w:rsid w:val="00670603"/>
    <w:rsid w:val="00671A4E"/>
    <w:rsid w:val="00671C84"/>
    <w:rsid w:val="00671D03"/>
    <w:rsid w:val="006721BF"/>
    <w:rsid w:val="006734BE"/>
    <w:rsid w:val="00673A91"/>
    <w:rsid w:val="00674040"/>
    <w:rsid w:val="00674096"/>
    <w:rsid w:val="00674E91"/>
    <w:rsid w:val="00675849"/>
    <w:rsid w:val="00675A67"/>
    <w:rsid w:val="006761E4"/>
    <w:rsid w:val="0067751C"/>
    <w:rsid w:val="00677AC7"/>
    <w:rsid w:val="00680526"/>
    <w:rsid w:val="006805E7"/>
    <w:rsid w:val="00680744"/>
    <w:rsid w:val="0068190A"/>
    <w:rsid w:val="00681C27"/>
    <w:rsid w:val="00681C39"/>
    <w:rsid w:val="00682BF8"/>
    <w:rsid w:val="00683BC2"/>
    <w:rsid w:val="00684246"/>
    <w:rsid w:val="00684AF0"/>
    <w:rsid w:val="00684B02"/>
    <w:rsid w:val="00685599"/>
    <w:rsid w:val="00685C7B"/>
    <w:rsid w:val="00687BE7"/>
    <w:rsid w:val="0069001A"/>
    <w:rsid w:val="00690D11"/>
    <w:rsid w:val="00692263"/>
    <w:rsid w:val="00692C35"/>
    <w:rsid w:val="00692FF9"/>
    <w:rsid w:val="00693153"/>
    <w:rsid w:val="0069377D"/>
    <w:rsid w:val="00693B03"/>
    <w:rsid w:val="00694259"/>
    <w:rsid w:val="00695011"/>
    <w:rsid w:val="00695780"/>
    <w:rsid w:val="0069658B"/>
    <w:rsid w:val="00696609"/>
    <w:rsid w:val="006973C2"/>
    <w:rsid w:val="00697750"/>
    <w:rsid w:val="006A010B"/>
    <w:rsid w:val="006A0475"/>
    <w:rsid w:val="006A08D9"/>
    <w:rsid w:val="006A1069"/>
    <w:rsid w:val="006A30B6"/>
    <w:rsid w:val="006A33EB"/>
    <w:rsid w:val="006A34C0"/>
    <w:rsid w:val="006A3CBB"/>
    <w:rsid w:val="006A4180"/>
    <w:rsid w:val="006A4B93"/>
    <w:rsid w:val="006A56F1"/>
    <w:rsid w:val="006A58D4"/>
    <w:rsid w:val="006A6094"/>
    <w:rsid w:val="006A7AD2"/>
    <w:rsid w:val="006B14B7"/>
    <w:rsid w:val="006B314E"/>
    <w:rsid w:val="006B36AF"/>
    <w:rsid w:val="006B39E0"/>
    <w:rsid w:val="006B4438"/>
    <w:rsid w:val="006B4A45"/>
    <w:rsid w:val="006B4B89"/>
    <w:rsid w:val="006B4FBE"/>
    <w:rsid w:val="006B5994"/>
    <w:rsid w:val="006B6EA9"/>
    <w:rsid w:val="006B7833"/>
    <w:rsid w:val="006C0079"/>
    <w:rsid w:val="006C029B"/>
    <w:rsid w:val="006C05ED"/>
    <w:rsid w:val="006C0774"/>
    <w:rsid w:val="006C0ABB"/>
    <w:rsid w:val="006C0E1D"/>
    <w:rsid w:val="006C1085"/>
    <w:rsid w:val="006C271F"/>
    <w:rsid w:val="006C4488"/>
    <w:rsid w:val="006C4D64"/>
    <w:rsid w:val="006C67D1"/>
    <w:rsid w:val="006D0B85"/>
    <w:rsid w:val="006D10B7"/>
    <w:rsid w:val="006D1201"/>
    <w:rsid w:val="006D17D3"/>
    <w:rsid w:val="006D29AA"/>
    <w:rsid w:val="006D2C98"/>
    <w:rsid w:val="006D4477"/>
    <w:rsid w:val="006D476D"/>
    <w:rsid w:val="006D56D0"/>
    <w:rsid w:val="006D583D"/>
    <w:rsid w:val="006D598A"/>
    <w:rsid w:val="006D5B58"/>
    <w:rsid w:val="006D5BAC"/>
    <w:rsid w:val="006D6644"/>
    <w:rsid w:val="006D7BF9"/>
    <w:rsid w:val="006E09FA"/>
    <w:rsid w:val="006E1644"/>
    <w:rsid w:val="006E1A31"/>
    <w:rsid w:val="006E29EA"/>
    <w:rsid w:val="006E2BD7"/>
    <w:rsid w:val="006E4F6A"/>
    <w:rsid w:val="006E509C"/>
    <w:rsid w:val="006E52A8"/>
    <w:rsid w:val="006E5719"/>
    <w:rsid w:val="006E5D3F"/>
    <w:rsid w:val="006E6C23"/>
    <w:rsid w:val="006E6C65"/>
    <w:rsid w:val="006F0026"/>
    <w:rsid w:val="006F051B"/>
    <w:rsid w:val="006F0BC8"/>
    <w:rsid w:val="006F0C28"/>
    <w:rsid w:val="006F1837"/>
    <w:rsid w:val="006F20E7"/>
    <w:rsid w:val="006F2155"/>
    <w:rsid w:val="006F2372"/>
    <w:rsid w:val="006F24A2"/>
    <w:rsid w:val="006F35ED"/>
    <w:rsid w:val="006F4CB6"/>
    <w:rsid w:val="006F4DA0"/>
    <w:rsid w:val="006F55C4"/>
    <w:rsid w:val="006F60B5"/>
    <w:rsid w:val="006F6571"/>
    <w:rsid w:val="006F6A58"/>
    <w:rsid w:val="006F72A5"/>
    <w:rsid w:val="00700653"/>
    <w:rsid w:val="0070108B"/>
    <w:rsid w:val="00702810"/>
    <w:rsid w:val="00702AA1"/>
    <w:rsid w:val="00702CE2"/>
    <w:rsid w:val="00702E3C"/>
    <w:rsid w:val="00703738"/>
    <w:rsid w:val="00703AB3"/>
    <w:rsid w:val="00703EE5"/>
    <w:rsid w:val="00703F5C"/>
    <w:rsid w:val="00705013"/>
    <w:rsid w:val="00705164"/>
    <w:rsid w:val="0070581C"/>
    <w:rsid w:val="00705CEA"/>
    <w:rsid w:val="00707849"/>
    <w:rsid w:val="0070793B"/>
    <w:rsid w:val="007102F9"/>
    <w:rsid w:val="007120AB"/>
    <w:rsid w:val="00713F1E"/>
    <w:rsid w:val="0071445E"/>
    <w:rsid w:val="007148CC"/>
    <w:rsid w:val="00714A56"/>
    <w:rsid w:val="00715C9F"/>
    <w:rsid w:val="007163B2"/>
    <w:rsid w:val="00716A60"/>
    <w:rsid w:val="00716CE5"/>
    <w:rsid w:val="00716FB7"/>
    <w:rsid w:val="00716FD7"/>
    <w:rsid w:val="00717503"/>
    <w:rsid w:val="00720498"/>
    <w:rsid w:val="00720B33"/>
    <w:rsid w:val="007216EC"/>
    <w:rsid w:val="00721BED"/>
    <w:rsid w:val="00721E93"/>
    <w:rsid w:val="007225CC"/>
    <w:rsid w:val="00722E4B"/>
    <w:rsid w:val="007230F8"/>
    <w:rsid w:val="00723A63"/>
    <w:rsid w:val="00723C6C"/>
    <w:rsid w:val="0072463D"/>
    <w:rsid w:val="007246B5"/>
    <w:rsid w:val="00726A31"/>
    <w:rsid w:val="007270C6"/>
    <w:rsid w:val="00727C8F"/>
    <w:rsid w:val="0073024C"/>
    <w:rsid w:val="00730B97"/>
    <w:rsid w:val="007320AC"/>
    <w:rsid w:val="0073268A"/>
    <w:rsid w:val="00732F9A"/>
    <w:rsid w:val="00733E43"/>
    <w:rsid w:val="007379A5"/>
    <w:rsid w:val="00741F26"/>
    <w:rsid w:val="00742040"/>
    <w:rsid w:val="007431BF"/>
    <w:rsid w:val="00743C3D"/>
    <w:rsid w:val="0074404C"/>
    <w:rsid w:val="00745D6D"/>
    <w:rsid w:val="00746965"/>
    <w:rsid w:val="00747299"/>
    <w:rsid w:val="00750CE6"/>
    <w:rsid w:val="00752E8A"/>
    <w:rsid w:val="00752F2D"/>
    <w:rsid w:val="00753406"/>
    <w:rsid w:val="00753C96"/>
    <w:rsid w:val="00754AA0"/>
    <w:rsid w:val="00754CA8"/>
    <w:rsid w:val="00756647"/>
    <w:rsid w:val="00757BB8"/>
    <w:rsid w:val="00757F31"/>
    <w:rsid w:val="0076020F"/>
    <w:rsid w:val="00760FC5"/>
    <w:rsid w:val="007611F7"/>
    <w:rsid w:val="0076128C"/>
    <w:rsid w:val="007617ED"/>
    <w:rsid w:val="007624CF"/>
    <w:rsid w:val="007638CB"/>
    <w:rsid w:val="0076463C"/>
    <w:rsid w:val="00764BDD"/>
    <w:rsid w:val="00764CA6"/>
    <w:rsid w:val="007654A1"/>
    <w:rsid w:val="0076629F"/>
    <w:rsid w:val="00766B0B"/>
    <w:rsid w:val="0076758A"/>
    <w:rsid w:val="00767D40"/>
    <w:rsid w:val="00770FF8"/>
    <w:rsid w:val="00771667"/>
    <w:rsid w:val="00771981"/>
    <w:rsid w:val="00771BFE"/>
    <w:rsid w:val="00771E83"/>
    <w:rsid w:val="007720F6"/>
    <w:rsid w:val="00772495"/>
    <w:rsid w:val="007767DB"/>
    <w:rsid w:val="00777568"/>
    <w:rsid w:val="00777712"/>
    <w:rsid w:val="00780D25"/>
    <w:rsid w:val="00780E5E"/>
    <w:rsid w:val="00781151"/>
    <w:rsid w:val="007811A7"/>
    <w:rsid w:val="00781546"/>
    <w:rsid w:val="007819E7"/>
    <w:rsid w:val="00781CA1"/>
    <w:rsid w:val="00781E53"/>
    <w:rsid w:val="007834A0"/>
    <w:rsid w:val="0078480D"/>
    <w:rsid w:val="00785D25"/>
    <w:rsid w:val="00785E71"/>
    <w:rsid w:val="00786853"/>
    <w:rsid w:val="007878BE"/>
    <w:rsid w:val="00790A1F"/>
    <w:rsid w:val="00791B44"/>
    <w:rsid w:val="0079248D"/>
    <w:rsid w:val="00792A83"/>
    <w:rsid w:val="007933A0"/>
    <w:rsid w:val="0079406C"/>
    <w:rsid w:val="0079410D"/>
    <w:rsid w:val="0079453C"/>
    <w:rsid w:val="007945A7"/>
    <w:rsid w:val="0079538A"/>
    <w:rsid w:val="00795C8A"/>
    <w:rsid w:val="00797989"/>
    <w:rsid w:val="007A059E"/>
    <w:rsid w:val="007A0B25"/>
    <w:rsid w:val="007A0EA3"/>
    <w:rsid w:val="007A12E7"/>
    <w:rsid w:val="007A1756"/>
    <w:rsid w:val="007A1D3C"/>
    <w:rsid w:val="007A2352"/>
    <w:rsid w:val="007A2757"/>
    <w:rsid w:val="007A2EC2"/>
    <w:rsid w:val="007A37FC"/>
    <w:rsid w:val="007A3911"/>
    <w:rsid w:val="007A3D53"/>
    <w:rsid w:val="007A4969"/>
    <w:rsid w:val="007A4D34"/>
    <w:rsid w:val="007A531B"/>
    <w:rsid w:val="007A5332"/>
    <w:rsid w:val="007A5F17"/>
    <w:rsid w:val="007A62AD"/>
    <w:rsid w:val="007A63A5"/>
    <w:rsid w:val="007A667D"/>
    <w:rsid w:val="007A6DF3"/>
    <w:rsid w:val="007A6F39"/>
    <w:rsid w:val="007A705B"/>
    <w:rsid w:val="007B0102"/>
    <w:rsid w:val="007B0411"/>
    <w:rsid w:val="007B0490"/>
    <w:rsid w:val="007B0A83"/>
    <w:rsid w:val="007B0EC4"/>
    <w:rsid w:val="007B19A3"/>
    <w:rsid w:val="007B1E35"/>
    <w:rsid w:val="007B22A0"/>
    <w:rsid w:val="007B2DAC"/>
    <w:rsid w:val="007B3A6D"/>
    <w:rsid w:val="007B4676"/>
    <w:rsid w:val="007B46B7"/>
    <w:rsid w:val="007B4A3B"/>
    <w:rsid w:val="007B4A8F"/>
    <w:rsid w:val="007B4BF1"/>
    <w:rsid w:val="007B5295"/>
    <w:rsid w:val="007B6166"/>
    <w:rsid w:val="007B6811"/>
    <w:rsid w:val="007C0E1D"/>
    <w:rsid w:val="007C1308"/>
    <w:rsid w:val="007C1A9D"/>
    <w:rsid w:val="007C28F2"/>
    <w:rsid w:val="007C316D"/>
    <w:rsid w:val="007C368E"/>
    <w:rsid w:val="007C3816"/>
    <w:rsid w:val="007C61F6"/>
    <w:rsid w:val="007C62ED"/>
    <w:rsid w:val="007C6429"/>
    <w:rsid w:val="007C6AAA"/>
    <w:rsid w:val="007C6C94"/>
    <w:rsid w:val="007C7DEE"/>
    <w:rsid w:val="007C7F04"/>
    <w:rsid w:val="007D0563"/>
    <w:rsid w:val="007D0A26"/>
    <w:rsid w:val="007D1145"/>
    <w:rsid w:val="007D216B"/>
    <w:rsid w:val="007D2B18"/>
    <w:rsid w:val="007D3DAD"/>
    <w:rsid w:val="007D450F"/>
    <w:rsid w:val="007D4AC5"/>
    <w:rsid w:val="007D55D8"/>
    <w:rsid w:val="007D5DAB"/>
    <w:rsid w:val="007D5EDB"/>
    <w:rsid w:val="007D605A"/>
    <w:rsid w:val="007E0C61"/>
    <w:rsid w:val="007E0E0C"/>
    <w:rsid w:val="007E14A1"/>
    <w:rsid w:val="007E1CEE"/>
    <w:rsid w:val="007E1DA2"/>
    <w:rsid w:val="007E1F6F"/>
    <w:rsid w:val="007E2264"/>
    <w:rsid w:val="007E2274"/>
    <w:rsid w:val="007E23B8"/>
    <w:rsid w:val="007E2C00"/>
    <w:rsid w:val="007E3C7C"/>
    <w:rsid w:val="007E4864"/>
    <w:rsid w:val="007E4DDD"/>
    <w:rsid w:val="007E4DE3"/>
    <w:rsid w:val="007E6906"/>
    <w:rsid w:val="007E6D76"/>
    <w:rsid w:val="007E6F94"/>
    <w:rsid w:val="007E7142"/>
    <w:rsid w:val="007E736D"/>
    <w:rsid w:val="007F1782"/>
    <w:rsid w:val="007F26F6"/>
    <w:rsid w:val="007F2FC1"/>
    <w:rsid w:val="007F3F4E"/>
    <w:rsid w:val="007F410A"/>
    <w:rsid w:val="007F4335"/>
    <w:rsid w:val="007F477B"/>
    <w:rsid w:val="007F4C33"/>
    <w:rsid w:val="007F4ED0"/>
    <w:rsid w:val="007F509C"/>
    <w:rsid w:val="007F7828"/>
    <w:rsid w:val="008002DE"/>
    <w:rsid w:val="00801867"/>
    <w:rsid w:val="00801DC9"/>
    <w:rsid w:val="00803AB9"/>
    <w:rsid w:val="00803BBD"/>
    <w:rsid w:val="0080480F"/>
    <w:rsid w:val="00804DAA"/>
    <w:rsid w:val="00804EFA"/>
    <w:rsid w:val="0080575F"/>
    <w:rsid w:val="00806797"/>
    <w:rsid w:val="00807552"/>
    <w:rsid w:val="008100D1"/>
    <w:rsid w:val="00810AB9"/>
    <w:rsid w:val="00810FAE"/>
    <w:rsid w:val="008143C8"/>
    <w:rsid w:val="008143E2"/>
    <w:rsid w:val="00814710"/>
    <w:rsid w:val="00815E7F"/>
    <w:rsid w:val="00816840"/>
    <w:rsid w:val="0081697A"/>
    <w:rsid w:val="00820DA5"/>
    <w:rsid w:val="008215C6"/>
    <w:rsid w:val="00821855"/>
    <w:rsid w:val="008227C5"/>
    <w:rsid w:val="008229D4"/>
    <w:rsid w:val="00822FF4"/>
    <w:rsid w:val="00823275"/>
    <w:rsid w:val="008234F9"/>
    <w:rsid w:val="008240B7"/>
    <w:rsid w:val="008241A8"/>
    <w:rsid w:val="00824589"/>
    <w:rsid w:val="0082458F"/>
    <w:rsid w:val="00824867"/>
    <w:rsid w:val="00824BFD"/>
    <w:rsid w:val="00826168"/>
    <w:rsid w:val="0082670B"/>
    <w:rsid w:val="00826A28"/>
    <w:rsid w:val="00827DD4"/>
    <w:rsid w:val="00827EA9"/>
    <w:rsid w:val="00830DC8"/>
    <w:rsid w:val="00830F6A"/>
    <w:rsid w:val="0083274F"/>
    <w:rsid w:val="008333BB"/>
    <w:rsid w:val="00833EEE"/>
    <w:rsid w:val="00834FDC"/>
    <w:rsid w:val="008356CB"/>
    <w:rsid w:val="00835B88"/>
    <w:rsid w:val="0083665F"/>
    <w:rsid w:val="00836827"/>
    <w:rsid w:val="0083684B"/>
    <w:rsid w:val="00836A92"/>
    <w:rsid w:val="00837A11"/>
    <w:rsid w:val="00840239"/>
    <w:rsid w:val="00841177"/>
    <w:rsid w:val="00843328"/>
    <w:rsid w:val="008442C5"/>
    <w:rsid w:val="00844539"/>
    <w:rsid w:val="00844DC3"/>
    <w:rsid w:val="0084540D"/>
    <w:rsid w:val="008454FE"/>
    <w:rsid w:val="00845EAC"/>
    <w:rsid w:val="00846525"/>
    <w:rsid w:val="0084797B"/>
    <w:rsid w:val="00850600"/>
    <w:rsid w:val="00850C1A"/>
    <w:rsid w:val="00851CC4"/>
    <w:rsid w:val="008521EF"/>
    <w:rsid w:val="008521FE"/>
    <w:rsid w:val="00852D73"/>
    <w:rsid w:val="008541F0"/>
    <w:rsid w:val="00854CD3"/>
    <w:rsid w:val="00855E8D"/>
    <w:rsid w:val="008568CD"/>
    <w:rsid w:val="0085718D"/>
    <w:rsid w:val="008573FA"/>
    <w:rsid w:val="00857F93"/>
    <w:rsid w:val="0086064E"/>
    <w:rsid w:val="00860B19"/>
    <w:rsid w:val="00861089"/>
    <w:rsid w:val="00862A62"/>
    <w:rsid w:val="00862C1C"/>
    <w:rsid w:val="0086369D"/>
    <w:rsid w:val="00863FD0"/>
    <w:rsid w:val="008653EF"/>
    <w:rsid w:val="00865827"/>
    <w:rsid w:val="00865CAD"/>
    <w:rsid w:val="00866B14"/>
    <w:rsid w:val="00866D52"/>
    <w:rsid w:val="00870D17"/>
    <w:rsid w:val="00871874"/>
    <w:rsid w:val="00871A87"/>
    <w:rsid w:val="00871EC1"/>
    <w:rsid w:val="00871FD1"/>
    <w:rsid w:val="00872ED3"/>
    <w:rsid w:val="008732FE"/>
    <w:rsid w:val="0087395B"/>
    <w:rsid w:val="0087464D"/>
    <w:rsid w:val="008752AF"/>
    <w:rsid w:val="00875E2B"/>
    <w:rsid w:val="00875F4F"/>
    <w:rsid w:val="00877069"/>
    <w:rsid w:val="00877228"/>
    <w:rsid w:val="008805D0"/>
    <w:rsid w:val="00880FC4"/>
    <w:rsid w:val="0088105A"/>
    <w:rsid w:val="00881C76"/>
    <w:rsid w:val="00882317"/>
    <w:rsid w:val="00882C8E"/>
    <w:rsid w:val="00884C80"/>
    <w:rsid w:val="0088520A"/>
    <w:rsid w:val="00885257"/>
    <w:rsid w:val="00885C5A"/>
    <w:rsid w:val="00885E43"/>
    <w:rsid w:val="0088626E"/>
    <w:rsid w:val="00886311"/>
    <w:rsid w:val="008870E2"/>
    <w:rsid w:val="00887E70"/>
    <w:rsid w:val="00890FA7"/>
    <w:rsid w:val="0089109B"/>
    <w:rsid w:val="008928A1"/>
    <w:rsid w:val="008942FE"/>
    <w:rsid w:val="008945A4"/>
    <w:rsid w:val="00894DC1"/>
    <w:rsid w:val="00895514"/>
    <w:rsid w:val="00895A84"/>
    <w:rsid w:val="00896209"/>
    <w:rsid w:val="0089637F"/>
    <w:rsid w:val="008963A9"/>
    <w:rsid w:val="0089751A"/>
    <w:rsid w:val="00897AB7"/>
    <w:rsid w:val="00897B8D"/>
    <w:rsid w:val="008A0B3D"/>
    <w:rsid w:val="008A203C"/>
    <w:rsid w:val="008A2218"/>
    <w:rsid w:val="008A294E"/>
    <w:rsid w:val="008A379A"/>
    <w:rsid w:val="008A4397"/>
    <w:rsid w:val="008A4842"/>
    <w:rsid w:val="008A4B08"/>
    <w:rsid w:val="008A4B5F"/>
    <w:rsid w:val="008A4BFE"/>
    <w:rsid w:val="008A4D36"/>
    <w:rsid w:val="008A503C"/>
    <w:rsid w:val="008A509E"/>
    <w:rsid w:val="008A5B52"/>
    <w:rsid w:val="008A6FC6"/>
    <w:rsid w:val="008A791E"/>
    <w:rsid w:val="008B0488"/>
    <w:rsid w:val="008B15C6"/>
    <w:rsid w:val="008B24E2"/>
    <w:rsid w:val="008B32DC"/>
    <w:rsid w:val="008B3344"/>
    <w:rsid w:val="008B3E18"/>
    <w:rsid w:val="008B3FF5"/>
    <w:rsid w:val="008B48C4"/>
    <w:rsid w:val="008B4A04"/>
    <w:rsid w:val="008B4B03"/>
    <w:rsid w:val="008B5152"/>
    <w:rsid w:val="008B583E"/>
    <w:rsid w:val="008B5DA6"/>
    <w:rsid w:val="008B5F80"/>
    <w:rsid w:val="008B6265"/>
    <w:rsid w:val="008B6DD9"/>
    <w:rsid w:val="008C0E3D"/>
    <w:rsid w:val="008C0E4C"/>
    <w:rsid w:val="008C12EA"/>
    <w:rsid w:val="008C1462"/>
    <w:rsid w:val="008C1D05"/>
    <w:rsid w:val="008C223A"/>
    <w:rsid w:val="008C23CB"/>
    <w:rsid w:val="008C2483"/>
    <w:rsid w:val="008C2B96"/>
    <w:rsid w:val="008C2CAD"/>
    <w:rsid w:val="008C2D78"/>
    <w:rsid w:val="008C3E01"/>
    <w:rsid w:val="008C44C3"/>
    <w:rsid w:val="008C47A2"/>
    <w:rsid w:val="008C5622"/>
    <w:rsid w:val="008C58B0"/>
    <w:rsid w:val="008C681D"/>
    <w:rsid w:val="008C6B43"/>
    <w:rsid w:val="008C7054"/>
    <w:rsid w:val="008C7116"/>
    <w:rsid w:val="008C7AA6"/>
    <w:rsid w:val="008D0C4E"/>
    <w:rsid w:val="008D169C"/>
    <w:rsid w:val="008D1BC3"/>
    <w:rsid w:val="008D207A"/>
    <w:rsid w:val="008D2442"/>
    <w:rsid w:val="008D3095"/>
    <w:rsid w:val="008D3CE1"/>
    <w:rsid w:val="008D45B8"/>
    <w:rsid w:val="008D463F"/>
    <w:rsid w:val="008D493D"/>
    <w:rsid w:val="008D4B8D"/>
    <w:rsid w:val="008D5100"/>
    <w:rsid w:val="008D54D2"/>
    <w:rsid w:val="008D57A2"/>
    <w:rsid w:val="008D7761"/>
    <w:rsid w:val="008D7DF4"/>
    <w:rsid w:val="008E0DB0"/>
    <w:rsid w:val="008E0E8B"/>
    <w:rsid w:val="008E112D"/>
    <w:rsid w:val="008E1464"/>
    <w:rsid w:val="008E16D1"/>
    <w:rsid w:val="008E1C5D"/>
    <w:rsid w:val="008E31B8"/>
    <w:rsid w:val="008E3319"/>
    <w:rsid w:val="008E4419"/>
    <w:rsid w:val="008E48F7"/>
    <w:rsid w:val="008E4BE7"/>
    <w:rsid w:val="008E6C07"/>
    <w:rsid w:val="008E6DD9"/>
    <w:rsid w:val="008E7524"/>
    <w:rsid w:val="008E7607"/>
    <w:rsid w:val="008F007A"/>
    <w:rsid w:val="008F04EF"/>
    <w:rsid w:val="008F1176"/>
    <w:rsid w:val="008F1BB4"/>
    <w:rsid w:val="008F228B"/>
    <w:rsid w:val="008F291A"/>
    <w:rsid w:val="008F364C"/>
    <w:rsid w:val="008F41DF"/>
    <w:rsid w:val="008F46BC"/>
    <w:rsid w:val="008F4F86"/>
    <w:rsid w:val="008F5A79"/>
    <w:rsid w:val="008F60BE"/>
    <w:rsid w:val="008F610B"/>
    <w:rsid w:val="008F68F8"/>
    <w:rsid w:val="008F6DBA"/>
    <w:rsid w:val="008F7857"/>
    <w:rsid w:val="008F7C81"/>
    <w:rsid w:val="008F7D17"/>
    <w:rsid w:val="009002FA"/>
    <w:rsid w:val="00900BEE"/>
    <w:rsid w:val="009010B6"/>
    <w:rsid w:val="00901A32"/>
    <w:rsid w:val="00902598"/>
    <w:rsid w:val="00904001"/>
    <w:rsid w:val="009043FB"/>
    <w:rsid w:val="00905010"/>
    <w:rsid w:val="00905943"/>
    <w:rsid w:val="00906D3E"/>
    <w:rsid w:val="0090732C"/>
    <w:rsid w:val="009074EB"/>
    <w:rsid w:val="009115B9"/>
    <w:rsid w:val="00912149"/>
    <w:rsid w:val="009131C9"/>
    <w:rsid w:val="00913399"/>
    <w:rsid w:val="00913774"/>
    <w:rsid w:val="00913DB5"/>
    <w:rsid w:val="00914E63"/>
    <w:rsid w:val="0091549C"/>
    <w:rsid w:val="0091618D"/>
    <w:rsid w:val="00916429"/>
    <w:rsid w:val="00916A5D"/>
    <w:rsid w:val="00916FEC"/>
    <w:rsid w:val="00917348"/>
    <w:rsid w:val="009174FE"/>
    <w:rsid w:val="00917963"/>
    <w:rsid w:val="00920E0C"/>
    <w:rsid w:val="00921169"/>
    <w:rsid w:val="00921A8D"/>
    <w:rsid w:val="00921E5B"/>
    <w:rsid w:val="00925394"/>
    <w:rsid w:val="00925516"/>
    <w:rsid w:val="009255B0"/>
    <w:rsid w:val="00925DB3"/>
    <w:rsid w:val="00926868"/>
    <w:rsid w:val="00926CA3"/>
    <w:rsid w:val="00927CBD"/>
    <w:rsid w:val="0093088A"/>
    <w:rsid w:val="00931066"/>
    <w:rsid w:val="009326AD"/>
    <w:rsid w:val="00932BA0"/>
    <w:rsid w:val="009338F5"/>
    <w:rsid w:val="00933F03"/>
    <w:rsid w:val="009359D9"/>
    <w:rsid w:val="00935A5E"/>
    <w:rsid w:val="00936601"/>
    <w:rsid w:val="0093677E"/>
    <w:rsid w:val="00937D89"/>
    <w:rsid w:val="0094064F"/>
    <w:rsid w:val="00940DD9"/>
    <w:rsid w:val="0094314B"/>
    <w:rsid w:val="0094368E"/>
    <w:rsid w:val="009443F9"/>
    <w:rsid w:val="00944C09"/>
    <w:rsid w:val="00944DB2"/>
    <w:rsid w:val="00945C0C"/>
    <w:rsid w:val="00945EA6"/>
    <w:rsid w:val="00946217"/>
    <w:rsid w:val="00950EB9"/>
    <w:rsid w:val="00950F8D"/>
    <w:rsid w:val="0095128C"/>
    <w:rsid w:val="009518FA"/>
    <w:rsid w:val="00951D2A"/>
    <w:rsid w:val="009535D5"/>
    <w:rsid w:val="00956920"/>
    <w:rsid w:val="00957049"/>
    <w:rsid w:val="00957473"/>
    <w:rsid w:val="00960F30"/>
    <w:rsid w:val="009612D2"/>
    <w:rsid w:val="0096155A"/>
    <w:rsid w:val="0096156E"/>
    <w:rsid w:val="009618A4"/>
    <w:rsid w:val="00962084"/>
    <w:rsid w:val="00962ACE"/>
    <w:rsid w:val="00962BE8"/>
    <w:rsid w:val="00964211"/>
    <w:rsid w:val="009646ED"/>
    <w:rsid w:val="00964A50"/>
    <w:rsid w:val="009660C1"/>
    <w:rsid w:val="00966652"/>
    <w:rsid w:val="009703D8"/>
    <w:rsid w:val="00972266"/>
    <w:rsid w:val="00973196"/>
    <w:rsid w:val="00973499"/>
    <w:rsid w:val="009736BE"/>
    <w:rsid w:val="00973E18"/>
    <w:rsid w:val="00973E8C"/>
    <w:rsid w:val="0097440B"/>
    <w:rsid w:val="00975978"/>
    <w:rsid w:val="00975CC9"/>
    <w:rsid w:val="00976067"/>
    <w:rsid w:val="00976513"/>
    <w:rsid w:val="00976AD3"/>
    <w:rsid w:val="00980B03"/>
    <w:rsid w:val="00981995"/>
    <w:rsid w:val="00981F9F"/>
    <w:rsid w:val="009827DE"/>
    <w:rsid w:val="00982883"/>
    <w:rsid w:val="00982DF8"/>
    <w:rsid w:val="00983611"/>
    <w:rsid w:val="00983706"/>
    <w:rsid w:val="009839DA"/>
    <w:rsid w:val="0098482E"/>
    <w:rsid w:val="0098493C"/>
    <w:rsid w:val="00984AEC"/>
    <w:rsid w:val="0098504E"/>
    <w:rsid w:val="009854B1"/>
    <w:rsid w:val="009859A1"/>
    <w:rsid w:val="00985D26"/>
    <w:rsid w:val="00985DBC"/>
    <w:rsid w:val="00985EF6"/>
    <w:rsid w:val="00986FB6"/>
    <w:rsid w:val="009906A2"/>
    <w:rsid w:val="009909D8"/>
    <w:rsid w:val="00990C60"/>
    <w:rsid w:val="00990D9A"/>
    <w:rsid w:val="00990FD1"/>
    <w:rsid w:val="009911A4"/>
    <w:rsid w:val="0099183E"/>
    <w:rsid w:val="00992243"/>
    <w:rsid w:val="00993809"/>
    <w:rsid w:val="00994D18"/>
    <w:rsid w:val="00996D79"/>
    <w:rsid w:val="00996FC0"/>
    <w:rsid w:val="009971CC"/>
    <w:rsid w:val="009974E2"/>
    <w:rsid w:val="009975F7"/>
    <w:rsid w:val="009A0234"/>
    <w:rsid w:val="009A0515"/>
    <w:rsid w:val="009A0E6B"/>
    <w:rsid w:val="009A1126"/>
    <w:rsid w:val="009A17B8"/>
    <w:rsid w:val="009A1A14"/>
    <w:rsid w:val="009A27F2"/>
    <w:rsid w:val="009A2E75"/>
    <w:rsid w:val="009A3188"/>
    <w:rsid w:val="009A3385"/>
    <w:rsid w:val="009A3F83"/>
    <w:rsid w:val="009A42E8"/>
    <w:rsid w:val="009A43C2"/>
    <w:rsid w:val="009A462C"/>
    <w:rsid w:val="009A4768"/>
    <w:rsid w:val="009A622F"/>
    <w:rsid w:val="009A6691"/>
    <w:rsid w:val="009A6822"/>
    <w:rsid w:val="009A6A80"/>
    <w:rsid w:val="009A6AF0"/>
    <w:rsid w:val="009A6BBA"/>
    <w:rsid w:val="009A7BBA"/>
    <w:rsid w:val="009B14B0"/>
    <w:rsid w:val="009B329F"/>
    <w:rsid w:val="009B3FE6"/>
    <w:rsid w:val="009B4CBB"/>
    <w:rsid w:val="009B4F0E"/>
    <w:rsid w:val="009B530A"/>
    <w:rsid w:val="009B60B2"/>
    <w:rsid w:val="009B62A9"/>
    <w:rsid w:val="009B64DE"/>
    <w:rsid w:val="009B6B1F"/>
    <w:rsid w:val="009B6C89"/>
    <w:rsid w:val="009C139E"/>
    <w:rsid w:val="009C3692"/>
    <w:rsid w:val="009C3DB3"/>
    <w:rsid w:val="009C4057"/>
    <w:rsid w:val="009C5190"/>
    <w:rsid w:val="009C64F0"/>
    <w:rsid w:val="009C7008"/>
    <w:rsid w:val="009C77BF"/>
    <w:rsid w:val="009D02AD"/>
    <w:rsid w:val="009D0561"/>
    <w:rsid w:val="009D1C62"/>
    <w:rsid w:val="009D1CCA"/>
    <w:rsid w:val="009D1EE0"/>
    <w:rsid w:val="009D2B93"/>
    <w:rsid w:val="009D2E17"/>
    <w:rsid w:val="009D3AE1"/>
    <w:rsid w:val="009D3ECE"/>
    <w:rsid w:val="009D3FE6"/>
    <w:rsid w:val="009D4871"/>
    <w:rsid w:val="009D4ABB"/>
    <w:rsid w:val="009D5737"/>
    <w:rsid w:val="009D5766"/>
    <w:rsid w:val="009D586A"/>
    <w:rsid w:val="009D5ED7"/>
    <w:rsid w:val="009D7BAB"/>
    <w:rsid w:val="009E113A"/>
    <w:rsid w:val="009E1437"/>
    <w:rsid w:val="009E16B7"/>
    <w:rsid w:val="009E21E0"/>
    <w:rsid w:val="009E2788"/>
    <w:rsid w:val="009E36EC"/>
    <w:rsid w:val="009E434E"/>
    <w:rsid w:val="009E4A37"/>
    <w:rsid w:val="009E6C2C"/>
    <w:rsid w:val="009F00DF"/>
    <w:rsid w:val="009F13A0"/>
    <w:rsid w:val="009F1AC4"/>
    <w:rsid w:val="009F1EA4"/>
    <w:rsid w:val="009F219C"/>
    <w:rsid w:val="009F292E"/>
    <w:rsid w:val="009F2B2A"/>
    <w:rsid w:val="009F3619"/>
    <w:rsid w:val="009F3829"/>
    <w:rsid w:val="009F46F6"/>
    <w:rsid w:val="009F4AC1"/>
    <w:rsid w:val="009F51AA"/>
    <w:rsid w:val="009F5439"/>
    <w:rsid w:val="009F590E"/>
    <w:rsid w:val="009F5C2F"/>
    <w:rsid w:val="009F6171"/>
    <w:rsid w:val="009F66E1"/>
    <w:rsid w:val="009F6B37"/>
    <w:rsid w:val="009F7AF1"/>
    <w:rsid w:val="00A0078E"/>
    <w:rsid w:val="00A00BB8"/>
    <w:rsid w:val="00A013DD"/>
    <w:rsid w:val="00A017A4"/>
    <w:rsid w:val="00A020AE"/>
    <w:rsid w:val="00A03239"/>
    <w:rsid w:val="00A039DB"/>
    <w:rsid w:val="00A03AA4"/>
    <w:rsid w:val="00A0432C"/>
    <w:rsid w:val="00A049EE"/>
    <w:rsid w:val="00A04CD8"/>
    <w:rsid w:val="00A050B8"/>
    <w:rsid w:val="00A0607D"/>
    <w:rsid w:val="00A07F02"/>
    <w:rsid w:val="00A11E39"/>
    <w:rsid w:val="00A1289D"/>
    <w:rsid w:val="00A12CE4"/>
    <w:rsid w:val="00A13721"/>
    <w:rsid w:val="00A13A57"/>
    <w:rsid w:val="00A13D16"/>
    <w:rsid w:val="00A14DB1"/>
    <w:rsid w:val="00A14EAE"/>
    <w:rsid w:val="00A158E3"/>
    <w:rsid w:val="00A16C7E"/>
    <w:rsid w:val="00A17A38"/>
    <w:rsid w:val="00A20883"/>
    <w:rsid w:val="00A210B2"/>
    <w:rsid w:val="00A213EC"/>
    <w:rsid w:val="00A226D0"/>
    <w:rsid w:val="00A23245"/>
    <w:rsid w:val="00A23B24"/>
    <w:rsid w:val="00A23B29"/>
    <w:rsid w:val="00A25539"/>
    <w:rsid w:val="00A25AC4"/>
    <w:rsid w:val="00A25E51"/>
    <w:rsid w:val="00A26888"/>
    <w:rsid w:val="00A2697B"/>
    <w:rsid w:val="00A26C80"/>
    <w:rsid w:val="00A275AF"/>
    <w:rsid w:val="00A275EE"/>
    <w:rsid w:val="00A27619"/>
    <w:rsid w:val="00A30452"/>
    <w:rsid w:val="00A33A0F"/>
    <w:rsid w:val="00A33E5A"/>
    <w:rsid w:val="00A34FBA"/>
    <w:rsid w:val="00A3618A"/>
    <w:rsid w:val="00A36CA4"/>
    <w:rsid w:val="00A37B35"/>
    <w:rsid w:val="00A37CBD"/>
    <w:rsid w:val="00A40902"/>
    <w:rsid w:val="00A4090A"/>
    <w:rsid w:val="00A40D44"/>
    <w:rsid w:val="00A412F1"/>
    <w:rsid w:val="00A415A3"/>
    <w:rsid w:val="00A41845"/>
    <w:rsid w:val="00A422C4"/>
    <w:rsid w:val="00A4384D"/>
    <w:rsid w:val="00A43902"/>
    <w:rsid w:val="00A439A2"/>
    <w:rsid w:val="00A440A6"/>
    <w:rsid w:val="00A440CB"/>
    <w:rsid w:val="00A445DE"/>
    <w:rsid w:val="00A472C6"/>
    <w:rsid w:val="00A50D38"/>
    <w:rsid w:val="00A51D04"/>
    <w:rsid w:val="00A52477"/>
    <w:rsid w:val="00A52528"/>
    <w:rsid w:val="00A52A59"/>
    <w:rsid w:val="00A52BAF"/>
    <w:rsid w:val="00A53C99"/>
    <w:rsid w:val="00A5412E"/>
    <w:rsid w:val="00A541A4"/>
    <w:rsid w:val="00A54B38"/>
    <w:rsid w:val="00A54B8A"/>
    <w:rsid w:val="00A5511D"/>
    <w:rsid w:val="00A553B1"/>
    <w:rsid w:val="00A562BF"/>
    <w:rsid w:val="00A56F69"/>
    <w:rsid w:val="00A574FD"/>
    <w:rsid w:val="00A60EE8"/>
    <w:rsid w:val="00A6224D"/>
    <w:rsid w:val="00A62A5F"/>
    <w:rsid w:val="00A62C54"/>
    <w:rsid w:val="00A62DD8"/>
    <w:rsid w:val="00A64020"/>
    <w:rsid w:val="00A64A6F"/>
    <w:rsid w:val="00A65B8B"/>
    <w:rsid w:val="00A65C9E"/>
    <w:rsid w:val="00A663B1"/>
    <w:rsid w:val="00A6761D"/>
    <w:rsid w:val="00A67737"/>
    <w:rsid w:val="00A705AA"/>
    <w:rsid w:val="00A7078D"/>
    <w:rsid w:val="00A70F8B"/>
    <w:rsid w:val="00A712C0"/>
    <w:rsid w:val="00A7222E"/>
    <w:rsid w:val="00A72698"/>
    <w:rsid w:val="00A72F35"/>
    <w:rsid w:val="00A7376B"/>
    <w:rsid w:val="00A7468E"/>
    <w:rsid w:val="00A75387"/>
    <w:rsid w:val="00A7556F"/>
    <w:rsid w:val="00A75DE6"/>
    <w:rsid w:val="00A7668C"/>
    <w:rsid w:val="00A76757"/>
    <w:rsid w:val="00A76A6F"/>
    <w:rsid w:val="00A76F13"/>
    <w:rsid w:val="00A77256"/>
    <w:rsid w:val="00A7795E"/>
    <w:rsid w:val="00A80C95"/>
    <w:rsid w:val="00A81265"/>
    <w:rsid w:val="00A8159F"/>
    <w:rsid w:val="00A819B5"/>
    <w:rsid w:val="00A81A80"/>
    <w:rsid w:val="00A81E70"/>
    <w:rsid w:val="00A822FA"/>
    <w:rsid w:val="00A82FA8"/>
    <w:rsid w:val="00A84C07"/>
    <w:rsid w:val="00A85108"/>
    <w:rsid w:val="00A85822"/>
    <w:rsid w:val="00A859CA"/>
    <w:rsid w:val="00A862A8"/>
    <w:rsid w:val="00A87370"/>
    <w:rsid w:val="00A901B8"/>
    <w:rsid w:val="00A9190C"/>
    <w:rsid w:val="00A91968"/>
    <w:rsid w:val="00A92984"/>
    <w:rsid w:val="00A93C48"/>
    <w:rsid w:val="00A9464F"/>
    <w:rsid w:val="00A96191"/>
    <w:rsid w:val="00A96564"/>
    <w:rsid w:val="00A9681C"/>
    <w:rsid w:val="00A96B55"/>
    <w:rsid w:val="00A96C89"/>
    <w:rsid w:val="00A96F20"/>
    <w:rsid w:val="00A976A2"/>
    <w:rsid w:val="00AA26D5"/>
    <w:rsid w:val="00AA2B67"/>
    <w:rsid w:val="00AA2B73"/>
    <w:rsid w:val="00AA3730"/>
    <w:rsid w:val="00AA3E90"/>
    <w:rsid w:val="00AA3EFD"/>
    <w:rsid w:val="00AA4067"/>
    <w:rsid w:val="00AA500A"/>
    <w:rsid w:val="00AA523A"/>
    <w:rsid w:val="00AA61D2"/>
    <w:rsid w:val="00AA7142"/>
    <w:rsid w:val="00AA7492"/>
    <w:rsid w:val="00AA768D"/>
    <w:rsid w:val="00AB034C"/>
    <w:rsid w:val="00AB153B"/>
    <w:rsid w:val="00AB2C8D"/>
    <w:rsid w:val="00AB3137"/>
    <w:rsid w:val="00AB3200"/>
    <w:rsid w:val="00AB417A"/>
    <w:rsid w:val="00AB43B8"/>
    <w:rsid w:val="00AB4428"/>
    <w:rsid w:val="00AB461C"/>
    <w:rsid w:val="00AB4836"/>
    <w:rsid w:val="00AB71CE"/>
    <w:rsid w:val="00AB7553"/>
    <w:rsid w:val="00AC16A4"/>
    <w:rsid w:val="00AC2672"/>
    <w:rsid w:val="00AC27F4"/>
    <w:rsid w:val="00AC2A89"/>
    <w:rsid w:val="00AC34C7"/>
    <w:rsid w:val="00AC513F"/>
    <w:rsid w:val="00AC52E9"/>
    <w:rsid w:val="00AC657D"/>
    <w:rsid w:val="00AC6770"/>
    <w:rsid w:val="00AC7273"/>
    <w:rsid w:val="00AC7700"/>
    <w:rsid w:val="00AC7A5C"/>
    <w:rsid w:val="00AD0068"/>
    <w:rsid w:val="00AD0DD1"/>
    <w:rsid w:val="00AD13FA"/>
    <w:rsid w:val="00AD166F"/>
    <w:rsid w:val="00AD1A2E"/>
    <w:rsid w:val="00AD267E"/>
    <w:rsid w:val="00AD29B5"/>
    <w:rsid w:val="00AD30AB"/>
    <w:rsid w:val="00AD45C2"/>
    <w:rsid w:val="00AD509E"/>
    <w:rsid w:val="00AD51F5"/>
    <w:rsid w:val="00AD5528"/>
    <w:rsid w:val="00AD5BC8"/>
    <w:rsid w:val="00AD62F6"/>
    <w:rsid w:val="00AD6503"/>
    <w:rsid w:val="00AD68F3"/>
    <w:rsid w:val="00AD6CCD"/>
    <w:rsid w:val="00AD78CF"/>
    <w:rsid w:val="00AE0B6A"/>
    <w:rsid w:val="00AE38F2"/>
    <w:rsid w:val="00AE4D0B"/>
    <w:rsid w:val="00AE58F8"/>
    <w:rsid w:val="00AE5974"/>
    <w:rsid w:val="00AE5F12"/>
    <w:rsid w:val="00AE6B78"/>
    <w:rsid w:val="00AE759A"/>
    <w:rsid w:val="00AF0478"/>
    <w:rsid w:val="00AF06B9"/>
    <w:rsid w:val="00AF0925"/>
    <w:rsid w:val="00AF10C8"/>
    <w:rsid w:val="00AF11C0"/>
    <w:rsid w:val="00AF1DC7"/>
    <w:rsid w:val="00AF2A3F"/>
    <w:rsid w:val="00AF2DF6"/>
    <w:rsid w:val="00AF35AA"/>
    <w:rsid w:val="00AF3A22"/>
    <w:rsid w:val="00AF3ECB"/>
    <w:rsid w:val="00AF5843"/>
    <w:rsid w:val="00AF5D0A"/>
    <w:rsid w:val="00AF6184"/>
    <w:rsid w:val="00AF6546"/>
    <w:rsid w:val="00AF6DD2"/>
    <w:rsid w:val="00AF7B4E"/>
    <w:rsid w:val="00AF7E6B"/>
    <w:rsid w:val="00B01741"/>
    <w:rsid w:val="00B01D9E"/>
    <w:rsid w:val="00B027B5"/>
    <w:rsid w:val="00B03368"/>
    <w:rsid w:val="00B0342B"/>
    <w:rsid w:val="00B043BD"/>
    <w:rsid w:val="00B05153"/>
    <w:rsid w:val="00B05FE2"/>
    <w:rsid w:val="00B06A9F"/>
    <w:rsid w:val="00B076A8"/>
    <w:rsid w:val="00B10537"/>
    <w:rsid w:val="00B11511"/>
    <w:rsid w:val="00B12252"/>
    <w:rsid w:val="00B12572"/>
    <w:rsid w:val="00B125CA"/>
    <w:rsid w:val="00B12EBA"/>
    <w:rsid w:val="00B130BF"/>
    <w:rsid w:val="00B13B91"/>
    <w:rsid w:val="00B13E94"/>
    <w:rsid w:val="00B14087"/>
    <w:rsid w:val="00B142E2"/>
    <w:rsid w:val="00B16529"/>
    <w:rsid w:val="00B165AC"/>
    <w:rsid w:val="00B16B60"/>
    <w:rsid w:val="00B16C06"/>
    <w:rsid w:val="00B16CE6"/>
    <w:rsid w:val="00B17CA3"/>
    <w:rsid w:val="00B201AA"/>
    <w:rsid w:val="00B20C0A"/>
    <w:rsid w:val="00B21632"/>
    <w:rsid w:val="00B22B1F"/>
    <w:rsid w:val="00B22EF8"/>
    <w:rsid w:val="00B246F4"/>
    <w:rsid w:val="00B24A04"/>
    <w:rsid w:val="00B25211"/>
    <w:rsid w:val="00B26210"/>
    <w:rsid w:val="00B27D76"/>
    <w:rsid w:val="00B27E22"/>
    <w:rsid w:val="00B302B4"/>
    <w:rsid w:val="00B302CF"/>
    <w:rsid w:val="00B30F0B"/>
    <w:rsid w:val="00B318F7"/>
    <w:rsid w:val="00B32615"/>
    <w:rsid w:val="00B32AB9"/>
    <w:rsid w:val="00B32ED0"/>
    <w:rsid w:val="00B34378"/>
    <w:rsid w:val="00B349D0"/>
    <w:rsid w:val="00B35F79"/>
    <w:rsid w:val="00B371D0"/>
    <w:rsid w:val="00B374EF"/>
    <w:rsid w:val="00B3795F"/>
    <w:rsid w:val="00B37ED3"/>
    <w:rsid w:val="00B4047B"/>
    <w:rsid w:val="00B40682"/>
    <w:rsid w:val="00B40773"/>
    <w:rsid w:val="00B40900"/>
    <w:rsid w:val="00B425A3"/>
    <w:rsid w:val="00B442B2"/>
    <w:rsid w:val="00B46286"/>
    <w:rsid w:val="00B464D3"/>
    <w:rsid w:val="00B46A09"/>
    <w:rsid w:val="00B47903"/>
    <w:rsid w:val="00B501CE"/>
    <w:rsid w:val="00B50486"/>
    <w:rsid w:val="00B5084F"/>
    <w:rsid w:val="00B50926"/>
    <w:rsid w:val="00B52126"/>
    <w:rsid w:val="00B53548"/>
    <w:rsid w:val="00B537B2"/>
    <w:rsid w:val="00B53901"/>
    <w:rsid w:val="00B54E72"/>
    <w:rsid w:val="00B55A97"/>
    <w:rsid w:val="00B5676F"/>
    <w:rsid w:val="00B579B4"/>
    <w:rsid w:val="00B60B32"/>
    <w:rsid w:val="00B620D5"/>
    <w:rsid w:val="00B62C41"/>
    <w:rsid w:val="00B6332D"/>
    <w:rsid w:val="00B63EF1"/>
    <w:rsid w:val="00B64739"/>
    <w:rsid w:val="00B648FB"/>
    <w:rsid w:val="00B64D43"/>
    <w:rsid w:val="00B64E66"/>
    <w:rsid w:val="00B65322"/>
    <w:rsid w:val="00B65992"/>
    <w:rsid w:val="00B67DAA"/>
    <w:rsid w:val="00B70229"/>
    <w:rsid w:val="00B709C5"/>
    <w:rsid w:val="00B7320C"/>
    <w:rsid w:val="00B7540B"/>
    <w:rsid w:val="00B75B6A"/>
    <w:rsid w:val="00B75F29"/>
    <w:rsid w:val="00B76A22"/>
    <w:rsid w:val="00B77EF8"/>
    <w:rsid w:val="00B811FC"/>
    <w:rsid w:val="00B8129A"/>
    <w:rsid w:val="00B82B95"/>
    <w:rsid w:val="00B83ACA"/>
    <w:rsid w:val="00B83CAC"/>
    <w:rsid w:val="00B848EB"/>
    <w:rsid w:val="00B84EF3"/>
    <w:rsid w:val="00B8532D"/>
    <w:rsid w:val="00B85B4D"/>
    <w:rsid w:val="00B86306"/>
    <w:rsid w:val="00B8646C"/>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4A"/>
    <w:rsid w:val="00B970DF"/>
    <w:rsid w:val="00B974AA"/>
    <w:rsid w:val="00B97745"/>
    <w:rsid w:val="00B97F1D"/>
    <w:rsid w:val="00BA0C5F"/>
    <w:rsid w:val="00BA19F6"/>
    <w:rsid w:val="00BA2415"/>
    <w:rsid w:val="00BA29A9"/>
    <w:rsid w:val="00BA2A8E"/>
    <w:rsid w:val="00BA3D2F"/>
    <w:rsid w:val="00BA40F9"/>
    <w:rsid w:val="00BA5101"/>
    <w:rsid w:val="00BA52E7"/>
    <w:rsid w:val="00BA637E"/>
    <w:rsid w:val="00BA74C7"/>
    <w:rsid w:val="00BB1D91"/>
    <w:rsid w:val="00BB38BF"/>
    <w:rsid w:val="00BB4176"/>
    <w:rsid w:val="00BB4892"/>
    <w:rsid w:val="00BB4FA8"/>
    <w:rsid w:val="00BB55FF"/>
    <w:rsid w:val="00BB5BEF"/>
    <w:rsid w:val="00BB5E9C"/>
    <w:rsid w:val="00BB5EB6"/>
    <w:rsid w:val="00BB67E0"/>
    <w:rsid w:val="00BB6FF0"/>
    <w:rsid w:val="00BC0506"/>
    <w:rsid w:val="00BC167A"/>
    <w:rsid w:val="00BC1ABE"/>
    <w:rsid w:val="00BC295D"/>
    <w:rsid w:val="00BC39EF"/>
    <w:rsid w:val="00BC4778"/>
    <w:rsid w:val="00BC498F"/>
    <w:rsid w:val="00BC502F"/>
    <w:rsid w:val="00BC6EB4"/>
    <w:rsid w:val="00BC737D"/>
    <w:rsid w:val="00BC7B33"/>
    <w:rsid w:val="00BD06BD"/>
    <w:rsid w:val="00BD0781"/>
    <w:rsid w:val="00BD0A58"/>
    <w:rsid w:val="00BD23B7"/>
    <w:rsid w:val="00BD2BD6"/>
    <w:rsid w:val="00BD3123"/>
    <w:rsid w:val="00BD33C6"/>
    <w:rsid w:val="00BD3A91"/>
    <w:rsid w:val="00BD47C0"/>
    <w:rsid w:val="00BD4D74"/>
    <w:rsid w:val="00BD6E7C"/>
    <w:rsid w:val="00BD753F"/>
    <w:rsid w:val="00BE0860"/>
    <w:rsid w:val="00BE1383"/>
    <w:rsid w:val="00BE355E"/>
    <w:rsid w:val="00BE47A4"/>
    <w:rsid w:val="00BE4BBA"/>
    <w:rsid w:val="00BE559D"/>
    <w:rsid w:val="00BE58F6"/>
    <w:rsid w:val="00BE64C0"/>
    <w:rsid w:val="00BE6530"/>
    <w:rsid w:val="00BE6538"/>
    <w:rsid w:val="00BE6AAD"/>
    <w:rsid w:val="00BE6D01"/>
    <w:rsid w:val="00BF02BF"/>
    <w:rsid w:val="00BF1DE6"/>
    <w:rsid w:val="00BF2084"/>
    <w:rsid w:val="00BF2768"/>
    <w:rsid w:val="00BF2E61"/>
    <w:rsid w:val="00BF3104"/>
    <w:rsid w:val="00BF31A6"/>
    <w:rsid w:val="00BF4AA6"/>
    <w:rsid w:val="00BF4B4F"/>
    <w:rsid w:val="00BF5055"/>
    <w:rsid w:val="00BF52DB"/>
    <w:rsid w:val="00BF7FD7"/>
    <w:rsid w:val="00C01FFB"/>
    <w:rsid w:val="00C04C44"/>
    <w:rsid w:val="00C056F1"/>
    <w:rsid w:val="00C058E4"/>
    <w:rsid w:val="00C06183"/>
    <w:rsid w:val="00C062B9"/>
    <w:rsid w:val="00C06B4B"/>
    <w:rsid w:val="00C10359"/>
    <w:rsid w:val="00C10431"/>
    <w:rsid w:val="00C10B6E"/>
    <w:rsid w:val="00C111FD"/>
    <w:rsid w:val="00C12970"/>
    <w:rsid w:val="00C13014"/>
    <w:rsid w:val="00C141C4"/>
    <w:rsid w:val="00C149AA"/>
    <w:rsid w:val="00C15617"/>
    <w:rsid w:val="00C15872"/>
    <w:rsid w:val="00C15C78"/>
    <w:rsid w:val="00C15FBB"/>
    <w:rsid w:val="00C165E9"/>
    <w:rsid w:val="00C16656"/>
    <w:rsid w:val="00C168C5"/>
    <w:rsid w:val="00C16E86"/>
    <w:rsid w:val="00C203A1"/>
    <w:rsid w:val="00C20711"/>
    <w:rsid w:val="00C20BEE"/>
    <w:rsid w:val="00C20C5B"/>
    <w:rsid w:val="00C20CEE"/>
    <w:rsid w:val="00C20D4B"/>
    <w:rsid w:val="00C211E4"/>
    <w:rsid w:val="00C219F5"/>
    <w:rsid w:val="00C21A59"/>
    <w:rsid w:val="00C222B9"/>
    <w:rsid w:val="00C23343"/>
    <w:rsid w:val="00C23A8D"/>
    <w:rsid w:val="00C23D5D"/>
    <w:rsid w:val="00C247A3"/>
    <w:rsid w:val="00C252B8"/>
    <w:rsid w:val="00C26228"/>
    <w:rsid w:val="00C2646E"/>
    <w:rsid w:val="00C26F92"/>
    <w:rsid w:val="00C27DFD"/>
    <w:rsid w:val="00C27F2F"/>
    <w:rsid w:val="00C3016B"/>
    <w:rsid w:val="00C302AE"/>
    <w:rsid w:val="00C30456"/>
    <w:rsid w:val="00C3077C"/>
    <w:rsid w:val="00C30DA5"/>
    <w:rsid w:val="00C30DDA"/>
    <w:rsid w:val="00C31264"/>
    <w:rsid w:val="00C31BCA"/>
    <w:rsid w:val="00C31EB5"/>
    <w:rsid w:val="00C35F17"/>
    <w:rsid w:val="00C3797B"/>
    <w:rsid w:val="00C40398"/>
    <w:rsid w:val="00C4068B"/>
    <w:rsid w:val="00C413A8"/>
    <w:rsid w:val="00C42187"/>
    <w:rsid w:val="00C4220D"/>
    <w:rsid w:val="00C422A4"/>
    <w:rsid w:val="00C434BE"/>
    <w:rsid w:val="00C43611"/>
    <w:rsid w:val="00C44867"/>
    <w:rsid w:val="00C46665"/>
    <w:rsid w:val="00C46DF7"/>
    <w:rsid w:val="00C47471"/>
    <w:rsid w:val="00C47DE5"/>
    <w:rsid w:val="00C50503"/>
    <w:rsid w:val="00C510C2"/>
    <w:rsid w:val="00C51168"/>
    <w:rsid w:val="00C51820"/>
    <w:rsid w:val="00C518D2"/>
    <w:rsid w:val="00C521F3"/>
    <w:rsid w:val="00C52F16"/>
    <w:rsid w:val="00C52F7B"/>
    <w:rsid w:val="00C5311D"/>
    <w:rsid w:val="00C54BD4"/>
    <w:rsid w:val="00C55668"/>
    <w:rsid w:val="00C55D3A"/>
    <w:rsid w:val="00C562DF"/>
    <w:rsid w:val="00C567DE"/>
    <w:rsid w:val="00C567F0"/>
    <w:rsid w:val="00C57895"/>
    <w:rsid w:val="00C6025F"/>
    <w:rsid w:val="00C608CE"/>
    <w:rsid w:val="00C60BE9"/>
    <w:rsid w:val="00C60F04"/>
    <w:rsid w:val="00C60F62"/>
    <w:rsid w:val="00C60FB3"/>
    <w:rsid w:val="00C61717"/>
    <w:rsid w:val="00C65160"/>
    <w:rsid w:val="00C65335"/>
    <w:rsid w:val="00C656F8"/>
    <w:rsid w:val="00C66916"/>
    <w:rsid w:val="00C67525"/>
    <w:rsid w:val="00C7003A"/>
    <w:rsid w:val="00C70304"/>
    <w:rsid w:val="00C70AB7"/>
    <w:rsid w:val="00C70B08"/>
    <w:rsid w:val="00C70F77"/>
    <w:rsid w:val="00C711C1"/>
    <w:rsid w:val="00C711D2"/>
    <w:rsid w:val="00C7166C"/>
    <w:rsid w:val="00C72BBD"/>
    <w:rsid w:val="00C7330E"/>
    <w:rsid w:val="00C73557"/>
    <w:rsid w:val="00C73F3A"/>
    <w:rsid w:val="00C7492B"/>
    <w:rsid w:val="00C74B09"/>
    <w:rsid w:val="00C74BE4"/>
    <w:rsid w:val="00C755BC"/>
    <w:rsid w:val="00C76746"/>
    <w:rsid w:val="00C7738C"/>
    <w:rsid w:val="00C77AFF"/>
    <w:rsid w:val="00C810DE"/>
    <w:rsid w:val="00C815C7"/>
    <w:rsid w:val="00C81BAD"/>
    <w:rsid w:val="00C825D3"/>
    <w:rsid w:val="00C82E73"/>
    <w:rsid w:val="00C82EE6"/>
    <w:rsid w:val="00C83F0C"/>
    <w:rsid w:val="00C84D31"/>
    <w:rsid w:val="00C84EEC"/>
    <w:rsid w:val="00C86AF2"/>
    <w:rsid w:val="00C86E87"/>
    <w:rsid w:val="00C87138"/>
    <w:rsid w:val="00C8773B"/>
    <w:rsid w:val="00C87B13"/>
    <w:rsid w:val="00C87B95"/>
    <w:rsid w:val="00C909DF"/>
    <w:rsid w:val="00C91A92"/>
    <w:rsid w:val="00C9292A"/>
    <w:rsid w:val="00C93653"/>
    <w:rsid w:val="00C936E0"/>
    <w:rsid w:val="00C93B16"/>
    <w:rsid w:val="00C93C9E"/>
    <w:rsid w:val="00C951F5"/>
    <w:rsid w:val="00C9776E"/>
    <w:rsid w:val="00CA03A4"/>
    <w:rsid w:val="00CA050B"/>
    <w:rsid w:val="00CA061E"/>
    <w:rsid w:val="00CA1200"/>
    <w:rsid w:val="00CA13CF"/>
    <w:rsid w:val="00CA223C"/>
    <w:rsid w:val="00CA264A"/>
    <w:rsid w:val="00CA3FC9"/>
    <w:rsid w:val="00CA432B"/>
    <w:rsid w:val="00CA4B01"/>
    <w:rsid w:val="00CA513E"/>
    <w:rsid w:val="00CA5427"/>
    <w:rsid w:val="00CA5B4F"/>
    <w:rsid w:val="00CA5F20"/>
    <w:rsid w:val="00CA7908"/>
    <w:rsid w:val="00CB07BE"/>
    <w:rsid w:val="00CB1494"/>
    <w:rsid w:val="00CB1A18"/>
    <w:rsid w:val="00CB20C3"/>
    <w:rsid w:val="00CB25A0"/>
    <w:rsid w:val="00CB2EB1"/>
    <w:rsid w:val="00CB3429"/>
    <w:rsid w:val="00CB361E"/>
    <w:rsid w:val="00CB41B1"/>
    <w:rsid w:val="00CB4D3E"/>
    <w:rsid w:val="00CB5DF8"/>
    <w:rsid w:val="00CB62DC"/>
    <w:rsid w:val="00CB64A9"/>
    <w:rsid w:val="00CB66AE"/>
    <w:rsid w:val="00CB688A"/>
    <w:rsid w:val="00CB6C7E"/>
    <w:rsid w:val="00CC14CF"/>
    <w:rsid w:val="00CC382B"/>
    <w:rsid w:val="00CC395B"/>
    <w:rsid w:val="00CC3BDF"/>
    <w:rsid w:val="00CC3D9D"/>
    <w:rsid w:val="00CC4008"/>
    <w:rsid w:val="00CC4287"/>
    <w:rsid w:val="00CC60E0"/>
    <w:rsid w:val="00CC67B2"/>
    <w:rsid w:val="00CC7573"/>
    <w:rsid w:val="00CC764B"/>
    <w:rsid w:val="00CD01FE"/>
    <w:rsid w:val="00CD03E0"/>
    <w:rsid w:val="00CD1CCF"/>
    <w:rsid w:val="00CD2CAC"/>
    <w:rsid w:val="00CD2DAF"/>
    <w:rsid w:val="00CD3241"/>
    <w:rsid w:val="00CD3404"/>
    <w:rsid w:val="00CD3934"/>
    <w:rsid w:val="00CD48E3"/>
    <w:rsid w:val="00CD54A3"/>
    <w:rsid w:val="00CD654D"/>
    <w:rsid w:val="00CD6600"/>
    <w:rsid w:val="00CD6C28"/>
    <w:rsid w:val="00CD7EFD"/>
    <w:rsid w:val="00CE043F"/>
    <w:rsid w:val="00CE1A63"/>
    <w:rsid w:val="00CE2515"/>
    <w:rsid w:val="00CE29BB"/>
    <w:rsid w:val="00CE5FDC"/>
    <w:rsid w:val="00CE62D1"/>
    <w:rsid w:val="00CE6D07"/>
    <w:rsid w:val="00CE6D0D"/>
    <w:rsid w:val="00CE7479"/>
    <w:rsid w:val="00CE77B2"/>
    <w:rsid w:val="00CF104A"/>
    <w:rsid w:val="00CF1083"/>
    <w:rsid w:val="00CF1D87"/>
    <w:rsid w:val="00CF1ED2"/>
    <w:rsid w:val="00CF26E4"/>
    <w:rsid w:val="00CF30E5"/>
    <w:rsid w:val="00CF3BEF"/>
    <w:rsid w:val="00CF3F9C"/>
    <w:rsid w:val="00CF5385"/>
    <w:rsid w:val="00CF57CB"/>
    <w:rsid w:val="00CF7239"/>
    <w:rsid w:val="00CF7A37"/>
    <w:rsid w:val="00D01E6F"/>
    <w:rsid w:val="00D02325"/>
    <w:rsid w:val="00D05725"/>
    <w:rsid w:val="00D05957"/>
    <w:rsid w:val="00D05964"/>
    <w:rsid w:val="00D05F2C"/>
    <w:rsid w:val="00D075DC"/>
    <w:rsid w:val="00D07B96"/>
    <w:rsid w:val="00D10197"/>
    <w:rsid w:val="00D10E01"/>
    <w:rsid w:val="00D11E5F"/>
    <w:rsid w:val="00D138D3"/>
    <w:rsid w:val="00D15AEE"/>
    <w:rsid w:val="00D16331"/>
    <w:rsid w:val="00D16FF3"/>
    <w:rsid w:val="00D17D19"/>
    <w:rsid w:val="00D2014A"/>
    <w:rsid w:val="00D215EC"/>
    <w:rsid w:val="00D21887"/>
    <w:rsid w:val="00D21F0A"/>
    <w:rsid w:val="00D22ADA"/>
    <w:rsid w:val="00D233A5"/>
    <w:rsid w:val="00D23EA6"/>
    <w:rsid w:val="00D2412B"/>
    <w:rsid w:val="00D242C7"/>
    <w:rsid w:val="00D24676"/>
    <w:rsid w:val="00D246DA"/>
    <w:rsid w:val="00D24E9E"/>
    <w:rsid w:val="00D255AF"/>
    <w:rsid w:val="00D2682C"/>
    <w:rsid w:val="00D26ABF"/>
    <w:rsid w:val="00D30D57"/>
    <w:rsid w:val="00D30F2F"/>
    <w:rsid w:val="00D325D4"/>
    <w:rsid w:val="00D32F46"/>
    <w:rsid w:val="00D33293"/>
    <w:rsid w:val="00D33FCB"/>
    <w:rsid w:val="00D34268"/>
    <w:rsid w:val="00D35480"/>
    <w:rsid w:val="00D35B95"/>
    <w:rsid w:val="00D35BF6"/>
    <w:rsid w:val="00D35E54"/>
    <w:rsid w:val="00D37B8B"/>
    <w:rsid w:val="00D37C4D"/>
    <w:rsid w:val="00D40043"/>
    <w:rsid w:val="00D40B6C"/>
    <w:rsid w:val="00D418BD"/>
    <w:rsid w:val="00D42B7F"/>
    <w:rsid w:val="00D4317B"/>
    <w:rsid w:val="00D43707"/>
    <w:rsid w:val="00D439CF"/>
    <w:rsid w:val="00D44FCB"/>
    <w:rsid w:val="00D4533A"/>
    <w:rsid w:val="00D45429"/>
    <w:rsid w:val="00D46003"/>
    <w:rsid w:val="00D4695C"/>
    <w:rsid w:val="00D46DC8"/>
    <w:rsid w:val="00D471E1"/>
    <w:rsid w:val="00D4722C"/>
    <w:rsid w:val="00D47617"/>
    <w:rsid w:val="00D5041C"/>
    <w:rsid w:val="00D507A0"/>
    <w:rsid w:val="00D5126D"/>
    <w:rsid w:val="00D512FB"/>
    <w:rsid w:val="00D5140F"/>
    <w:rsid w:val="00D515EB"/>
    <w:rsid w:val="00D51CFE"/>
    <w:rsid w:val="00D527A9"/>
    <w:rsid w:val="00D53027"/>
    <w:rsid w:val="00D5331A"/>
    <w:rsid w:val="00D53337"/>
    <w:rsid w:val="00D54BED"/>
    <w:rsid w:val="00D556D7"/>
    <w:rsid w:val="00D56393"/>
    <w:rsid w:val="00D57262"/>
    <w:rsid w:val="00D574DC"/>
    <w:rsid w:val="00D57824"/>
    <w:rsid w:val="00D57D95"/>
    <w:rsid w:val="00D60F26"/>
    <w:rsid w:val="00D61F0D"/>
    <w:rsid w:val="00D62862"/>
    <w:rsid w:val="00D6288A"/>
    <w:rsid w:val="00D62C5E"/>
    <w:rsid w:val="00D6351D"/>
    <w:rsid w:val="00D6358A"/>
    <w:rsid w:val="00D637BE"/>
    <w:rsid w:val="00D63A14"/>
    <w:rsid w:val="00D6431A"/>
    <w:rsid w:val="00D6474D"/>
    <w:rsid w:val="00D650BA"/>
    <w:rsid w:val="00D65225"/>
    <w:rsid w:val="00D6571D"/>
    <w:rsid w:val="00D6696C"/>
    <w:rsid w:val="00D67AC8"/>
    <w:rsid w:val="00D67EC3"/>
    <w:rsid w:val="00D7009E"/>
    <w:rsid w:val="00D70354"/>
    <w:rsid w:val="00D70A94"/>
    <w:rsid w:val="00D70C94"/>
    <w:rsid w:val="00D712FB"/>
    <w:rsid w:val="00D71A25"/>
    <w:rsid w:val="00D71F48"/>
    <w:rsid w:val="00D71FD1"/>
    <w:rsid w:val="00D7207C"/>
    <w:rsid w:val="00D728D8"/>
    <w:rsid w:val="00D72C69"/>
    <w:rsid w:val="00D73613"/>
    <w:rsid w:val="00D7406B"/>
    <w:rsid w:val="00D751D5"/>
    <w:rsid w:val="00D75FCC"/>
    <w:rsid w:val="00D76A8B"/>
    <w:rsid w:val="00D772BF"/>
    <w:rsid w:val="00D80BA4"/>
    <w:rsid w:val="00D818FD"/>
    <w:rsid w:val="00D81A09"/>
    <w:rsid w:val="00D81C84"/>
    <w:rsid w:val="00D81E14"/>
    <w:rsid w:val="00D81F6F"/>
    <w:rsid w:val="00D820A7"/>
    <w:rsid w:val="00D82E26"/>
    <w:rsid w:val="00D8305D"/>
    <w:rsid w:val="00D836E6"/>
    <w:rsid w:val="00D8384D"/>
    <w:rsid w:val="00D84D71"/>
    <w:rsid w:val="00D8582F"/>
    <w:rsid w:val="00D865CF"/>
    <w:rsid w:val="00D86DB8"/>
    <w:rsid w:val="00D8723D"/>
    <w:rsid w:val="00D87916"/>
    <w:rsid w:val="00D902D8"/>
    <w:rsid w:val="00D90E69"/>
    <w:rsid w:val="00D9112E"/>
    <w:rsid w:val="00D93134"/>
    <w:rsid w:val="00D9329F"/>
    <w:rsid w:val="00D933CE"/>
    <w:rsid w:val="00D93407"/>
    <w:rsid w:val="00D93CE6"/>
    <w:rsid w:val="00D96615"/>
    <w:rsid w:val="00D979BD"/>
    <w:rsid w:val="00D97D7E"/>
    <w:rsid w:val="00DA06A9"/>
    <w:rsid w:val="00DA13A1"/>
    <w:rsid w:val="00DA2242"/>
    <w:rsid w:val="00DA2731"/>
    <w:rsid w:val="00DA31C2"/>
    <w:rsid w:val="00DA377E"/>
    <w:rsid w:val="00DA3923"/>
    <w:rsid w:val="00DA3A47"/>
    <w:rsid w:val="00DA435F"/>
    <w:rsid w:val="00DA4ADF"/>
    <w:rsid w:val="00DA4CE6"/>
    <w:rsid w:val="00DA4E9A"/>
    <w:rsid w:val="00DA5160"/>
    <w:rsid w:val="00DA6009"/>
    <w:rsid w:val="00DA605D"/>
    <w:rsid w:val="00DA6BFD"/>
    <w:rsid w:val="00DA6DF9"/>
    <w:rsid w:val="00DA73D6"/>
    <w:rsid w:val="00DA7621"/>
    <w:rsid w:val="00DA7A86"/>
    <w:rsid w:val="00DA7B3C"/>
    <w:rsid w:val="00DB0DBB"/>
    <w:rsid w:val="00DB0DCF"/>
    <w:rsid w:val="00DB15FB"/>
    <w:rsid w:val="00DB17E8"/>
    <w:rsid w:val="00DB1DA4"/>
    <w:rsid w:val="00DB206E"/>
    <w:rsid w:val="00DB23C4"/>
    <w:rsid w:val="00DB3A2E"/>
    <w:rsid w:val="00DB41DE"/>
    <w:rsid w:val="00DB4CBA"/>
    <w:rsid w:val="00DB4FDA"/>
    <w:rsid w:val="00DB57B4"/>
    <w:rsid w:val="00DB59B1"/>
    <w:rsid w:val="00DB5D36"/>
    <w:rsid w:val="00DB61C3"/>
    <w:rsid w:val="00DB61D4"/>
    <w:rsid w:val="00DB7419"/>
    <w:rsid w:val="00DB7EB5"/>
    <w:rsid w:val="00DC1D20"/>
    <w:rsid w:val="00DC2651"/>
    <w:rsid w:val="00DC2689"/>
    <w:rsid w:val="00DC2B40"/>
    <w:rsid w:val="00DC2F03"/>
    <w:rsid w:val="00DC42DA"/>
    <w:rsid w:val="00DC4ED5"/>
    <w:rsid w:val="00DC548A"/>
    <w:rsid w:val="00DC5585"/>
    <w:rsid w:val="00DC635D"/>
    <w:rsid w:val="00DC6773"/>
    <w:rsid w:val="00DC6C3A"/>
    <w:rsid w:val="00DC6EB5"/>
    <w:rsid w:val="00DC7166"/>
    <w:rsid w:val="00DC767E"/>
    <w:rsid w:val="00DC76BA"/>
    <w:rsid w:val="00DC7E23"/>
    <w:rsid w:val="00DD05AF"/>
    <w:rsid w:val="00DD0847"/>
    <w:rsid w:val="00DD1AFE"/>
    <w:rsid w:val="00DD1D04"/>
    <w:rsid w:val="00DD351B"/>
    <w:rsid w:val="00DD351C"/>
    <w:rsid w:val="00DD3E16"/>
    <w:rsid w:val="00DD4D07"/>
    <w:rsid w:val="00DD57AF"/>
    <w:rsid w:val="00DD59A9"/>
    <w:rsid w:val="00DD6B9E"/>
    <w:rsid w:val="00DD70CC"/>
    <w:rsid w:val="00DD71A5"/>
    <w:rsid w:val="00DE0829"/>
    <w:rsid w:val="00DE0D77"/>
    <w:rsid w:val="00DE12E8"/>
    <w:rsid w:val="00DE1623"/>
    <w:rsid w:val="00DE1AF6"/>
    <w:rsid w:val="00DE1C48"/>
    <w:rsid w:val="00DE1EDA"/>
    <w:rsid w:val="00DE2215"/>
    <w:rsid w:val="00DE284E"/>
    <w:rsid w:val="00DE29C9"/>
    <w:rsid w:val="00DE3DCC"/>
    <w:rsid w:val="00DE4666"/>
    <w:rsid w:val="00DE560D"/>
    <w:rsid w:val="00DE6CD7"/>
    <w:rsid w:val="00DE7C04"/>
    <w:rsid w:val="00DF0912"/>
    <w:rsid w:val="00DF0F6E"/>
    <w:rsid w:val="00DF2D7C"/>
    <w:rsid w:val="00DF2D89"/>
    <w:rsid w:val="00DF2F6C"/>
    <w:rsid w:val="00DF3FE9"/>
    <w:rsid w:val="00DF4B2F"/>
    <w:rsid w:val="00DF5714"/>
    <w:rsid w:val="00DF62C4"/>
    <w:rsid w:val="00DF64F9"/>
    <w:rsid w:val="00DF7476"/>
    <w:rsid w:val="00DF7C41"/>
    <w:rsid w:val="00DF7CD2"/>
    <w:rsid w:val="00DF7F64"/>
    <w:rsid w:val="00E00084"/>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1366"/>
    <w:rsid w:val="00E1176A"/>
    <w:rsid w:val="00E11F34"/>
    <w:rsid w:val="00E125ED"/>
    <w:rsid w:val="00E12731"/>
    <w:rsid w:val="00E12BF0"/>
    <w:rsid w:val="00E12C91"/>
    <w:rsid w:val="00E135EE"/>
    <w:rsid w:val="00E13FF7"/>
    <w:rsid w:val="00E14D93"/>
    <w:rsid w:val="00E15C36"/>
    <w:rsid w:val="00E160A3"/>
    <w:rsid w:val="00E1790B"/>
    <w:rsid w:val="00E17AB3"/>
    <w:rsid w:val="00E17B1C"/>
    <w:rsid w:val="00E17E01"/>
    <w:rsid w:val="00E20AD1"/>
    <w:rsid w:val="00E21F50"/>
    <w:rsid w:val="00E22A1C"/>
    <w:rsid w:val="00E22A8A"/>
    <w:rsid w:val="00E22B38"/>
    <w:rsid w:val="00E23CD5"/>
    <w:rsid w:val="00E251CF"/>
    <w:rsid w:val="00E25511"/>
    <w:rsid w:val="00E26104"/>
    <w:rsid w:val="00E267C3"/>
    <w:rsid w:val="00E26B12"/>
    <w:rsid w:val="00E30238"/>
    <w:rsid w:val="00E30C27"/>
    <w:rsid w:val="00E30EE3"/>
    <w:rsid w:val="00E32208"/>
    <w:rsid w:val="00E32DDC"/>
    <w:rsid w:val="00E33211"/>
    <w:rsid w:val="00E34DCB"/>
    <w:rsid w:val="00E360EC"/>
    <w:rsid w:val="00E3672B"/>
    <w:rsid w:val="00E369F5"/>
    <w:rsid w:val="00E36D77"/>
    <w:rsid w:val="00E36E02"/>
    <w:rsid w:val="00E3714F"/>
    <w:rsid w:val="00E439AE"/>
    <w:rsid w:val="00E43B70"/>
    <w:rsid w:val="00E43D3D"/>
    <w:rsid w:val="00E43D4C"/>
    <w:rsid w:val="00E44733"/>
    <w:rsid w:val="00E448C8"/>
    <w:rsid w:val="00E44C50"/>
    <w:rsid w:val="00E45910"/>
    <w:rsid w:val="00E45F0C"/>
    <w:rsid w:val="00E469F8"/>
    <w:rsid w:val="00E4716B"/>
    <w:rsid w:val="00E471E3"/>
    <w:rsid w:val="00E47CBA"/>
    <w:rsid w:val="00E501FE"/>
    <w:rsid w:val="00E50280"/>
    <w:rsid w:val="00E506F8"/>
    <w:rsid w:val="00E51032"/>
    <w:rsid w:val="00E517DC"/>
    <w:rsid w:val="00E51F8D"/>
    <w:rsid w:val="00E525F8"/>
    <w:rsid w:val="00E52AEA"/>
    <w:rsid w:val="00E53D3E"/>
    <w:rsid w:val="00E54F24"/>
    <w:rsid w:val="00E55302"/>
    <w:rsid w:val="00E55ADF"/>
    <w:rsid w:val="00E560DD"/>
    <w:rsid w:val="00E565EA"/>
    <w:rsid w:val="00E56A7B"/>
    <w:rsid w:val="00E56CB7"/>
    <w:rsid w:val="00E57386"/>
    <w:rsid w:val="00E57862"/>
    <w:rsid w:val="00E57A5D"/>
    <w:rsid w:val="00E60085"/>
    <w:rsid w:val="00E601B5"/>
    <w:rsid w:val="00E608A7"/>
    <w:rsid w:val="00E614A3"/>
    <w:rsid w:val="00E62284"/>
    <w:rsid w:val="00E628E5"/>
    <w:rsid w:val="00E62AFD"/>
    <w:rsid w:val="00E63055"/>
    <w:rsid w:val="00E63475"/>
    <w:rsid w:val="00E6400A"/>
    <w:rsid w:val="00E659D8"/>
    <w:rsid w:val="00E659EB"/>
    <w:rsid w:val="00E65F87"/>
    <w:rsid w:val="00E66476"/>
    <w:rsid w:val="00E67EAC"/>
    <w:rsid w:val="00E71F12"/>
    <w:rsid w:val="00E72DE4"/>
    <w:rsid w:val="00E73BB8"/>
    <w:rsid w:val="00E745F0"/>
    <w:rsid w:val="00E74994"/>
    <w:rsid w:val="00E74B36"/>
    <w:rsid w:val="00E74D51"/>
    <w:rsid w:val="00E75B84"/>
    <w:rsid w:val="00E76684"/>
    <w:rsid w:val="00E768DA"/>
    <w:rsid w:val="00E800F2"/>
    <w:rsid w:val="00E8011A"/>
    <w:rsid w:val="00E81B49"/>
    <w:rsid w:val="00E81D8F"/>
    <w:rsid w:val="00E821CC"/>
    <w:rsid w:val="00E82A66"/>
    <w:rsid w:val="00E8516D"/>
    <w:rsid w:val="00E85614"/>
    <w:rsid w:val="00E86367"/>
    <w:rsid w:val="00E8654B"/>
    <w:rsid w:val="00E869BD"/>
    <w:rsid w:val="00E87375"/>
    <w:rsid w:val="00E879DE"/>
    <w:rsid w:val="00E90409"/>
    <w:rsid w:val="00E90FD0"/>
    <w:rsid w:val="00E9101B"/>
    <w:rsid w:val="00E91682"/>
    <w:rsid w:val="00E92138"/>
    <w:rsid w:val="00E92142"/>
    <w:rsid w:val="00E925FA"/>
    <w:rsid w:val="00E92722"/>
    <w:rsid w:val="00E93E4A"/>
    <w:rsid w:val="00E952DF"/>
    <w:rsid w:val="00E958BA"/>
    <w:rsid w:val="00E96211"/>
    <w:rsid w:val="00E96546"/>
    <w:rsid w:val="00E96F32"/>
    <w:rsid w:val="00E9704E"/>
    <w:rsid w:val="00E978BE"/>
    <w:rsid w:val="00E97C82"/>
    <w:rsid w:val="00EA028F"/>
    <w:rsid w:val="00EA02D0"/>
    <w:rsid w:val="00EA034C"/>
    <w:rsid w:val="00EA1483"/>
    <w:rsid w:val="00EA17F2"/>
    <w:rsid w:val="00EA2393"/>
    <w:rsid w:val="00EA23D2"/>
    <w:rsid w:val="00EA2ABA"/>
    <w:rsid w:val="00EA2DCE"/>
    <w:rsid w:val="00EA31EA"/>
    <w:rsid w:val="00EA3E41"/>
    <w:rsid w:val="00EA455C"/>
    <w:rsid w:val="00EA5A76"/>
    <w:rsid w:val="00EA667C"/>
    <w:rsid w:val="00EA6F82"/>
    <w:rsid w:val="00EA75E4"/>
    <w:rsid w:val="00EA7956"/>
    <w:rsid w:val="00EA7DA2"/>
    <w:rsid w:val="00EA7FF0"/>
    <w:rsid w:val="00EB1B1A"/>
    <w:rsid w:val="00EB1F0E"/>
    <w:rsid w:val="00EB1F6D"/>
    <w:rsid w:val="00EB208D"/>
    <w:rsid w:val="00EB25A4"/>
    <w:rsid w:val="00EB3DA9"/>
    <w:rsid w:val="00EB6119"/>
    <w:rsid w:val="00EB792F"/>
    <w:rsid w:val="00EB7A3E"/>
    <w:rsid w:val="00EC01BF"/>
    <w:rsid w:val="00EC10B8"/>
    <w:rsid w:val="00EC1AC9"/>
    <w:rsid w:val="00EC2440"/>
    <w:rsid w:val="00EC283E"/>
    <w:rsid w:val="00EC3DDB"/>
    <w:rsid w:val="00EC3E82"/>
    <w:rsid w:val="00EC3FDF"/>
    <w:rsid w:val="00EC4649"/>
    <w:rsid w:val="00EC4D70"/>
    <w:rsid w:val="00EC4F0D"/>
    <w:rsid w:val="00EC5108"/>
    <w:rsid w:val="00EC56B7"/>
    <w:rsid w:val="00EC5AD2"/>
    <w:rsid w:val="00EC5CE7"/>
    <w:rsid w:val="00EC6901"/>
    <w:rsid w:val="00EC7C97"/>
    <w:rsid w:val="00ED034E"/>
    <w:rsid w:val="00ED063F"/>
    <w:rsid w:val="00ED0687"/>
    <w:rsid w:val="00ED0AE9"/>
    <w:rsid w:val="00ED168E"/>
    <w:rsid w:val="00ED1BFF"/>
    <w:rsid w:val="00ED2E1A"/>
    <w:rsid w:val="00ED4EEB"/>
    <w:rsid w:val="00ED5322"/>
    <w:rsid w:val="00ED65FE"/>
    <w:rsid w:val="00ED665B"/>
    <w:rsid w:val="00ED743A"/>
    <w:rsid w:val="00EE00C6"/>
    <w:rsid w:val="00EE0BE7"/>
    <w:rsid w:val="00EE0E31"/>
    <w:rsid w:val="00EE1916"/>
    <w:rsid w:val="00EE35FD"/>
    <w:rsid w:val="00EE4521"/>
    <w:rsid w:val="00EE5590"/>
    <w:rsid w:val="00EE5880"/>
    <w:rsid w:val="00EE59E7"/>
    <w:rsid w:val="00EE697C"/>
    <w:rsid w:val="00EE6CA7"/>
    <w:rsid w:val="00EE777F"/>
    <w:rsid w:val="00EE7B7C"/>
    <w:rsid w:val="00EE7D02"/>
    <w:rsid w:val="00EF0DC2"/>
    <w:rsid w:val="00EF16DB"/>
    <w:rsid w:val="00EF1946"/>
    <w:rsid w:val="00EF29DE"/>
    <w:rsid w:val="00EF3105"/>
    <w:rsid w:val="00EF38CE"/>
    <w:rsid w:val="00EF399D"/>
    <w:rsid w:val="00EF4614"/>
    <w:rsid w:val="00EF4922"/>
    <w:rsid w:val="00EF4FCA"/>
    <w:rsid w:val="00EF5AD8"/>
    <w:rsid w:val="00EF5E72"/>
    <w:rsid w:val="00EF6849"/>
    <w:rsid w:val="00EF72B8"/>
    <w:rsid w:val="00EF7B43"/>
    <w:rsid w:val="00EF7D0B"/>
    <w:rsid w:val="00F01417"/>
    <w:rsid w:val="00F01E50"/>
    <w:rsid w:val="00F0249F"/>
    <w:rsid w:val="00F024B6"/>
    <w:rsid w:val="00F02BC4"/>
    <w:rsid w:val="00F02D80"/>
    <w:rsid w:val="00F03E39"/>
    <w:rsid w:val="00F04013"/>
    <w:rsid w:val="00F04378"/>
    <w:rsid w:val="00F04388"/>
    <w:rsid w:val="00F04424"/>
    <w:rsid w:val="00F04B64"/>
    <w:rsid w:val="00F108F3"/>
    <w:rsid w:val="00F112C0"/>
    <w:rsid w:val="00F13D14"/>
    <w:rsid w:val="00F14A84"/>
    <w:rsid w:val="00F14AB8"/>
    <w:rsid w:val="00F15233"/>
    <w:rsid w:val="00F173EC"/>
    <w:rsid w:val="00F17772"/>
    <w:rsid w:val="00F17B5E"/>
    <w:rsid w:val="00F17BA7"/>
    <w:rsid w:val="00F17FA4"/>
    <w:rsid w:val="00F20083"/>
    <w:rsid w:val="00F21118"/>
    <w:rsid w:val="00F212E1"/>
    <w:rsid w:val="00F22394"/>
    <w:rsid w:val="00F227B8"/>
    <w:rsid w:val="00F22C0A"/>
    <w:rsid w:val="00F22E59"/>
    <w:rsid w:val="00F25B8F"/>
    <w:rsid w:val="00F267FF"/>
    <w:rsid w:val="00F27211"/>
    <w:rsid w:val="00F27616"/>
    <w:rsid w:val="00F2771D"/>
    <w:rsid w:val="00F278A5"/>
    <w:rsid w:val="00F27977"/>
    <w:rsid w:val="00F27B06"/>
    <w:rsid w:val="00F32734"/>
    <w:rsid w:val="00F32957"/>
    <w:rsid w:val="00F32A13"/>
    <w:rsid w:val="00F33EF2"/>
    <w:rsid w:val="00F36A38"/>
    <w:rsid w:val="00F37874"/>
    <w:rsid w:val="00F37CB5"/>
    <w:rsid w:val="00F40F7C"/>
    <w:rsid w:val="00F41C27"/>
    <w:rsid w:val="00F424CC"/>
    <w:rsid w:val="00F42D02"/>
    <w:rsid w:val="00F43BD1"/>
    <w:rsid w:val="00F441BC"/>
    <w:rsid w:val="00F442FF"/>
    <w:rsid w:val="00F4430B"/>
    <w:rsid w:val="00F44F75"/>
    <w:rsid w:val="00F4643B"/>
    <w:rsid w:val="00F46C01"/>
    <w:rsid w:val="00F46D06"/>
    <w:rsid w:val="00F47485"/>
    <w:rsid w:val="00F4779B"/>
    <w:rsid w:val="00F47D15"/>
    <w:rsid w:val="00F50F22"/>
    <w:rsid w:val="00F52407"/>
    <w:rsid w:val="00F524F0"/>
    <w:rsid w:val="00F52F3C"/>
    <w:rsid w:val="00F53B67"/>
    <w:rsid w:val="00F54A57"/>
    <w:rsid w:val="00F55755"/>
    <w:rsid w:val="00F55F90"/>
    <w:rsid w:val="00F56BD2"/>
    <w:rsid w:val="00F5743A"/>
    <w:rsid w:val="00F6080B"/>
    <w:rsid w:val="00F62247"/>
    <w:rsid w:val="00F622B1"/>
    <w:rsid w:val="00F63CCB"/>
    <w:rsid w:val="00F63D5A"/>
    <w:rsid w:val="00F640C6"/>
    <w:rsid w:val="00F65F2C"/>
    <w:rsid w:val="00F67020"/>
    <w:rsid w:val="00F6789D"/>
    <w:rsid w:val="00F679E1"/>
    <w:rsid w:val="00F70335"/>
    <w:rsid w:val="00F70AFF"/>
    <w:rsid w:val="00F70F7C"/>
    <w:rsid w:val="00F7183A"/>
    <w:rsid w:val="00F724B2"/>
    <w:rsid w:val="00F742ED"/>
    <w:rsid w:val="00F74FE5"/>
    <w:rsid w:val="00F75D2E"/>
    <w:rsid w:val="00F75F3C"/>
    <w:rsid w:val="00F76DF3"/>
    <w:rsid w:val="00F77285"/>
    <w:rsid w:val="00F80217"/>
    <w:rsid w:val="00F80535"/>
    <w:rsid w:val="00F810C8"/>
    <w:rsid w:val="00F818AD"/>
    <w:rsid w:val="00F81DF2"/>
    <w:rsid w:val="00F82AEA"/>
    <w:rsid w:val="00F836A0"/>
    <w:rsid w:val="00F84F62"/>
    <w:rsid w:val="00F853AD"/>
    <w:rsid w:val="00F857B8"/>
    <w:rsid w:val="00F85ECC"/>
    <w:rsid w:val="00F85F7A"/>
    <w:rsid w:val="00F86468"/>
    <w:rsid w:val="00F86759"/>
    <w:rsid w:val="00F86977"/>
    <w:rsid w:val="00F86B8B"/>
    <w:rsid w:val="00F86CBE"/>
    <w:rsid w:val="00F873A0"/>
    <w:rsid w:val="00F876C4"/>
    <w:rsid w:val="00F9004C"/>
    <w:rsid w:val="00F90B6E"/>
    <w:rsid w:val="00F91EBC"/>
    <w:rsid w:val="00F92419"/>
    <w:rsid w:val="00F925BA"/>
    <w:rsid w:val="00F92ACA"/>
    <w:rsid w:val="00F93C91"/>
    <w:rsid w:val="00F93FDA"/>
    <w:rsid w:val="00F940FE"/>
    <w:rsid w:val="00F9510F"/>
    <w:rsid w:val="00F95731"/>
    <w:rsid w:val="00F972B0"/>
    <w:rsid w:val="00F9735C"/>
    <w:rsid w:val="00FA0B7D"/>
    <w:rsid w:val="00FA1789"/>
    <w:rsid w:val="00FA18D2"/>
    <w:rsid w:val="00FA20C4"/>
    <w:rsid w:val="00FA2636"/>
    <w:rsid w:val="00FA2787"/>
    <w:rsid w:val="00FA2DB5"/>
    <w:rsid w:val="00FA4170"/>
    <w:rsid w:val="00FA41D0"/>
    <w:rsid w:val="00FA4212"/>
    <w:rsid w:val="00FA5AD6"/>
    <w:rsid w:val="00FA5F37"/>
    <w:rsid w:val="00FA6BCB"/>
    <w:rsid w:val="00FA6BF9"/>
    <w:rsid w:val="00FA79E6"/>
    <w:rsid w:val="00FB0250"/>
    <w:rsid w:val="00FB05A8"/>
    <w:rsid w:val="00FB08AF"/>
    <w:rsid w:val="00FB0CBD"/>
    <w:rsid w:val="00FB129B"/>
    <w:rsid w:val="00FB2BF3"/>
    <w:rsid w:val="00FB32C1"/>
    <w:rsid w:val="00FB32DD"/>
    <w:rsid w:val="00FB3311"/>
    <w:rsid w:val="00FB3F66"/>
    <w:rsid w:val="00FB4758"/>
    <w:rsid w:val="00FB4827"/>
    <w:rsid w:val="00FB5708"/>
    <w:rsid w:val="00FB5C54"/>
    <w:rsid w:val="00FB643A"/>
    <w:rsid w:val="00FB6DC9"/>
    <w:rsid w:val="00FB78E5"/>
    <w:rsid w:val="00FB7BB4"/>
    <w:rsid w:val="00FB7BEE"/>
    <w:rsid w:val="00FC066F"/>
    <w:rsid w:val="00FC0B1F"/>
    <w:rsid w:val="00FC0B50"/>
    <w:rsid w:val="00FC0B72"/>
    <w:rsid w:val="00FC12A6"/>
    <w:rsid w:val="00FC15F8"/>
    <w:rsid w:val="00FC1715"/>
    <w:rsid w:val="00FC2A0E"/>
    <w:rsid w:val="00FC40FC"/>
    <w:rsid w:val="00FC4657"/>
    <w:rsid w:val="00FC54A9"/>
    <w:rsid w:val="00FC5980"/>
    <w:rsid w:val="00FC5AC2"/>
    <w:rsid w:val="00FD10D0"/>
    <w:rsid w:val="00FD1287"/>
    <w:rsid w:val="00FD1383"/>
    <w:rsid w:val="00FD1BC9"/>
    <w:rsid w:val="00FD1DCA"/>
    <w:rsid w:val="00FD21BD"/>
    <w:rsid w:val="00FD3427"/>
    <w:rsid w:val="00FD49EB"/>
    <w:rsid w:val="00FD4B7B"/>
    <w:rsid w:val="00FD5557"/>
    <w:rsid w:val="00FD5E87"/>
    <w:rsid w:val="00FD6122"/>
    <w:rsid w:val="00FD7248"/>
    <w:rsid w:val="00FE02DB"/>
    <w:rsid w:val="00FE05F1"/>
    <w:rsid w:val="00FE06D7"/>
    <w:rsid w:val="00FE2201"/>
    <w:rsid w:val="00FE2332"/>
    <w:rsid w:val="00FE2574"/>
    <w:rsid w:val="00FE26E1"/>
    <w:rsid w:val="00FE2705"/>
    <w:rsid w:val="00FE2BC6"/>
    <w:rsid w:val="00FE3D03"/>
    <w:rsid w:val="00FE406A"/>
    <w:rsid w:val="00FE4F6A"/>
    <w:rsid w:val="00FE500A"/>
    <w:rsid w:val="00FE515E"/>
    <w:rsid w:val="00FE5597"/>
    <w:rsid w:val="00FE5F2A"/>
    <w:rsid w:val="00FE685B"/>
    <w:rsid w:val="00FE7B0E"/>
    <w:rsid w:val="00FE7FF8"/>
    <w:rsid w:val="00FF03EE"/>
    <w:rsid w:val="00FF0642"/>
    <w:rsid w:val="00FF09D7"/>
    <w:rsid w:val="00FF0D5E"/>
    <w:rsid w:val="00FF162B"/>
    <w:rsid w:val="00FF1A18"/>
    <w:rsid w:val="00FF1A86"/>
    <w:rsid w:val="00FF1C12"/>
    <w:rsid w:val="00FF21BA"/>
    <w:rsid w:val="00FF32D2"/>
    <w:rsid w:val="00FF4803"/>
    <w:rsid w:val="00FF5E76"/>
    <w:rsid w:val="00FF5FA3"/>
    <w:rsid w:val="00FF661E"/>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11A4"/>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styleId="afd">
    <w:name w:val="Normal (Web)"/>
    <w:basedOn w:val="a"/>
    <w:uiPriority w:val="99"/>
    <w:semiHidden/>
    <w:unhideWhenUsed/>
    <w:rsid w:val="00B64739"/>
    <w:pPr>
      <w:spacing w:before="100" w:beforeAutospacing="1" w:after="100" w:afterAutospacing="1"/>
    </w:pPr>
    <w:rPr>
      <w:rFonts w:ascii="宋体" w:hAnsi="宋体"/>
      <w:sz w:val="24"/>
      <w:szCs w:val="24"/>
    </w:rPr>
  </w:style>
  <w:style w:type="paragraph" w:customStyle="1" w:styleId="3GPPNormalText">
    <w:name w:val="3GPP Normal Text"/>
    <w:basedOn w:val="a0"/>
    <w:link w:val="3GPPNormalTextChar"/>
    <w:qFormat/>
    <w:rsid w:val="00C91A92"/>
    <w:pPr>
      <w:jc w:val="both"/>
    </w:pPr>
    <w:rPr>
      <w:rFonts w:eastAsia="MS Mincho" w:cs="Times New Roman"/>
      <w:szCs w:val="24"/>
      <w:lang w:val="x-none" w:eastAsia="x-none"/>
    </w:rPr>
  </w:style>
  <w:style w:type="character" w:customStyle="1" w:styleId="3GPPNormalTextChar">
    <w:name w:val="3GPP Normal Text Char"/>
    <w:link w:val="3GPPNormalText"/>
    <w:qFormat/>
    <w:rsid w:val="00C91A92"/>
    <w:rPr>
      <w:rFonts w:eastAsia="MS Mincho"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30718764">
      <w:bodyDiv w:val="1"/>
      <w:marLeft w:val="0"/>
      <w:marRight w:val="0"/>
      <w:marTop w:val="0"/>
      <w:marBottom w:val="0"/>
      <w:divBdr>
        <w:top w:val="none" w:sz="0" w:space="0" w:color="auto"/>
        <w:left w:val="none" w:sz="0" w:space="0" w:color="auto"/>
        <w:bottom w:val="none" w:sz="0" w:space="0" w:color="auto"/>
        <w:right w:val="none" w:sz="0" w:space="0" w:color="auto"/>
      </w:divBdr>
      <w:divsChild>
        <w:div w:id="421730409">
          <w:marLeft w:val="0"/>
          <w:marRight w:val="0"/>
          <w:marTop w:val="0"/>
          <w:marBottom w:val="0"/>
          <w:divBdr>
            <w:top w:val="none" w:sz="0" w:space="0" w:color="auto"/>
            <w:left w:val="none" w:sz="0" w:space="0" w:color="auto"/>
            <w:bottom w:val="none" w:sz="0" w:space="0" w:color="auto"/>
            <w:right w:val="none" w:sz="0" w:space="0" w:color="auto"/>
          </w:divBdr>
          <w:divsChild>
            <w:div w:id="51839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695887261">
      <w:bodyDiv w:val="1"/>
      <w:marLeft w:val="0"/>
      <w:marRight w:val="0"/>
      <w:marTop w:val="0"/>
      <w:marBottom w:val="0"/>
      <w:divBdr>
        <w:top w:val="none" w:sz="0" w:space="0" w:color="auto"/>
        <w:left w:val="none" w:sz="0" w:space="0" w:color="auto"/>
        <w:bottom w:val="none" w:sz="0" w:space="0" w:color="auto"/>
        <w:right w:val="none" w:sz="0" w:space="0" w:color="auto"/>
      </w:divBdr>
      <w:divsChild>
        <w:div w:id="1016418584">
          <w:marLeft w:val="0"/>
          <w:marRight w:val="0"/>
          <w:marTop w:val="0"/>
          <w:marBottom w:val="0"/>
          <w:divBdr>
            <w:top w:val="none" w:sz="0" w:space="0" w:color="auto"/>
            <w:left w:val="none" w:sz="0" w:space="0" w:color="auto"/>
            <w:bottom w:val="none" w:sz="0" w:space="0" w:color="auto"/>
            <w:right w:val="none" w:sz="0" w:space="0" w:color="auto"/>
          </w:divBdr>
          <w:divsChild>
            <w:div w:id="1494032421">
              <w:marLeft w:val="0"/>
              <w:marRight w:val="0"/>
              <w:marTop w:val="0"/>
              <w:marBottom w:val="0"/>
              <w:divBdr>
                <w:top w:val="none" w:sz="0" w:space="0" w:color="auto"/>
                <w:left w:val="none" w:sz="0" w:space="0" w:color="auto"/>
                <w:bottom w:val="none" w:sz="0" w:space="0" w:color="auto"/>
                <w:right w:val="none" w:sz="0" w:space="0" w:color="auto"/>
              </w:divBdr>
              <w:divsChild>
                <w:div w:id="1479149938">
                  <w:marLeft w:val="0"/>
                  <w:marRight w:val="0"/>
                  <w:marTop w:val="0"/>
                  <w:marBottom w:val="0"/>
                  <w:divBdr>
                    <w:top w:val="none" w:sz="0" w:space="0" w:color="auto"/>
                    <w:left w:val="none" w:sz="0" w:space="0" w:color="auto"/>
                    <w:bottom w:val="none" w:sz="0" w:space="0" w:color="auto"/>
                    <w:right w:val="none" w:sz="0" w:space="0" w:color="auto"/>
                  </w:divBdr>
                  <w:divsChild>
                    <w:div w:id="34748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41831140">
      <w:bodyDiv w:val="1"/>
      <w:marLeft w:val="0"/>
      <w:marRight w:val="0"/>
      <w:marTop w:val="0"/>
      <w:marBottom w:val="0"/>
      <w:divBdr>
        <w:top w:val="none" w:sz="0" w:space="0" w:color="auto"/>
        <w:left w:val="none" w:sz="0" w:space="0" w:color="auto"/>
        <w:bottom w:val="none" w:sz="0" w:space="0" w:color="auto"/>
        <w:right w:val="none" w:sz="0" w:space="0" w:color="auto"/>
      </w:divBdr>
      <w:divsChild>
        <w:div w:id="1452743096">
          <w:marLeft w:val="0"/>
          <w:marRight w:val="0"/>
          <w:marTop w:val="0"/>
          <w:marBottom w:val="0"/>
          <w:divBdr>
            <w:top w:val="none" w:sz="0" w:space="0" w:color="auto"/>
            <w:left w:val="none" w:sz="0" w:space="0" w:color="auto"/>
            <w:bottom w:val="none" w:sz="0" w:space="0" w:color="auto"/>
            <w:right w:val="none" w:sz="0" w:space="0" w:color="auto"/>
          </w:divBdr>
          <w:divsChild>
            <w:div w:id="201379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794101706">
      <w:bodyDiv w:val="1"/>
      <w:marLeft w:val="0"/>
      <w:marRight w:val="0"/>
      <w:marTop w:val="0"/>
      <w:marBottom w:val="0"/>
      <w:divBdr>
        <w:top w:val="none" w:sz="0" w:space="0" w:color="auto"/>
        <w:left w:val="none" w:sz="0" w:space="0" w:color="auto"/>
        <w:bottom w:val="none" w:sz="0" w:space="0" w:color="auto"/>
        <w:right w:val="none" w:sz="0" w:space="0" w:color="auto"/>
      </w:divBdr>
      <w:divsChild>
        <w:div w:id="5838527">
          <w:marLeft w:val="0"/>
          <w:marRight w:val="0"/>
          <w:marTop w:val="0"/>
          <w:marBottom w:val="0"/>
          <w:divBdr>
            <w:top w:val="none" w:sz="0" w:space="0" w:color="auto"/>
            <w:left w:val="none" w:sz="0" w:space="0" w:color="auto"/>
            <w:bottom w:val="none" w:sz="0" w:space="0" w:color="auto"/>
            <w:right w:val="none" w:sz="0" w:space="0" w:color="auto"/>
          </w:divBdr>
          <w:divsChild>
            <w:div w:id="87511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74919">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38876536">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988542">
      <w:bodyDiv w:val="1"/>
      <w:marLeft w:val="0"/>
      <w:marRight w:val="0"/>
      <w:marTop w:val="0"/>
      <w:marBottom w:val="0"/>
      <w:divBdr>
        <w:top w:val="none" w:sz="0" w:space="0" w:color="auto"/>
        <w:left w:val="none" w:sz="0" w:space="0" w:color="auto"/>
        <w:bottom w:val="none" w:sz="0" w:space="0" w:color="auto"/>
        <w:right w:val="none" w:sz="0" w:space="0" w:color="auto"/>
      </w:divBdr>
    </w:div>
    <w:div w:id="1462992261">
      <w:bodyDiv w:val="1"/>
      <w:marLeft w:val="0"/>
      <w:marRight w:val="0"/>
      <w:marTop w:val="0"/>
      <w:marBottom w:val="0"/>
      <w:divBdr>
        <w:top w:val="none" w:sz="0" w:space="0" w:color="auto"/>
        <w:left w:val="none" w:sz="0" w:space="0" w:color="auto"/>
        <w:bottom w:val="none" w:sz="0" w:space="0" w:color="auto"/>
        <w:right w:val="none" w:sz="0" w:space="0" w:color="auto"/>
      </w:divBdr>
      <w:divsChild>
        <w:div w:id="459148818">
          <w:marLeft w:val="0"/>
          <w:marRight w:val="0"/>
          <w:marTop w:val="0"/>
          <w:marBottom w:val="0"/>
          <w:divBdr>
            <w:top w:val="none" w:sz="0" w:space="0" w:color="auto"/>
            <w:left w:val="none" w:sz="0" w:space="0" w:color="auto"/>
            <w:bottom w:val="none" w:sz="0" w:space="0" w:color="auto"/>
            <w:right w:val="none" w:sz="0" w:space="0" w:color="auto"/>
          </w:divBdr>
          <w:divsChild>
            <w:div w:id="48990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72476">
      <w:bodyDiv w:val="1"/>
      <w:marLeft w:val="0"/>
      <w:marRight w:val="0"/>
      <w:marTop w:val="0"/>
      <w:marBottom w:val="0"/>
      <w:divBdr>
        <w:top w:val="none" w:sz="0" w:space="0" w:color="auto"/>
        <w:left w:val="none" w:sz="0" w:space="0" w:color="auto"/>
        <w:bottom w:val="none" w:sz="0" w:space="0" w:color="auto"/>
        <w:right w:val="none" w:sz="0" w:space="0" w:color="auto"/>
      </w:divBdr>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49074472">
      <w:bodyDiv w:val="1"/>
      <w:marLeft w:val="0"/>
      <w:marRight w:val="0"/>
      <w:marTop w:val="0"/>
      <w:marBottom w:val="0"/>
      <w:divBdr>
        <w:top w:val="none" w:sz="0" w:space="0" w:color="auto"/>
        <w:left w:val="none" w:sz="0" w:space="0" w:color="auto"/>
        <w:bottom w:val="none" w:sz="0" w:space="0" w:color="auto"/>
        <w:right w:val="none" w:sz="0" w:space="0" w:color="auto"/>
      </w:divBdr>
      <w:divsChild>
        <w:div w:id="738092378">
          <w:marLeft w:val="0"/>
          <w:marRight w:val="0"/>
          <w:marTop w:val="0"/>
          <w:marBottom w:val="0"/>
          <w:divBdr>
            <w:top w:val="none" w:sz="0" w:space="0" w:color="auto"/>
            <w:left w:val="none" w:sz="0" w:space="0" w:color="auto"/>
            <w:bottom w:val="none" w:sz="0" w:space="0" w:color="auto"/>
            <w:right w:val="none" w:sz="0" w:space="0" w:color="auto"/>
          </w:divBdr>
          <w:divsChild>
            <w:div w:id="449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3407</Words>
  <Characters>17990</Characters>
  <Application>Microsoft Office Word</Application>
  <DocSecurity>0</DocSecurity>
  <Lines>348</Lines>
  <Paragraphs>201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guodelin 00032157</cp:lastModifiedBy>
  <cp:revision>11</cp:revision>
  <dcterms:created xsi:type="dcterms:W3CDTF">2025-11-07T09:01:00Z</dcterms:created>
  <dcterms:modified xsi:type="dcterms:W3CDTF">2025-11-07T09:14:00Z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