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282"/>
          <w:tab w:val="right" w:pos="14130"/>
          <w:tab w:val="clear" w:pos="4536"/>
          <w:tab w:val="clear" w:pos="9072"/>
        </w:tabs>
        <w:spacing w:before="72" w:after="72"/>
        <w:rPr>
          <w:rFonts w:eastAsia="宋体"/>
          <w:sz w:val="22"/>
          <w:szCs w:val="22"/>
          <w:lang w:eastAsia="zh-CN"/>
        </w:rPr>
      </w:pPr>
      <w:r>
        <w:rPr>
          <w:sz w:val="22"/>
          <w:szCs w:val="22"/>
        </w:rPr>
        <w:t>3GPP TSG RAN WG1 #1</w:t>
      </w:r>
      <w:r>
        <w:rPr>
          <w:rFonts w:hint="eastAsia" w:eastAsia="宋体"/>
          <w:sz w:val="22"/>
          <w:szCs w:val="22"/>
          <w:lang w:eastAsia="zh-CN"/>
        </w:rPr>
        <w:t>2</w:t>
      </w:r>
      <w:r>
        <w:rPr>
          <w:rFonts w:eastAsia="宋体"/>
          <w:sz w:val="22"/>
          <w:szCs w:val="22"/>
          <w:lang w:eastAsia="zh-CN"/>
        </w:rPr>
        <w:t>3</w:t>
      </w:r>
      <w:r>
        <w:rPr>
          <w:rFonts w:ascii="Times New Roman" w:hAnsi="Times New Roman" w:eastAsia="宋体"/>
          <w:sz w:val="22"/>
          <w:szCs w:val="22"/>
          <w:lang w:eastAsia="zh-CN"/>
        </w:rPr>
        <w:tab/>
      </w:r>
      <w:r>
        <w:rPr>
          <w:rFonts w:ascii="Times New Roman" w:hAnsi="Times New Roman" w:eastAsia="宋体"/>
          <w:sz w:val="22"/>
          <w:szCs w:val="22"/>
          <w:lang w:eastAsia="zh-CN"/>
        </w:rPr>
        <w:tab/>
      </w:r>
      <w:r>
        <w:rPr>
          <w:rFonts w:ascii="Times New Roman" w:hAnsi="Times New Roman" w:eastAsia="宋体"/>
          <w:sz w:val="22"/>
          <w:szCs w:val="22"/>
          <w:lang w:eastAsia="zh-CN"/>
        </w:rPr>
        <w:t>R1-2508816</w:t>
      </w:r>
    </w:p>
    <w:p>
      <w:pPr>
        <w:pStyle w:val="113"/>
        <w:spacing w:before="72" w:after="72"/>
        <w:rPr>
          <w:szCs w:val="24"/>
        </w:rPr>
      </w:pPr>
      <w:r>
        <w:rPr>
          <w:rFonts w:eastAsia="宋体"/>
          <w:sz w:val="22"/>
          <w:lang w:val="en-US"/>
        </w:rPr>
        <w:t>Dallas, USA, Nov 17</w:t>
      </w:r>
      <w:r>
        <w:rPr>
          <w:rFonts w:eastAsia="宋体"/>
          <w:sz w:val="22"/>
          <w:vertAlign w:val="superscript"/>
          <w:lang w:val="en-US"/>
        </w:rPr>
        <w:t>th</w:t>
      </w:r>
      <w:r>
        <w:rPr>
          <w:rFonts w:eastAsia="宋体"/>
          <w:sz w:val="22"/>
          <w:lang w:val="en-US"/>
        </w:rPr>
        <w:t xml:space="preserve"> – 21</w:t>
      </w:r>
      <w:r>
        <w:rPr>
          <w:rFonts w:eastAsia="宋体"/>
          <w:sz w:val="22"/>
          <w:vertAlign w:val="superscript"/>
          <w:lang w:val="en-US"/>
        </w:rPr>
        <w:t>st</w:t>
      </w:r>
      <w:r>
        <w:rPr>
          <w:rFonts w:eastAsia="宋体"/>
          <w:sz w:val="22"/>
          <w:lang w:val="en-US"/>
        </w:rPr>
        <w:t>, 2025</w:t>
      </w:r>
    </w:p>
    <w:p>
      <w:pPr>
        <w:spacing w:before="72" w:after="72" w:line="240" w:lineRule="auto"/>
        <w:rPr>
          <w:rFonts w:ascii="Arial" w:hAnsi="Arial" w:eastAsia="宋体"/>
          <w:b/>
          <w:sz w:val="22"/>
          <w:lang w:val="en-GB"/>
        </w:rPr>
      </w:pPr>
    </w:p>
    <w:p>
      <w:pPr>
        <w:pStyle w:val="34"/>
        <w:tabs>
          <w:tab w:val="left" w:pos="1805"/>
          <w:tab w:val="clear" w:pos="4536"/>
        </w:tabs>
        <w:spacing w:before="72" w:after="72"/>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r>
        <w:rPr>
          <w:rFonts w:hint="eastAsia"/>
          <w:sz w:val="22"/>
          <w:szCs w:val="22"/>
          <w:lang w:eastAsia="zh-CN"/>
        </w:rPr>
        <w:t xml:space="preserve"> Corporation, Sanechips</w:t>
      </w:r>
    </w:p>
    <w:p>
      <w:pPr>
        <w:pStyle w:val="34"/>
        <w:tabs>
          <w:tab w:val="left" w:pos="1800"/>
        </w:tabs>
        <w:spacing w:before="72" w:after="72"/>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sz w:val="22"/>
          <w:szCs w:val="22"/>
        </w:rPr>
        <w:t xml:space="preserve">Discussion on UE feature Batch </w:t>
      </w:r>
      <w:r>
        <w:rPr>
          <w:rFonts w:hint="eastAsia" w:eastAsia="宋体"/>
          <w:sz w:val="22"/>
          <w:szCs w:val="22"/>
          <w:lang w:eastAsia="zh-CN"/>
        </w:rPr>
        <w:t>B</w:t>
      </w:r>
    </w:p>
    <w:p>
      <w:pPr>
        <w:pStyle w:val="34"/>
        <w:tabs>
          <w:tab w:val="left" w:pos="1800"/>
        </w:tabs>
        <w:spacing w:before="72" w:after="72"/>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w:t>
      </w:r>
    </w:p>
    <w:p>
      <w:pPr>
        <w:pBdr>
          <w:bottom w:val="single" w:color="auto" w:sz="6" w:space="1"/>
        </w:pBdr>
        <w:spacing w:before="72" w:after="72"/>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19"/>
        </w:numPr>
        <w:tabs>
          <w:tab w:val="clear" w:pos="432"/>
        </w:tabs>
        <w:spacing w:before="120" w:beforeLines="50" w:after="120" w:afterLines="50"/>
        <w:ind w:left="425" w:hanging="425"/>
        <w:outlineLvl w:val="0"/>
        <w:rPr>
          <w:rFonts w:eastAsia="宋体"/>
          <w:b/>
          <w:sz w:val="28"/>
          <w:szCs w:val="28"/>
        </w:rPr>
      </w:pPr>
      <w:r>
        <w:rPr>
          <w:rFonts w:eastAsia="宋体"/>
          <w:b/>
          <w:sz w:val="28"/>
          <w:szCs w:val="28"/>
        </w:rPr>
        <w:t>Introduction</w:t>
      </w:r>
    </w:p>
    <w:p>
      <w:pPr>
        <w:spacing w:before="72" w:after="72"/>
        <w:rPr>
          <w:szCs w:val="20"/>
        </w:rPr>
      </w:pPr>
      <w:r>
        <w:rPr>
          <w:szCs w:val="20"/>
        </w:rPr>
        <w:t xml:space="preserve">Regarding Rel-19 UE feature discussion, the most recent outcome of RAN1 UE features list for Rel-19 NR after RAN1 #122bis can be found in [1]. Then, there are still several left-over issues. In </w:t>
      </w:r>
      <w:r>
        <w:rPr>
          <w:rFonts w:hint="eastAsia"/>
          <w:szCs w:val="20"/>
        </w:rPr>
        <w:t>this</w:t>
      </w:r>
      <w:r>
        <w:rPr>
          <w:szCs w:val="20"/>
        </w:rPr>
        <w:t xml:space="preserve"> contribution, we elaborate our views on the left-over issues of UE feature on the following:</w:t>
      </w:r>
    </w:p>
    <w:p>
      <w:pPr>
        <w:pStyle w:val="129"/>
        <w:numPr>
          <w:ilvl w:val="0"/>
          <w:numId w:val="20"/>
        </w:numPr>
        <w:spacing w:before="72" w:after="120" w:afterLines="50"/>
        <w:ind w:firstLineChars="0"/>
        <w:rPr>
          <w:rFonts w:eastAsia="微软雅黑"/>
          <w:szCs w:val="20"/>
        </w:rPr>
      </w:pPr>
      <w:r>
        <w:rPr>
          <w:rFonts w:eastAsia="微软雅黑"/>
          <w:szCs w:val="20"/>
        </w:rPr>
        <w:t>NR_duplex_evo</w:t>
      </w:r>
    </w:p>
    <w:p>
      <w:pPr>
        <w:pStyle w:val="129"/>
        <w:numPr>
          <w:ilvl w:val="0"/>
          <w:numId w:val="20"/>
        </w:numPr>
        <w:spacing w:before="72" w:after="120" w:afterLines="50"/>
        <w:ind w:firstLineChars="0"/>
        <w:rPr>
          <w:rFonts w:eastAsia="微软雅黑"/>
          <w:szCs w:val="20"/>
        </w:rPr>
      </w:pPr>
      <w:r>
        <w:rPr>
          <w:rFonts w:eastAsia="微软雅黑"/>
          <w:szCs w:val="20"/>
        </w:rPr>
        <w:t>NR_LPWUS</w:t>
      </w:r>
    </w:p>
    <w:p>
      <w:pPr>
        <w:pStyle w:val="129"/>
        <w:numPr>
          <w:ilvl w:val="0"/>
          <w:numId w:val="20"/>
        </w:numPr>
        <w:spacing w:before="72" w:after="120" w:afterLines="50"/>
        <w:ind w:firstLineChars="0"/>
        <w:rPr>
          <w:rFonts w:eastAsia="微软雅黑"/>
          <w:szCs w:val="20"/>
        </w:rPr>
      </w:pPr>
      <w:r>
        <w:rPr>
          <w:rFonts w:eastAsia="微软雅黑"/>
          <w:szCs w:val="20"/>
        </w:rPr>
        <w:t>NR_MC_enh2</w:t>
      </w:r>
    </w:p>
    <w:p>
      <w:pPr>
        <w:pStyle w:val="129"/>
        <w:numPr>
          <w:ilvl w:val="0"/>
          <w:numId w:val="20"/>
        </w:numPr>
        <w:spacing w:before="72" w:after="120" w:afterLines="50"/>
        <w:ind w:firstLineChars="0"/>
        <w:rPr>
          <w:rFonts w:eastAsia="微软雅黑"/>
          <w:szCs w:val="20"/>
        </w:rPr>
      </w:pPr>
      <w:r>
        <w:rPr>
          <w:rFonts w:eastAsia="微软雅黑"/>
          <w:szCs w:val="20"/>
        </w:rPr>
        <w:t>NR_LBCA</w:t>
      </w: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NR_duplex_evo</w:t>
      </w:r>
    </w:p>
    <w:p>
      <w:pPr>
        <w:spacing w:before="72" w:after="120" w:afterLines="50"/>
        <w:rPr>
          <w:rFonts w:eastAsia="微软雅黑"/>
          <w:szCs w:val="20"/>
        </w:rPr>
      </w:pPr>
      <w:r>
        <w:rPr>
          <w:rFonts w:eastAsia="微软雅黑"/>
          <w:szCs w:val="20"/>
        </w:rPr>
        <w:t xml:space="preserve">Regarding PRACH repetition, FG 54-1 should be the prerequisite of FG 60-5a since the PRACH repetition operation are the same for non-SBFD symbols and SBFD symbols and the legacy repetition is the basic. </w:t>
      </w:r>
    </w:p>
    <w:p>
      <w:pPr>
        <w:spacing w:before="72" w:after="120" w:afterLines="50"/>
        <w:rPr>
          <w:rFonts w:eastAsia="微软雅黑"/>
          <w:i/>
          <w:szCs w:val="20"/>
        </w:rPr>
      </w:pPr>
      <w:r>
        <w:rPr>
          <w:rFonts w:eastAsia="微软雅黑"/>
          <w:b/>
          <w:i/>
          <w:szCs w:val="20"/>
        </w:rPr>
        <w:t>Proposal 2-1:</w:t>
      </w:r>
      <w:r>
        <w:rPr>
          <w:rFonts w:eastAsia="微软雅黑"/>
          <w:i/>
          <w:szCs w:val="20"/>
        </w:rPr>
        <w:t xml:space="preserve"> For the UE features for RACH procedure, FG 54-1 should be the prerequisite of FG 60-5a.</w:t>
      </w:r>
    </w:p>
    <w:p>
      <w:pPr>
        <w:spacing w:before="72" w:after="120" w:afterLines="50"/>
        <w:rPr>
          <w:rFonts w:eastAsia="微软雅黑"/>
          <w:szCs w:val="20"/>
        </w:rPr>
      </w:pPr>
      <w:r>
        <w:rPr>
          <w:rFonts w:eastAsia="微软雅黑"/>
          <w:szCs w:val="20"/>
        </w:rPr>
        <w:t>For FG 60-7b and FG 60-7c, the remaining issue is whether/how to capture maximum number of UL muting symbols per slot. For CG PUSCH type-1, the muting symbols are configured by RRC signaling. Different muting symbol locations can be configured for different CG PUSCHs, which depends on the PUSCH time domain resource. If two CG PUSCHs including muting symbols are in the same slot, UL muting can be applied to both CG PUSCHs. There is no issue to have more UL muting symbols in one slot. It is not necessary to capture anything on maximum number of UL muting symbols per slot.</w:t>
      </w:r>
    </w:p>
    <w:p>
      <w:pPr>
        <w:spacing w:before="72" w:after="120" w:afterLines="50"/>
        <w:rPr>
          <w:rFonts w:eastAsia="微软雅黑"/>
          <w:i/>
          <w:szCs w:val="20"/>
        </w:rPr>
      </w:pPr>
      <w:r>
        <w:rPr>
          <w:rFonts w:eastAsia="微软雅黑"/>
          <w:b/>
          <w:i/>
          <w:szCs w:val="20"/>
        </w:rPr>
        <w:t>Proposal 2-2:</w:t>
      </w:r>
      <w:r>
        <w:rPr>
          <w:rFonts w:eastAsia="微软雅黑"/>
          <w:i/>
          <w:szCs w:val="20"/>
        </w:rPr>
        <w:t xml:space="preserve"> For FG 60-7b and FG 60-7c, “FFS: Whether/how to capture maximum number of UL muting symbols per slot” should be removed.</w:t>
      </w:r>
    </w:p>
    <w:p>
      <w:pPr>
        <w:spacing w:before="72" w:after="120" w:afterLines="50"/>
        <w:rPr>
          <w:rFonts w:eastAsia="微软雅黑"/>
          <w:szCs w:val="20"/>
        </w:rPr>
      </w:pPr>
      <w:r>
        <w:rPr>
          <w:rFonts w:eastAsia="微软雅黑"/>
          <w:szCs w:val="20"/>
        </w:rPr>
        <w:t>For FG 60-8, the maximum number of configured L1 CLI-RSSI measurement resource across all CCs is reported by the UE. Currently, the network can configure at most 64 CLI-RSSI resources per cell. Therefore, at least candidate value 64 should be supported. It was agreed that L1-based CLI measurement and reporting can also be applied to dynamic TDD. Therefore, the network can configure CLI measurement resources in multiple CCs. Assuming there are 2 CCs, then the candidate value 128 should also be supported. In addition, the candidate value smaller than 64 can also be considered for UE implementation flexibility, e.g., 16, 32. Similarly, for FG 60-9, the candidate value can be {8, 16, 32, 64}.</w:t>
      </w:r>
    </w:p>
    <w:p>
      <w:pPr>
        <w:spacing w:before="72" w:after="120" w:afterLines="50"/>
        <w:rPr>
          <w:rFonts w:eastAsia="微软雅黑"/>
          <w:i/>
          <w:szCs w:val="20"/>
        </w:rPr>
      </w:pPr>
      <w:r>
        <w:rPr>
          <w:rFonts w:eastAsia="微软雅黑"/>
          <w:b/>
          <w:i/>
          <w:szCs w:val="20"/>
        </w:rPr>
        <w:t>Proposal 2-3:</w:t>
      </w:r>
      <w:r>
        <w:rPr>
          <w:rFonts w:eastAsia="微软雅黑"/>
          <w:i/>
          <w:szCs w:val="20"/>
        </w:rPr>
        <w:t xml:space="preserve"> The candidate value for FG 60-8 and FG 60-9 should be {16, 32, 64, 128} and {8, 16, 32, 64}, respectively.</w:t>
      </w:r>
    </w:p>
    <w:p>
      <w:pPr>
        <w:spacing w:before="72" w:after="120" w:afterLines="50"/>
        <w:rPr>
          <w:rFonts w:eastAsia="微软雅黑"/>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NR_LPWUS</w:t>
      </w:r>
    </w:p>
    <w:p>
      <w:pPr>
        <w:spacing w:before="72" w:after="72"/>
      </w:pPr>
      <w:r>
        <w:rPr>
          <w:rFonts w:hint="eastAsia"/>
        </w:rPr>
        <w:t xml:space="preserve">It is worthwhile to discuss whether the OFDM WUR has the capability to detect the OOK pattern. According to the agreement shown as following, the number of overlaid sequences can be configured as 1, which means there is no information carried by overlaid sequence. </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1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20" w:type="dxa"/>
          </w:tcPr>
          <w:p>
            <w:pPr>
              <w:spacing w:before="0" w:beforeLines="0" w:after="72"/>
              <w:jc w:val="left"/>
              <w:rPr>
                <w:bCs/>
                <w:iCs/>
                <w:color w:val="FF0000"/>
                <w:szCs w:val="20"/>
              </w:rPr>
            </w:pPr>
            <w:r>
              <w:rPr>
                <w:rFonts w:hint="eastAsia"/>
                <w:b/>
                <w:bCs/>
                <w:iCs/>
                <w:szCs w:val="20"/>
                <w:highlight w:val="green"/>
              </w:rPr>
              <w:t>Agreement</w:t>
            </w:r>
          </w:p>
          <w:p>
            <w:pPr>
              <w:spacing w:before="0" w:beforeLines="0" w:after="72"/>
              <w:jc w:val="left"/>
              <w:rPr>
                <w:rFonts w:eastAsia="Batang"/>
                <w:szCs w:val="20"/>
              </w:rPr>
            </w:pPr>
            <w:r>
              <w:rPr>
                <w:rFonts w:eastAsia="Batang"/>
                <w:szCs w:val="20"/>
              </w:rPr>
              <w:t xml:space="preserve">For LP-WUS overlaid OFDM sequence configuration in a cell, </w:t>
            </w:r>
          </w:p>
          <w:p>
            <w:pPr>
              <w:numPr>
                <w:ilvl w:val="0"/>
                <w:numId w:val="21"/>
              </w:numPr>
              <w:overflowPunct w:val="0"/>
              <w:autoSpaceDE w:val="0"/>
              <w:snapToGrid/>
              <w:spacing w:before="0" w:beforeLines="0" w:after="72" w:afterLines="0" w:line="276" w:lineRule="auto"/>
              <w:jc w:val="left"/>
              <w:textAlignment w:val="baseline"/>
              <w:rPr>
                <w:rFonts w:eastAsia="Batang"/>
                <w:szCs w:val="20"/>
              </w:rPr>
            </w:pPr>
            <w:r>
              <w:rPr>
                <w:rFonts w:eastAsia="Batang"/>
                <w:szCs w:val="20"/>
              </w:rPr>
              <w:t xml:space="preserve">gNB configures number of sequences Nseq, and one or two root values. </w:t>
            </w:r>
          </w:p>
          <w:p>
            <w:pPr>
              <w:numPr>
                <w:ilvl w:val="1"/>
                <w:numId w:val="21"/>
              </w:numPr>
              <w:overflowPunct w:val="0"/>
              <w:autoSpaceDE w:val="0"/>
              <w:snapToGrid/>
              <w:spacing w:before="0" w:beforeLines="0" w:after="72" w:afterLines="0" w:line="276" w:lineRule="auto"/>
              <w:jc w:val="left"/>
              <w:textAlignment w:val="baseline"/>
              <w:rPr>
                <w:rFonts w:eastAsia="Batang"/>
                <w:szCs w:val="20"/>
              </w:rPr>
            </w:pPr>
            <w:r>
              <w:rPr>
                <w:rFonts w:eastAsia="Batang"/>
                <w:szCs w:val="20"/>
              </w:rPr>
              <w:t>Alt1: Nseq is 2^n, where the value range of n is 0~4, 0~3, 0~2 for M=1, 2, 4, respectively.</w:t>
            </w:r>
          </w:p>
          <w:p>
            <w:pPr>
              <w:numPr>
                <w:ilvl w:val="2"/>
                <w:numId w:val="21"/>
              </w:numPr>
              <w:overflowPunct w:val="0"/>
              <w:autoSpaceDE w:val="0"/>
              <w:snapToGrid/>
              <w:spacing w:before="0" w:beforeLines="0" w:after="72" w:afterLines="0" w:line="276" w:lineRule="auto"/>
              <w:jc w:val="left"/>
              <w:textAlignment w:val="baseline"/>
              <w:rPr>
                <w:rFonts w:eastAsia="Batang"/>
                <w:szCs w:val="20"/>
              </w:rPr>
            </w:pPr>
            <w:r>
              <w:rPr>
                <w:rFonts w:eastAsia="Batang"/>
                <w:szCs w:val="20"/>
              </w:rPr>
              <w:t>No separate UE capability for different n values.</w:t>
            </w:r>
          </w:p>
          <w:p>
            <w:pPr>
              <w:numPr>
                <w:ilvl w:val="1"/>
                <w:numId w:val="21"/>
              </w:numPr>
              <w:overflowPunct w:val="0"/>
              <w:autoSpaceDE w:val="0"/>
              <w:snapToGrid/>
              <w:spacing w:before="0" w:beforeLines="0" w:after="72" w:afterLines="0" w:line="276" w:lineRule="auto"/>
              <w:jc w:val="left"/>
              <w:textAlignment w:val="baseline"/>
              <w:rPr>
                <w:rFonts w:eastAsia="Batang"/>
                <w:szCs w:val="20"/>
              </w:rPr>
            </w:pPr>
            <w:r>
              <w:rPr>
                <w:rFonts w:eastAsia="Batang"/>
                <w:szCs w:val="20"/>
              </w:rPr>
              <w:t>Nroot=2, when Nseq=16,8,4 for M=1,2,4, where Nroot is the number of root values.</w:t>
            </w:r>
          </w:p>
          <w:p>
            <w:pPr>
              <w:numPr>
                <w:ilvl w:val="2"/>
                <w:numId w:val="21"/>
              </w:numPr>
              <w:overflowPunct w:val="0"/>
              <w:autoSpaceDE w:val="0"/>
              <w:snapToGrid/>
              <w:spacing w:before="0" w:beforeLines="0" w:after="72" w:afterLines="0" w:line="276" w:lineRule="auto"/>
              <w:jc w:val="left"/>
              <w:textAlignment w:val="baseline"/>
              <w:rPr>
                <w:rFonts w:eastAsia="Batang"/>
                <w:szCs w:val="20"/>
              </w:rPr>
            </w:pPr>
            <w:r>
              <w:rPr>
                <w:rFonts w:eastAsia="Batang"/>
                <w:szCs w:val="20"/>
              </w:rPr>
              <w:t>Nroot=1 or 2 when Nseq is other value</w:t>
            </w:r>
          </w:p>
          <w:p>
            <w:pPr>
              <w:pStyle w:val="2"/>
              <w:spacing w:before="72" w:after="72"/>
            </w:pPr>
            <w:r>
              <w:rPr>
                <w:rFonts w:eastAsia="Batang"/>
                <w:sz w:val="20"/>
              </w:rPr>
              <w:t>The number of CS Ncs is derived by Nseq/Nroot</w:t>
            </w:r>
          </w:p>
        </w:tc>
      </w:tr>
    </w:tbl>
    <w:p>
      <w:pPr>
        <w:spacing w:before="72" w:after="72"/>
      </w:pPr>
      <w:r>
        <w:rPr>
          <w:rFonts w:hint="eastAsia"/>
        </w:rPr>
        <w:t>However, according to the WID, the OFDM WUR and OOK WUR should obtain the same information</w:t>
      </w:r>
      <w:r>
        <w:t>.</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1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20" w:type="dxa"/>
          </w:tcPr>
          <w:p>
            <w:pPr>
              <w:spacing w:before="0" w:beforeLines="0" w:after="72"/>
              <w:jc w:val="left"/>
              <w:rPr>
                <w:bCs/>
                <w:szCs w:val="20"/>
              </w:rPr>
            </w:pPr>
            <w:r>
              <w:rPr>
                <w:rFonts w:hint="eastAsia"/>
                <w:bCs/>
                <w:szCs w:val="20"/>
              </w:rPr>
              <w:t>T</w:t>
            </w:r>
            <w:r>
              <w:rPr>
                <w:bCs/>
                <w:szCs w:val="20"/>
              </w:rPr>
              <w:t>he objectives of the work item are the following:</w:t>
            </w:r>
          </w:p>
          <w:p>
            <w:pPr>
              <w:numPr>
                <w:ilvl w:val="0"/>
                <w:numId w:val="22"/>
              </w:numPr>
              <w:overflowPunct w:val="0"/>
              <w:autoSpaceDE w:val="0"/>
              <w:autoSpaceDN w:val="0"/>
              <w:snapToGrid/>
              <w:spacing w:before="120" w:beforeLines="50" w:after="72" w:afterLines="0" w:line="276" w:lineRule="auto"/>
              <w:ind w:hanging="357"/>
              <w:jc w:val="left"/>
              <w:textAlignment w:val="baseline"/>
              <w:rPr>
                <w:bCs/>
                <w:szCs w:val="20"/>
              </w:rPr>
            </w:pPr>
            <w:r>
              <w:rPr>
                <w:bCs/>
                <w:szCs w:val="20"/>
              </w:rPr>
              <w:t>To specify an LP-WUS design commonly applicable to both IDLE/INACTIVE and CONNECTED modes (RAN1, RAN4)</w:t>
            </w:r>
          </w:p>
          <w:p>
            <w:pPr>
              <w:numPr>
                <w:ilvl w:val="1"/>
                <w:numId w:val="22"/>
              </w:numPr>
              <w:overflowPunct w:val="0"/>
              <w:autoSpaceDE w:val="0"/>
              <w:autoSpaceDN w:val="0"/>
              <w:snapToGrid/>
              <w:spacing w:before="120" w:beforeLines="50" w:after="72" w:afterLines="0" w:line="276" w:lineRule="auto"/>
              <w:ind w:hanging="357"/>
              <w:jc w:val="left"/>
              <w:textAlignment w:val="baseline"/>
              <w:rPr>
                <w:bCs/>
                <w:szCs w:val="20"/>
              </w:rPr>
            </w:pPr>
            <w:r>
              <w:rPr>
                <w:bCs/>
                <w:szCs w:val="20"/>
              </w:rPr>
              <w:t xml:space="preserve">Specify OOK (OOK-1 and/or OOK-4) based LP-WUS with </w:t>
            </w:r>
            <w:r>
              <w:rPr>
                <w:szCs w:val="20"/>
              </w:rPr>
              <w:t>overlaid OFDM sequence(s) over OOK symbol</w:t>
            </w:r>
          </w:p>
          <w:p>
            <w:pPr>
              <w:numPr>
                <w:ilvl w:val="2"/>
                <w:numId w:val="22"/>
              </w:numPr>
              <w:overflowPunct w:val="0"/>
              <w:autoSpaceDE w:val="0"/>
              <w:autoSpaceDN w:val="0"/>
              <w:snapToGrid/>
              <w:spacing w:before="120" w:beforeLines="50" w:after="72" w:afterLines="0" w:line="276" w:lineRule="auto"/>
              <w:ind w:hanging="357"/>
              <w:jc w:val="left"/>
              <w:textAlignment w:val="baseline"/>
              <w:rPr>
                <w:bCs/>
                <w:color w:val="000000"/>
                <w:szCs w:val="20"/>
              </w:rPr>
            </w:pPr>
            <w:r>
              <w:rPr>
                <w:rFonts w:hint="eastAsia"/>
                <w:bCs/>
                <w:color w:val="000000"/>
                <w:szCs w:val="20"/>
              </w:rPr>
              <w:t>T</w:t>
            </w:r>
            <w:r>
              <w:rPr>
                <w:bCs/>
                <w:color w:val="000000"/>
                <w:szCs w:val="20"/>
              </w:rPr>
              <w:t xml:space="preserve">he LP-WUS design shall ensure that for IDLE/INACTIVE operation, the same information is delivered irrespective of LP-WUR type. </w:t>
            </w:r>
            <w:r>
              <w:rPr>
                <w:rFonts w:hint="eastAsia"/>
                <w:bCs/>
                <w:color w:val="000000"/>
                <w:szCs w:val="20"/>
              </w:rPr>
              <w:t>The OFDM sequence c</w:t>
            </w:r>
            <w:r>
              <w:rPr>
                <w:bCs/>
                <w:color w:val="000000"/>
                <w:szCs w:val="20"/>
              </w:rPr>
              <w:t>a</w:t>
            </w:r>
            <w:r>
              <w:rPr>
                <w:rFonts w:hint="eastAsia"/>
                <w:bCs/>
                <w:color w:val="000000"/>
                <w:szCs w:val="20"/>
              </w:rPr>
              <w:t>n carry information.</w:t>
            </w:r>
          </w:p>
          <w:p>
            <w:pPr>
              <w:pStyle w:val="2"/>
              <w:spacing w:before="72" w:after="72"/>
            </w:pPr>
            <w:r>
              <w:rPr>
                <w:bCs/>
                <w:sz w:val="20"/>
              </w:rPr>
              <w:t>At least duty-cycled monitoring of LP-WUS is supported</w:t>
            </w:r>
          </w:p>
        </w:tc>
      </w:tr>
    </w:tbl>
    <w:p>
      <w:pPr>
        <w:spacing w:before="72" w:after="72"/>
        <w:rPr>
          <w:rFonts w:ascii="宋体" w:hAnsi="宋体"/>
          <w:sz w:val="24"/>
          <w:szCs w:val="24"/>
        </w:rPr>
      </w:pPr>
      <w:r>
        <w:rPr>
          <w:rFonts w:hint="eastAsia"/>
        </w:rPr>
        <w:t>Two solutions can be considered for addressing this issue</w:t>
      </w:r>
    </w:p>
    <w:p>
      <w:pPr>
        <w:spacing w:before="72" w:after="72"/>
        <w:rPr>
          <w:rFonts w:ascii="宋体" w:hAnsi="宋体"/>
        </w:rPr>
      </w:pPr>
      <w:r>
        <w:rPr>
          <w:rFonts w:hint="eastAsia"/>
        </w:rPr>
        <w:t>Solution 1: OFDM WUR has the capability as part of 62-1a/62-2a to decode OOK ON-OFF pattern</w:t>
      </w:r>
    </w:p>
    <w:p>
      <w:pPr>
        <w:spacing w:before="72" w:after="72"/>
      </w:pPr>
      <w:r>
        <w:rPr>
          <w:rFonts w:hint="eastAsia"/>
        </w:rPr>
        <w:t xml:space="preserve">Solution 2: gNB is not </w:t>
      </w:r>
      <w:r>
        <w:t>expected</w:t>
      </w:r>
      <w:r>
        <w:rPr>
          <w:rFonts w:hint="eastAsia" w:ascii="宋体" w:hAnsi="宋体"/>
        </w:rPr>
        <w:t xml:space="preserve"> </w:t>
      </w:r>
      <w:r>
        <w:rPr>
          <w:rFonts w:hint="eastAsia"/>
        </w:rPr>
        <w:t>to configure n=0 when OOK ON-OFF pattern carries information.</w:t>
      </w:r>
    </w:p>
    <w:p>
      <w:pPr>
        <w:spacing w:before="72" w:after="72"/>
        <w:rPr>
          <w:rFonts w:ascii="宋体" w:hAnsi="宋体"/>
        </w:rPr>
      </w:pPr>
      <w:r>
        <w:rPr>
          <w:rFonts w:hint="eastAsia"/>
        </w:rPr>
        <w:t xml:space="preserve">Based on solution 1, we can add some description in FG 62-1a or 62-2a to explicitly capture that OFDM WUR can detect OOK ON-OFF pattern for LP-WUS. Based on solution 2, we need an agreement to restrict the configuration. </w:t>
      </w:r>
    </w:p>
    <w:p>
      <w:pPr>
        <w:spacing w:before="72" w:after="72"/>
        <w:rPr>
          <w:rFonts w:ascii="宋体" w:hAnsi="宋体"/>
          <w:b/>
          <w:bCs/>
          <w:i/>
          <w:iCs/>
        </w:rPr>
      </w:pPr>
      <w:r>
        <w:rPr>
          <w:rFonts w:hint="eastAsia"/>
          <w:b/>
          <w:bCs/>
          <w:i/>
          <w:iCs/>
        </w:rPr>
        <w:t xml:space="preserve">Proposal </w:t>
      </w:r>
      <w:r>
        <w:rPr>
          <w:b/>
          <w:bCs/>
          <w:i/>
          <w:iCs/>
        </w:rPr>
        <w:t>3-1</w:t>
      </w:r>
      <w:r>
        <w:rPr>
          <w:rFonts w:hint="eastAsia"/>
          <w:b/>
          <w:bCs/>
          <w:i/>
          <w:iCs/>
        </w:rPr>
        <w:t xml:space="preserve">: </w:t>
      </w:r>
      <w:r>
        <w:rPr>
          <w:rFonts w:hint="eastAsia"/>
          <w:b w:val="0"/>
          <w:bCs w:val="0"/>
          <w:i/>
          <w:iCs/>
        </w:rPr>
        <w:t>Discuss and decide whether OFDM WUR can decode OOK ON-OFF pattern for LP-WUS.</w:t>
      </w:r>
    </w:p>
    <w:p>
      <w:pPr>
        <w:spacing w:before="72" w:after="72"/>
      </w:pPr>
      <w:r>
        <w:rPr>
          <w:rFonts w:hint="eastAsia"/>
        </w:rPr>
        <w:t xml:space="preserve">Additionally, regarding the handling </w:t>
      </w:r>
      <w:r>
        <w:t xml:space="preserve">of </w:t>
      </w:r>
      <w:r>
        <w:rPr>
          <w:rFonts w:hint="eastAsia"/>
        </w:rPr>
        <w:t xml:space="preserve">MR and LR collision, there is no clear spec description </w:t>
      </w:r>
      <w:r>
        <w:t>or</w:t>
      </w:r>
      <w:r>
        <w:rPr>
          <w:rFonts w:hint="eastAsia"/>
        </w:rPr>
        <w:t xml:space="preserve"> </w:t>
      </w:r>
      <w:r>
        <w:t xml:space="preserve">conclusion on </w:t>
      </w:r>
      <w:r>
        <w:rPr>
          <w:rFonts w:hint="eastAsia"/>
        </w:rPr>
        <w:t>UE capability. Obviously, like HD-FDD, it should be a basic UE capability when LR and MR colli</w:t>
      </w:r>
      <w:r>
        <w:t>de</w:t>
      </w:r>
      <w:r>
        <w:rPr>
          <w:rFonts w:hint="eastAsia"/>
        </w:rPr>
        <w:t>.</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1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20" w:type="dxa"/>
          </w:tcPr>
          <w:p>
            <w:pPr>
              <w:spacing w:before="72" w:after="72"/>
              <w:ind w:left="494" w:leftChars="47" w:hanging="400"/>
              <w:rPr>
                <w:rFonts w:eastAsia="等线"/>
                <w:szCs w:val="20"/>
              </w:rPr>
            </w:pPr>
            <w:r>
              <w:rPr>
                <w:rFonts w:hint="eastAsia" w:eastAsia="等线"/>
                <w:szCs w:val="20"/>
              </w:rPr>
              <w:t xml:space="preserve">Conclusion </w:t>
            </w:r>
          </w:p>
          <w:p>
            <w:pPr>
              <w:spacing w:before="72" w:after="72"/>
              <w:ind w:left="494" w:leftChars="47" w:hanging="400"/>
              <w:rPr>
                <w:rFonts w:eastAsia="等线"/>
                <w:szCs w:val="20"/>
              </w:rPr>
            </w:pPr>
            <w:r>
              <w:rPr>
                <w:rFonts w:hint="eastAsia" w:eastAsia="等线"/>
                <w:szCs w:val="20"/>
              </w:rPr>
              <w:t xml:space="preserve">Confirm that all the collision cases when MR is in active time and when MR is performing transmission or </w:t>
            </w:r>
            <w:r>
              <w:rPr>
                <w:rFonts w:eastAsia="等线"/>
                <w:szCs w:val="20"/>
              </w:rPr>
              <w:t>rece</w:t>
            </w:r>
            <w:r>
              <w:rPr>
                <w:rFonts w:hint="eastAsia" w:eastAsia="等线"/>
                <w:szCs w:val="20"/>
              </w:rPr>
              <w:t xml:space="preserve">ption </w:t>
            </w:r>
            <w:r>
              <w:rPr>
                <w:rFonts w:eastAsia="等线"/>
                <w:szCs w:val="20"/>
              </w:rPr>
              <w:t xml:space="preserve">outside </w:t>
            </w:r>
            <w:r>
              <w:rPr>
                <w:szCs w:val="20"/>
              </w:rPr>
              <w:t>active</w:t>
            </w:r>
            <w:r>
              <w:rPr>
                <w:rFonts w:eastAsia="等线"/>
                <w:szCs w:val="20"/>
              </w:rPr>
              <w:t xml:space="preserve"> time </w:t>
            </w:r>
            <w:r>
              <w:rPr>
                <w:rFonts w:hint="eastAsia" w:eastAsia="等线"/>
                <w:szCs w:val="20"/>
              </w:rPr>
              <w:t xml:space="preserve">are covered by the existed agreement below. </w:t>
            </w:r>
          </w:p>
          <w:p>
            <w:pPr>
              <w:spacing w:before="72" w:after="72"/>
              <w:ind w:left="494" w:leftChars="47" w:hanging="400"/>
              <w:rPr>
                <w:rFonts w:eastAsia="等线"/>
                <w:szCs w:val="20"/>
                <w:highlight w:val="green"/>
              </w:rPr>
            </w:pPr>
            <w:r>
              <w:rPr>
                <w:rFonts w:hint="eastAsia" w:eastAsia="等线"/>
                <w:szCs w:val="20"/>
                <w:highlight w:val="green"/>
              </w:rPr>
              <w:t>Agreement(Made in RAN1#121)</w:t>
            </w:r>
          </w:p>
          <w:p>
            <w:pPr>
              <w:spacing w:before="72" w:after="72" w:line="249" w:lineRule="auto"/>
              <w:ind w:left="494" w:leftChars="47" w:hanging="400"/>
              <w:contextualSpacing/>
              <w:rPr>
                <w:rFonts w:eastAsia="等线"/>
                <w:szCs w:val="20"/>
              </w:rPr>
            </w:pPr>
            <w:r>
              <w:rPr>
                <w:rFonts w:eastAsia="等线"/>
                <w:szCs w:val="20"/>
              </w:rPr>
              <w:t>As the reply to RAN2 LS in R1-2503616, RAN1 assumes that UE is not able to operate LR and MR simultaneously in Rel-19. RAN1 understanding is that the terminology of LR and MR operations are for discussion purpose and will not be specified</w:t>
            </w:r>
          </w:p>
          <w:p>
            <w:pPr>
              <w:numPr>
                <w:ilvl w:val="0"/>
                <w:numId w:val="21"/>
              </w:numPr>
              <w:overflowPunct w:val="0"/>
              <w:autoSpaceDE w:val="0"/>
              <w:autoSpaceDN w:val="0"/>
              <w:snapToGrid/>
              <w:spacing w:before="120" w:beforeLines="50" w:after="72" w:afterLines="0" w:line="249" w:lineRule="auto"/>
              <w:ind w:left="494" w:leftChars="47" w:hanging="400"/>
              <w:contextualSpacing/>
              <w:textAlignment w:val="baseline"/>
              <w:rPr>
                <w:rFonts w:eastAsia="等线"/>
                <w:szCs w:val="20"/>
              </w:rPr>
            </w:pPr>
            <w:r>
              <w:rPr>
                <w:rFonts w:eastAsia="等线"/>
                <w:szCs w:val="20"/>
              </w:rPr>
              <w:t>LR operation is the UE operation for LP-WUS monitoring</w:t>
            </w:r>
          </w:p>
          <w:p>
            <w:pPr>
              <w:pStyle w:val="2"/>
              <w:spacing w:before="72" w:after="72"/>
            </w:pPr>
            <w:r>
              <w:rPr>
                <w:rFonts w:eastAsia="等线"/>
                <w:sz w:val="20"/>
              </w:rPr>
              <w:t>MR operation is the UE operation for all other NR signals/channels transmissions/receptions in connected mode</w:t>
            </w:r>
          </w:p>
        </w:tc>
      </w:tr>
    </w:tbl>
    <w:p>
      <w:pPr>
        <w:spacing w:before="72" w:after="72"/>
        <w:rPr>
          <w:rFonts w:ascii="宋体" w:hAnsi="宋体"/>
        </w:rPr>
      </w:pPr>
      <w:r>
        <w:rPr>
          <w:rFonts w:hint="eastAsia"/>
        </w:rPr>
        <w:t>Additionally, it should be possible for UE to receive LP-WUS and receive NR signal at the same time if the UE equip</w:t>
      </w:r>
      <w:r>
        <w:t>s</w:t>
      </w:r>
      <w:r>
        <w:rPr>
          <w:rFonts w:hint="eastAsia"/>
        </w:rPr>
        <w:t xml:space="preserve"> with separate WUR. Therefore, it </w:t>
      </w:r>
      <w:r>
        <w:t>needs to be discussed in</w:t>
      </w:r>
      <w:r>
        <w:rPr>
          <w:rFonts w:hint="eastAsia"/>
        </w:rPr>
        <w:t xml:space="preserve"> UE </w:t>
      </w:r>
      <w:r>
        <w:t>feature session</w:t>
      </w:r>
      <w:r>
        <w:rPr>
          <w:rFonts w:hint="eastAsia"/>
        </w:rPr>
        <w:t>.</w:t>
      </w:r>
    </w:p>
    <w:p>
      <w:pPr>
        <w:spacing w:before="72" w:after="72"/>
        <w:rPr>
          <w:rFonts w:ascii="等线" w:hAnsi="等线" w:eastAsia="等线"/>
          <w:b/>
          <w:bCs/>
          <w:i/>
          <w:iCs/>
        </w:rPr>
      </w:pPr>
      <w:r>
        <w:rPr>
          <w:rFonts w:hint="eastAsia"/>
          <w:b/>
          <w:bCs/>
          <w:i/>
          <w:iCs/>
        </w:rPr>
        <w:t xml:space="preserve">Proposal </w:t>
      </w:r>
      <w:r>
        <w:rPr>
          <w:b/>
          <w:bCs/>
          <w:i/>
          <w:iCs/>
        </w:rPr>
        <w:t>3-</w:t>
      </w:r>
      <w:r>
        <w:rPr>
          <w:rFonts w:hint="eastAsia"/>
          <w:b/>
          <w:bCs/>
          <w:i/>
          <w:iCs/>
        </w:rPr>
        <w:t xml:space="preserve">2: </w:t>
      </w:r>
      <w:r>
        <w:rPr>
          <w:b w:val="0"/>
          <w:bCs w:val="0"/>
          <w:i/>
          <w:iCs/>
        </w:rPr>
        <w:t xml:space="preserve">Add a </w:t>
      </w:r>
      <w:r>
        <w:rPr>
          <w:rFonts w:hint="eastAsia" w:eastAsia="等线"/>
          <w:b w:val="0"/>
          <w:bCs w:val="0"/>
          <w:i/>
          <w:iCs/>
        </w:rPr>
        <w:t>basic component for FG 62-1/62-1a/62-2/62-2a</w:t>
      </w:r>
      <w:r>
        <w:rPr>
          <w:b w:val="0"/>
          <w:bCs w:val="0"/>
          <w:i/>
          <w:iCs/>
        </w:rPr>
        <w:t xml:space="preserve">: </w:t>
      </w:r>
      <w:r>
        <w:rPr>
          <w:rFonts w:hint="eastAsia"/>
          <w:b w:val="0"/>
          <w:bCs w:val="0"/>
          <w:i/>
          <w:iCs/>
        </w:rPr>
        <w:t xml:space="preserve">UE cannot operate LP-WUS monitoring and </w:t>
      </w:r>
      <w:r>
        <w:rPr>
          <w:rFonts w:eastAsia="等线"/>
          <w:b w:val="0"/>
          <w:bCs w:val="0"/>
          <w:i/>
          <w:iCs/>
        </w:rPr>
        <w:t>other NR signals/channels transmissions/receptions</w:t>
      </w:r>
      <w:r>
        <w:rPr>
          <w:rFonts w:hint="eastAsia" w:ascii="等线" w:hAnsi="等线" w:eastAsia="等线"/>
          <w:b w:val="0"/>
          <w:bCs w:val="0"/>
          <w:i/>
          <w:iCs/>
        </w:rPr>
        <w:t xml:space="preserve"> </w:t>
      </w:r>
      <w:r>
        <w:rPr>
          <w:rFonts w:hint="eastAsia" w:eastAsia="等线"/>
          <w:b w:val="0"/>
          <w:bCs w:val="0"/>
          <w:i/>
          <w:iCs/>
        </w:rPr>
        <w:t>simultaneously</w:t>
      </w:r>
      <w:r>
        <w:rPr>
          <w:rFonts w:eastAsia="等线"/>
          <w:b w:val="0"/>
          <w:bCs w:val="0"/>
          <w:i/>
          <w:iCs/>
        </w:rPr>
        <w:t>.</w:t>
      </w:r>
    </w:p>
    <w:p>
      <w:pPr>
        <w:spacing w:before="72" w:after="72"/>
        <w:rPr>
          <w:rFonts w:eastAsia="等线"/>
          <w:b w:val="0"/>
          <w:bCs w:val="0"/>
          <w:i/>
          <w:iCs/>
        </w:rPr>
      </w:pPr>
      <w:r>
        <w:rPr>
          <w:rFonts w:hint="eastAsia" w:eastAsia="等线"/>
          <w:b/>
          <w:bCs/>
          <w:i/>
          <w:iCs/>
        </w:rPr>
        <w:t xml:space="preserve">Proposal </w:t>
      </w:r>
      <w:r>
        <w:rPr>
          <w:b/>
          <w:bCs/>
          <w:i/>
          <w:iCs/>
        </w:rPr>
        <w:t>3-</w:t>
      </w:r>
      <w:r>
        <w:rPr>
          <w:rFonts w:hint="eastAsia" w:eastAsia="等线"/>
          <w:b/>
          <w:bCs/>
          <w:i/>
          <w:iCs/>
        </w:rPr>
        <w:t xml:space="preserve">3: </w:t>
      </w:r>
      <w:r>
        <w:rPr>
          <w:rFonts w:hint="eastAsia" w:eastAsia="等线"/>
          <w:b w:val="0"/>
          <w:bCs w:val="0"/>
          <w:i/>
          <w:iCs/>
        </w:rPr>
        <w:t>A</w:t>
      </w:r>
      <w:r>
        <w:rPr>
          <w:rFonts w:eastAsia="等线"/>
          <w:b w:val="0"/>
          <w:bCs w:val="0"/>
          <w:i/>
          <w:iCs/>
        </w:rPr>
        <w:t xml:space="preserve">dd an optional FG: </w:t>
      </w:r>
      <w:r>
        <w:rPr>
          <w:rFonts w:hint="eastAsia" w:eastAsia="等线"/>
          <w:b w:val="0"/>
          <w:bCs w:val="0"/>
          <w:i/>
          <w:iCs/>
        </w:rPr>
        <w:t xml:space="preserve">UE can </w:t>
      </w:r>
      <w:r>
        <w:rPr>
          <w:rFonts w:hint="eastAsia"/>
          <w:b w:val="0"/>
          <w:bCs w:val="0"/>
          <w:i/>
          <w:iCs/>
        </w:rPr>
        <w:t xml:space="preserve">operate LP-WUS monitoring and </w:t>
      </w:r>
      <w:r>
        <w:rPr>
          <w:rFonts w:eastAsia="等线"/>
          <w:b w:val="0"/>
          <w:bCs w:val="0"/>
          <w:i/>
          <w:iCs/>
        </w:rPr>
        <w:t>other NR signals/channels transmissions/receptions</w:t>
      </w:r>
      <w:r>
        <w:rPr>
          <w:rFonts w:hint="eastAsia" w:ascii="等线" w:hAnsi="等线" w:eastAsia="等线"/>
          <w:b w:val="0"/>
          <w:bCs w:val="0"/>
          <w:i/>
          <w:iCs/>
        </w:rPr>
        <w:t xml:space="preserve"> </w:t>
      </w:r>
      <w:r>
        <w:rPr>
          <w:rFonts w:hint="eastAsia" w:eastAsia="等线"/>
          <w:b w:val="0"/>
          <w:bCs w:val="0"/>
          <w:i/>
          <w:iCs/>
        </w:rPr>
        <w:t>simultaneously.</w:t>
      </w:r>
    </w:p>
    <w:p>
      <w:pPr>
        <w:spacing w:before="72" w:after="120" w:afterLines="50"/>
        <w:rPr>
          <w:rFonts w:eastAsia="微软雅黑"/>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NR_MC_enh2</w:t>
      </w:r>
    </w:p>
    <w:p>
      <w:pPr>
        <w:spacing w:before="72" w:after="72"/>
        <w:rPr>
          <w:rFonts w:eastAsia="MS Mincho"/>
          <w:szCs w:val="20"/>
        </w:rPr>
      </w:pPr>
      <w:r>
        <w:rPr>
          <w:rFonts w:eastAsia="MS Mincho"/>
          <w:szCs w:val="20"/>
          <w:lang w:eastAsia="ja-JP"/>
        </w:rPr>
        <w:t>Regarding the number of unicast DL DCIs that</w:t>
      </w:r>
      <w:bookmarkStart w:id="0" w:name="_GoBack"/>
      <w:bookmarkEnd w:id="0"/>
      <w:r>
        <w:rPr>
          <w:rFonts w:eastAsia="MS Mincho"/>
          <w:szCs w:val="20"/>
          <w:lang w:eastAsia="ja-JP"/>
        </w:rPr>
        <w:t xml:space="preserve"> can be processed</w:t>
      </w:r>
      <w:r>
        <w:rPr>
          <w:rFonts w:eastAsia="宋体"/>
          <w:szCs w:val="20"/>
        </w:rPr>
        <w:t xml:space="preserve"> for Rel-19 MC</w:t>
      </w:r>
      <w:r>
        <w:rPr>
          <w:rFonts w:hint="eastAsia" w:eastAsia="宋体"/>
          <w:szCs w:val="20"/>
        </w:rPr>
        <w:t>E</w:t>
      </w:r>
      <w:r>
        <w:rPr>
          <w:rFonts w:eastAsia="MS Mincho"/>
          <w:szCs w:val="20"/>
          <w:lang w:eastAsia="ja-JP"/>
        </w:rPr>
        <w:t>,</w:t>
      </w:r>
      <w:r>
        <w:rPr>
          <w:rFonts w:eastAsia="MS Mincho"/>
          <w:szCs w:val="20"/>
        </w:rPr>
        <w:t xml:space="preserve"> the following agreement was made</w:t>
      </w:r>
      <w:r>
        <w:rPr>
          <w:rFonts w:hint="eastAsia" w:eastAsia="MS Mincho"/>
          <w:szCs w:val="20"/>
        </w:rPr>
        <w:t>,</w:t>
      </w:r>
      <w:r>
        <w:rPr>
          <w:rFonts w:eastAsia="MS Mincho"/>
          <w:szCs w:val="20"/>
        </w:rPr>
        <w:t xml:space="preserve"> referr</w:t>
      </w:r>
      <w:r>
        <w:rPr>
          <w:rFonts w:hint="eastAsia" w:eastAsia="MS Mincho"/>
          <w:szCs w:val="20"/>
        </w:rPr>
        <w:t>ing</w:t>
      </w:r>
      <w:r>
        <w:rPr>
          <w:rFonts w:eastAsia="MS Mincho"/>
          <w:szCs w:val="20"/>
        </w:rPr>
        <w:t xml:space="preserve"> to Rel-18 </w:t>
      </w:r>
      <w:r>
        <w:rPr>
          <w:rFonts w:hint="eastAsia" w:eastAsia="MS Mincho"/>
          <w:szCs w:val="20"/>
        </w:rPr>
        <w:t xml:space="preserve">MC </w:t>
      </w:r>
      <w:r>
        <w:rPr>
          <w:rFonts w:eastAsia="MS Mincho"/>
          <w:szCs w:val="20"/>
        </w:rPr>
        <w:t>capability</w:t>
      </w:r>
      <w:r>
        <w:rPr>
          <w:rFonts w:hint="eastAsia" w:eastAsia="MS Mincho"/>
          <w:szCs w:val="20"/>
        </w:rPr>
        <w:t xml:space="preserve">. The main difference is that the SCS2 is </w:t>
      </w:r>
      <w:r>
        <w:rPr>
          <w:rFonts w:eastAsia="MS Gothic"/>
          <w:szCs w:val="20"/>
          <w:lang w:eastAsia="ja-JP"/>
        </w:rPr>
        <w:t>the smallest SCS among all cells in the cell set</w:t>
      </w:r>
      <w:r>
        <w:rPr>
          <w:rFonts w:eastAsia="MS Mincho"/>
          <w:szCs w:val="20"/>
        </w:rPr>
        <w:t>.</w:t>
      </w:r>
      <w:r>
        <w:rPr>
          <w:rFonts w:hint="eastAsia" w:eastAsia="MS Mincho"/>
          <w:szCs w:val="20"/>
        </w:rPr>
        <w:t xml:space="preserve"> </w:t>
      </w:r>
      <w:r>
        <w:rPr>
          <w:rFonts w:eastAsia="MS Mincho"/>
          <w:szCs w:val="20"/>
        </w:rP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46" w:type="dxa"/>
          </w:tcPr>
          <w:p>
            <w:pPr>
              <w:spacing w:before="72" w:after="72" w:line="240" w:lineRule="auto"/>
              <w:jc w:val="left"/>
              <w:rPr>
                <w:rFonts w:eastAsia="Yu Mincho"/>
                <w:b/>
                <w:bCs/>
                <w:szCs w:val="20"/>
                <w:lang w:val="en-GB" w:eastAsia="ja-JP"/>
              </w:rPr>
            </w:pPr>
            <w:r>
              <w:rPr>
                <w:rFonts w:eastAsia="Yu Mincho"/>
                <w:b/>
                <w:bCs/>
                <w:szCs w:val="20"/>
                <w:highlight w:val="green"/>
                <w:lang w:val="en-GB" w:eastAsia="ja-JP"/>
              </w:rPr>
              <w:t>Agreement:</w:t>
            </w:r>
          </w:p>
          <w:p>
            <w:pPr>
              <w:spacing w:before="72" w:after="72" w:line="240" w:lineRule="auto"/>
              <w:jc w:val="left"/>
              <w:rPr>
                <w:rFonts w:eastAsia="Yu Mincho"/>
                <w:szCs w:val="20"/>
                <w:lang w:eastAsia="ja-JP"/>
              </w:rPr>
            </w:pPr>
            <w:r>
              <w:rPr>
                <w:rFonts w:eastAsia="Yu Mincho"/>
                <w:szCs w:val="20"/>
                <w:lang w:eastAsia="ja-JP"/>
              </w:rPr>
              <w:t xml:space="preserve">Introduce the following new component in FG 66-1: </w:t>
            </w: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spacing w:before="72" w:after="72"/>
                    <w:rPr>
                      <w:rFonts w:eastAsia="MS Gothic"/>
                      <w:szCs w:val="20"/>
                    </w:rPr>
                  </w:pPr>
                  <w:r>
                    <w:rPr>
                      <w:rFonts w:eastAsia="MS Gothic"/>
                      <w:szCs w:val="20"/>
                    </w:rPr>
                    <w:t>The number of unicast DL DCIs to process per N consecutive slots of scheduling cell for a set of cells configured for multi-cell PDSCH scheduling by DCI format 1_3</w:t>
                  </w:r>
                </w:p>
                <w:p>
                  <w:pPr>
                    <w:numPr>
                      <w:ilvl w:val="0"/>
                      <w:numId w:val="23"/>
                    </w:numPr>
                    <w:spacing w:before="72" w:after="72" w:line="240" w:lineRule="auto"/>
                    <w:jc w:val="left"/>
                    <w:rPr>
                      <w:rFonts w:eastAsia="MS Gothic"/>
                      <w:szCs w:val="20"/>
                    </w:rPr>
                  </w:pPr>
                  <w:r>
                    <w:rPr>
                      <w:rFonts w:eastAsia="MS Gothic"/>
                      <w:szCs w:val="20"/>
                    </w:rPr>
                    <w:t>One DCI format 1_3 for the set of cells and,</w:t>
                  </w:r>
                </w:p>
                <w:p>
                  <w:pPr>
                    <w:numPr>
                      <w:ilvl w:val="0"/>
                      <w:numId w:val="23"/>
                    </w:numPr>
                    <w:spacing w:before="72" w:after="72" w:line="240" w:lineRule="auto"/>
                    <w:jc w:val="left"/>
                    <w:rPr>
                      <w:rFonts w:eastAsia="MS Gothic"/>
                      <w:szCs w:val="20"/>
                    </w:rPr>
                  </w:pPr>
                  <w:r>
                    <w:rPr>
                      <w:rFonts w:eastAsia="MS Gothic"/>
                      <w:szCs w:val="20"/>
                    </w:rPr>
                    <w:t>One unicast DL DCI formats 1_0/1_1/1_2 (if supported) for each of the cells that are not scheduled by DCI 1_3</w:t>
                  </w:r>
                </w:p>
                <w:p>
                  <w:pPr>
                    <w:numPr>
                      <w:ilvl w:val="1"/>
                      <w:numId w:val="23"/>
                    </w:numPr>
                    <w:spacing w:before="72" w:after="72" w:line="240" w:lineRule="auto"/>
                    <w:jc w:val="left"/>
                    <w:rPr>
                      <w:rFonts w:eastAsia="MS Gothic"/>
                      <w:szCs w:val="20"/>
                      <w:highlight w:val="yellow"/>
                    </w:rPr>
                  </w:pPr>
                  <w:r>
                    <w:rPr>
                      <w:rFonts w:eastAsia="MS Gothic"/>
                      <w:szCs w:val="20"/>
                      <w:highlight w:val="yellow"/>
                      <w:lang w:eastAsia="ja-JP"/>
                    </w:rPr>
                    <w:t>FFS support of more than one unicast DL DCI for the case when the UE indicates support of more than one unicast DCI per slot based on Rel-16 capability</w:t>
                  </w:r>
                </w:p>
                <w:p>
                  <w:pPr>
                    <w:numPr>
                      <w:ilvl w:val="0"/>
                      <w:numId w:val="23"/>
                    </w:numPr>
                    <w:spacing w:before="72" w:after="72" w:line="240" w:lineRule="auto"/>
                    <w:jc w:val="left"/>
                    <w:rPr>
                      <w:rFonts w:eastAsia="MS Gothic"/>
                      <w:szCs w:val="20"/>
                    </w:rPr>
                  </w:pPr>
                  <w:r>
                    <w:rPr>
                      <w:rFonts w:eastAsia="MS Gothic"/>
                      <w:szCs w:val="20"/>
                      <w:lang w:eastAsia="ja-JP"/>
                    </w:rPr>
                    <w:t>SCS1 is the SCS of scheduling CC, and SCS2 is the smallest SCS among all cells in the cell set</w:t>
                  </w:r>
                </w:p>
                <w:p>
                  <w:pPr>
                    <w:numPr>
                      <w:ilvl w:val="1"/>
                      <w:numId w:val="23"/>
                    </w:numPr>
                    <w:spacing w:before="72" w:after="72" w:line="240" w:lineRule="auto"/>
                    <w:jc w:val="left"/>
                    <w:rPr>
                      <w:rFonts w:eastAsia="MS Gothic"/>
                      <w:szCs w:val="20"/>
                    </w:rPr>
                  </w:pPr>
                  <w:r>
                    <w:rPr>
                      <w:rFonts w:eastAsia="MS Gothic"/>
                      <w:szCs w:val="20"/>
                      <w:lang w:eastAsia="ja-JP"/>
                    </w:rPr>
                    <w:t xml:space="preserve">For SCS1 smaller than or equal to SCS2, N = 1 </w:t>
                  </w:r>
                </w:p>
                <w:p>
                  <w:pPr>
                    <w:numPr>
                      <w:ilvl w:val="1"/>
                      <w:numId w:val="23"/>
                    </w:numPr>
                    <w:spacing w:before="72" w:after="72" w:line="240" w:lineRule="auto"/>
                    <w:jc w:val="left"/>
                    <w:rPr>
                      <w:rFonts w:eastAsia="MS Gothic"/>
                      <w:strike/>
                      <w:szCs w:val="20"/>
                    </w:rPr>
                  </w:pPr>
                  <w:r>
                    <w:rPr>
                      <w:rFonts w:eastAsia="MS Gothic"/>
                      <w:szCs w:val="20"/>
                      <w:lang w:eastAsia="ja-JP"/>
                    </w:rPr>
                    <w:t>For SCS1 larger than SCS2</w:t>
                  </w:r>
                  <w:r>
                    <w:rPr>
                      <w:rFonts w:eastAsia="MS Gothic"/>
                      <w:szCs w:val="20"/>
                    </w:rPr>
                    <w:t>: N=2 for (</w:t>
                  </w:r>
                  <w:r>
                    <w:rPr>
                      <w:rFonts w:eastAsia="MS Gothic"/>
                      <w:szCs w:val="20"/>
                      <w:lang w:eastAsia="ja-JP"/>
                    </w:rPr>
                    <w:t xml:space="preserve">SCS1 equal to </w:t>
                  </w:r>
                  <w:r>
                    <w:rPr>
                      <w:rFonts w:eastAsia="MS Gothic"/>
                      <w:szCs w:val="20"/>
                    </w:rPr>
                    <w:t>30</w:t>
                  </w:r>
                  <w:r>
                    <w:rPr>
                      <w:rFonts w:eastAsia="MS Gothic"/>
                      <w:szCs w:val="20"/>
                      <w:lang w:eastAsia="ja-JP"/>
                    </w:rPr>
                    <w:t>kHz</w:t>
                  </w:r>
                  <w:r>
                    <w:rPr>
                      <w:rFonts w:eastAsia="MS Gothic"/>
                      <w:szCs w:val="20"/>
                    </w:rPr>
                    <w:t>,</w:t>
                  </w:r>
                  <w:r>
                    <w:rPr>
                      <w:rFonts w:eastAsia="MS Gothic"/>
                      <w:szCs w:val="20"/>
                      <w:lang w:eastAsia="ja-JP"/>
                    </w:rPr>
                    <w:t xml:space="preserve"> SCS2 equal to </w:t>
                  </w:r>
                  <w:r>
                    <w:rPr>
                      <w:rFonts w:eastAsia="MS Gothic"/>
                      <w:szCs w:val="20"/>
                    </w:rPr>
                    <w:t>15</w:t>
                  </w:r>
                  <w:r>
                    <w:rPr>
                      <w:rFonts w:eastAsia="MS Gothic"/>
                      <w:szCs w:val="20"/>
                      <w:lang w:eastAsia="ja-JP"/>
                    </w:rPr>
                    <w:t>kHz</w:t>
                  </w:r>
                  <w:r>
                    <w:rPr>
                      <w:rFonts w:eastAsia="MS Gothic"/>
                      <w:szCs w:val="20"/>
                    </w:rPr>
                    <w:t>)</w:t>
                  </w:r>
                </w:p>
              </w:tc>
            </w:tr>
          </w:tbl>
          <w:p>
            <w:pPr>
              <w:spacing w:before="72" w:after="72"/>
              <w:rPr>
                <w:rFonts w:eastAsia="MS Mincho"/>
                <w:szCs w:val="20"/>
              </w:rPr>
            </w:pPr>
          </w:p>
        </w:tc>
      </w:tr>
    </w:tbl>
    <w:p>
      <w:pPr>
        <w:spacing w:before="72" w:after="72"/>
        <w:rPr>
          <w:rFonts w:eastAsia="微软雅黑"/>
          <w:szCs w:val="20"/>
        </w:rPr>
      </w:pPr>
      <w:r>
        <w:rPr>
          <w:rFonts w:hint="eastAsia" w:eastAsia="微软雅黑"/>
          <w:szCs w:val="20"/>
        </w:rPr>
        <w:t xml:space="preserve">The remaining issue is FFS support of more than one unicast DL DCI for the case when the UE indicates support of more than one unicast DCI per slot based on Rel-16 capability. In Rel-16, FG18-5c/d on support of more than one unicast DCI per slot of scheduling CC per scheduled CC were introduced for the scheduling CC SCS smaller than the scheduled CC SCS. </w:t>
      </w:r>
    </w:p>
    <w:tbl>
      <w:tblPr>
        <w:tblStyle w:val="4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456"/>
        <w:gridCol w:w="996"/>
        <w:gridCol w:w="3819"/>
        <w:gridCol w:w="554"/>
        <w:gridCol w:w="496"/>
        <w:gridCol w:w="526"/>
        <w:gridCol w:w="321"/>
        <w:gridCol w:w="551"/>
        <w:gridCol w:w="526"/>
        <w:gridCol w:w="526"/>
        <w:gridCol w:w="526"/>
        <w:gridCol w:w="2947"/>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tcBorders>
              <w:left w:val="single" w:color="auto" w:sz="4" w:space="0"/>
              <w:right w:val="single" w:color="auto" w:sz="4" w:space="0"/>
            </w:tcBorders>
          </w:tcPr>
          <w:p>
            <w:pPr>
              <w:pStyle w:val="61"/>
              <w:spacing w:before="72" w:after="72"/>
              <w:rPr>
                <w:rFonts w:ascii="Times New Roman" w:hAnsi="Times New Roman"/>
                <w:szCs w:val="18"/>
                <w:lang w:eastAsia="ja-JP"/>
              </w:rPr>
            </w:pPr>
            <w:r>
              <w:rPr>
                <w:rFonts w:ascii="Times New Roman" w:hAnsi="Times New Roman"/>
                <w:szCs w:val="18"/>
                <w:lang w:eastAsia="ja-JP"/>
              </w:rPr>
              <w:t>18. MR-DC/CA enhancement</w:t>
            </w:r>
          </w:p>
        </w:tc>
        <w:tc>
          <w:tcPr>
            <w:tcW w:w="158" w:type="pct"/>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szCs w:val="18"/>
                <w:lang w:eastAsia="ja-JP"/>
              </w:rPr>
            </w:pPr>
            <w:r>
              <w:rPr>
                <w:rFonts w:ascii="Times New Roman" w:hAnsi="Times New Roman"/>
                <w:szCs w:val="18"/>
                <w:lang w:eastAsia="ja-JP"/>
              </w:rPr>
              <w:t>18-5c</w:t>
            </w:r>
          </w:p>
        </w:tc>
        <w:tc>
          <w:tcPr>
            <w:tcW w:w="347" w:type="pct"/>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szCs w:val="18"/>
                <w:lang w:eastAsia="ja-JP"/>
              </w:rPr>
            </w:pPr>
            <w:r>
              <w:rPr>
                <w:rFonts w:ascii="Times New Roman" w:hAnsi="Times New Roman"/>
                <w:szCs w:val="18"/>
                <w:lang w:eastAsia="ja-JP"/>
              </w:rPr>
              <w:t>Processing up to X unicast DCI scheduling for DL per scheduled CC</w:t>
            </w:r>
          </w:p>
        </w:tc>
        <w:tc>
          <w:tcPr>
            <w:tcW w:w="1422"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szCs w:val="18"/>
              </w:rPr>
            </w:pPr>
            <w:r>
              <w:rPr>
                <w:rFonts w:ascii="Times New Roman" w:hAnsi="Times New Roman"/>
                <w:szCs w:val="18"/>
              </w:rPr>
              <w:t xml:space="preserve">Processing up to X unicast DCI scheduling for DL per scheduled CC </w:t>
            </w:r>
          </w:p>
          <w:p>
            <w:pPr>
              <w:pStyle w:val="61"/>
              <w:numPr>
                <w:ilvl w:val="1"/>
                <w:numId w:val="24"/>
              </w:numPr>
              <w:spacing w:before="72" w:after="72"/>
              <w:rPr>
                <w:rFonts w:ascii="Times New Roman" w:hAnsi="Times New Roman"/>
                <w:szCs w:val="18"/>
              </w:rPr>
            </w:pPr>
            <w:r>
              <w:rPr>
                <w:rFonts w:ascii="Times New Roman" w:hAnsi="Times New Roman"/>
                <w:szCs w:val="18"/>
              </w:rPr>
              <w:t>X is based on pair of (scheduling CC SCS, scheduled CC SCS):</w:t>
            </w:r>
          </w:p>
          <w:p>
            <w:pPr>
              <w:pStyle w:val="61"/>
              <w:numPr>
                <w:ilvl w:val="2"/>
                <w:numId w:val="24"/>
              </w:numPr>
              <w:spacing w:before="72" w:after="72"/>
              <w:rPr>
                <w:rFonts w:ascii="Times New Roman" w:hAnsi="Times New Roman"/>
                <w:szCs w:val="18"/>
              </w:rPr>
            </w:pPr>
            <w:r>
              <w:rPr>
                <w:rFonts w:ascii="Times New Roman" w:hAnsi="Times New Roman"/>
                <w:szCs w:val="18"/>
              </w:rPr>
              <w:t>Candidate value(s) of X</w:t>
            </w:r>
          </w:p>
          <w:p>
            <w:pPr>
              <w:pStyle w:val="129"/>
              <w:numPr>
                <w:ilvl w:val="3"/>
                <w:numId w:val="24"/>
              </w:numPr>
              <w:spacing w:before="72" w:after="72"/>
              <w:ind w:firstLine="360"/>
              <w:rPr>
                <w:sz w:val="18"/>
                <w:szCs w:val="18"/>
                <w:lang w:eastAsia="en-US"/>
              </w:rPr>
            </w:pPr>
            <w:r>
              <w:rPr>
                <w:sz w:val="18"/>
                <w:szCs w:val="18"/>
                <w:lang w:eastAsia="en-US"/>
              </w:rPr>
              <w:t>X={1,2,4} for (15,120), (15,60), (30,120) and X={2} for (15,30), (30,60), (60,120 kHz)</w:t>
            </w:r>
          </w:p>
          <w:p>
            <w:pPr>
              <w:pStyle w:val="61"/>
              <w:numPr>
                <w:ilvl w:val="2"/>
                <w:numId w:val="24"/>
              </w:numPr>
              <w:spacing w:before="72" w:after="72"/>
              <w:rPr>
                <w:rFonts w:ascii="Times New Roman" w:hAnsi="Times New Roman"/>
                <w:szCs w:val="18"/>
              </w:rPr>
            </w:pPr>
            <w:r>
              <w:rPr>
                <w:rFonts w:ascii="Times New Roman" w:hAnsi="Times New Roman"/>
                <w:szCs w:val="18"/>
              </w:rPr>
              <w:t>X applies per slot of scheduling CC</w:t>
            </w:r>
          </w:p>
          <w:p>
            <w:pPr>
              <w:pStyle w:val="61"/>
              <w:spacing w:before="72" w:after="72"/>
              <w:rPr>
                <w:rFonts w:ascii="Times New Roman" w:hAnsi="Times New Roman"/>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18-5</w:t>
            </w:r>
          </w:p>
        </w:tc>
        <w:tc>
          <w:tcPr>
            <w:tcW w:w="191"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Yes</w:t>
            </w:r>
          </w:p>
        </w:tc>
        <w:tc>
          <w:tcPr>
            <w:tcW w:w="190"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iCs/>
                <w:szCs w:val="18"/>
                <w:lang w:eastAsia="ja-JP"/>
              </w:rPr>
            </w:pPr>
            <w:r>
              <w:rPr>
                <w:rFonts w:ascii="Times New Roman" w:hAnsi="Times New Roman" w:eastAsia="MS Mincho"/>
                <w:iCs/>
                <w:szCs w:val="18"/>
                <w:lang w:eastAsia="ja-JP"/>
              </w:rPr>
              <w:t>N/A</w:t>
            </w:r>
          </w:p>
        </w:tc>
        <w:tc>
          <w:tcPr>
            <w:tcW w:w="316"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szCs w:val="18"/>
                <w:lang w:eastAsia="ja-JP"/>
              </w:rPr>
            </w:pPr>
          </w:p>
        </w:tc>
        <w:tc>
          <w:tcPr>
            <w:tcW w:w="284"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Per FS</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N/A</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N/A</w:t>
            </w:r>
          </w:p>
        </w:tc>
        <w:tc>
          <w:tcPr>
            <w:tcW w:w="220"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N/A</w:t>
            </w:r>
          </w:p>
        </w:tc>
        <w:tc>
          <w:tcPr>
            <w:tcW w:w="602"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szCs w:val="18"/>
                <w:lang w:eastAsia="ja-JP"/>
              </w:rPr>
            </w:pPr>
            <w:r>
              <w:rPr>
                <w:rFonts w:ascii="Times New Roman" w:hAnsi="Times New Roman"/>
                <w:szCs w:val="18"/>
                <w:lang w:eastAsia="ja-JP"/>
              </w:rPr>
              <w:t>This FG is only applicable to the basic PDCCH monitoring capability 3-1</w:t>
            </w:r>
          </w:p>
          <w:p>
            <w:pPr>
              <w:pStyle w:val="61"/>
              <w:spacing w:before="72" w:after="72"/>
              <w:rPr>
                <w:rFonts w:ascii="Times New Roman" w:hAnsi="Times New Roman" w:eastAsia="MS Mincho"/>
                <w:szCs w:val="18"/>
                <w:lang w:eastAsia="ja-JP"/>
              </w:rPr>
            </w:pPr>
          </w:p>
          <w:p>
            <w:pPr>
              <w:pStyle w:val="61"/>
              <w:spacing w:before="72" w:after="72"/>
              <w:rPr>
                <w:rFonts w:ascii="Times New Roman" w:hAnsi="Times New Roman"/>
                <w:szCs w:val="18"/>
              </w:rPr>
            </w:pPr>
            <w:r>
              <w:rPr>
                <w:rFonts w:ascii="Times New Roman" w:hAnsi="Times New Roman"/>
                <w:szCs w:val="18"/>
              </w:rPr>
              <w:t>Regarding the interpretation of UE capabilities in case of cross-carrier operation, support of 18-5c is based on the support of this capability for both the band of the scheduled/triggered/indicated cell and the band of the scheduling/triggering/indicating cell</w:t>
            </w:r>
          </w:p>
          <w:p>
            <w:pPr>
              <w:pStyle w:val="129"/>
              <w:numPr>
                <w:ilvl w:val="0"/>
                <w:numId w:val="25"/>
              </w:numPr>
              <w:spacing w:before="72" w:after="72"/>
              <w:ind w:firstLine="360"/>
              <w:rPr>
                <w:rFonts w:eastAsia="MS Mincho"/>
                <w:sz w:val="18"/>
                <w:szCs w:val="18"/>
              </w:rPr>
            </w:pPr>
            <w:r>
              <w:rPr>
                <w:rFonts w:eastAsia="MS Mincho"/>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284"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szCs w:val="18"/>
              </w:rPr>
            </w:pPr>
            <w:r>
              <w:rPr>
                <w:rFonts w:ascii="Times New Roman" w:hAnsi="Times New Roman"/>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tcBorders>
              <w:left w:val="single" w:color="auto" w:sz="4" w:space="0"/>
              <w:right w:val="single" w:color="auto" w:sz="4" w:space="0"/>
            </w:tcBorders>
          </w:tcPr>
          <w:p>
            <w:pPr>
              <w:pStyle w:val="61"/>
              <w:spacing w:before="72" w:after="72"/>
              <w:rPr>
                <w:rFonts w:ascii="Times New Roman" w:hAnsi="Times New Roman"/>
                <w:szCs w:val="18"/>
                <w:lang w:eastAsia="ja-JP"/>
              </w:rPr>
            </w:pPr>
            <w:r>
              <w:rPr>
                <w:rFonts w:ascii="Times New Roman" w:hAnsi="Times New Roman"/>
                <w:szCs w:val="18"/>
                <w:lang w:eastAsia="ja-JP"/>
              </w:rPr>
              <w:t>18. MR-DC/CA enhancement</w:t>
            </w:r>
          </w:p>
        </w:tc>
        <w:tc>
          <w:tcPr>
            <w:tcW w:w="158" w:type="pct"/>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szCs w:val="18"/>
                <w:lang w:eastAsia="ja-JP"/>
              </w:rPr>
            </w:pPr>
            <w:r>
              <w:rPr>
                <w:rFonts w:ascii="Times New Roman" w:hAnsi="Times New Roman"/>
                <w:szCs w:val="18"/>
                <w:lang w:eastAsia="ja-JP"/>
              </w:rPr>
              <w:t>18-5d</w:t>
            </w:r>
          </w:p>
        </w:tc>
        <w:tc>
          <w:tcPr>
            <w:tcW w:w="347" w:type="pct"/>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szCs w:val="18"/>
                <w:lang w:eastAsia="ja-JP"/>
              </w:rPr>
            </w:pPr>
            <w:r>
              <w:rPr>
                <w:rFonts w:ascii="Times New Roman" w:hAnsi="Times New Roman"/>
                <w:szCs w:val="18"/>
                <w:lang w:eastAsia="ja-JP"/>
              </w:rPr>
              <w:t>Processing up to X unicast DCI scheduling for UL per scheduled CC</w:t>
            </w:r>
          </w:p>
        </w:tc>
        <w:tc>
          <w:tcPr>
            <w:tcW w:w="1422"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szCs w:val="18"/>
              </w:rPr>
            </w:pPr>
            <w:r>
              <w:rPr>
                <w:rFonts w:ascii="Times New Roman" w:hAnsi="Times New Roman"/>
                <w:szCs w:val="18"/>
              </w:rPr>
              <w:t xml:space="preserve">Processing up to X unicast DCI scheduling for UL per scheduled CC </w:t>
            </w:r>
          </w:p>
          <w:p>
            <w:pPr>
              <w:pStyle w:val="61"/>
              <w:numPr>
                <w:ilvl w:val="1"/>
                <w:numId w:val="24"/>
              </w:numPr>
              <w:spacing w:before="72" w:after="72"/>
              <w:rPr>
                <w:rFonts w:ascii="Times New Roman" w:hAnsi="Times New Roman"/>
                <w:szCs w:val="18"/>
              </w:rPr>
            </w:pPr>
            <w:r>
              <w:rPr>
                <w:rFonts w:ascii="Times New Roman" w:hAnsi="Times New Roman"/>
                <w:szCs w:val="18"/>
              </w:rPr>
              <w:t>X is based on pair of (scheduling CC SCS, scheduled CC SCS):</w:t>
            </w:r>
          </w:p>
          <w:p>
            <w:pPr>
              <w:pStyle w:val="61"/>
              <w:numPr>
                <w:ilvl w:val="2"/>
                <w:numId w:val="24"/>
              </w:numPr>
              <w:spacing w:before="72" w:after="72"/>
              <w:rPr>
                <w:rFonts w:ascii="Times New Roman" w:hAnsi="Times New Roman"/>
                <w:szCs w:val="18"/>
              </w:rPr>
            </w:pPr>
            <w:r>
              <w:rPr>
                <w:rFonts w:ascii="Times New Roman" w:hAnsi="Times New Roman"/>
                <w:szCs w:val="18"/>
              </w:rPr>
              <w:t>Candidate value(s) of X</w:t>
            </w:r>
          </w:p>
          <w:p>
            <w:pPr>
              <w:pStyle w:val="129"/>
              <w:numPr>
                <w:ilvl w:val="3"/>
                <w:numId w:val="24"/>
              </w:numPr>
              <w:spacing w:before="72" w:after="72"/>
              <w:ind w:firstLine="360"/>
              <w:rPr>
                <w:sz w:val="18"/>
                <w:szCs w:val="18"/>
                <w:lang w:eastAsia="en-US"/>
              </w:rPr>
            </w:pPr>
            <w:r>
              <w:rPr>
                <w:sz w:val="18"/>
                <w:szCs w:val="18"/>
                <w:lang w:eastAsia="en-US"/>
              </w:rPr>
              <w:t>X={1,2,4} for (15,120), (15,60), (30,120) and X={2} for (15,30), (30,60), (60,120 kHz)</w:t>
            </w:r>
          </w:p>
          <w:p>
            <w:pPr>
              <w:pStyle w:val="61"/>
              <w:numPr>
                <w:ilvl w:val="2"/>
                <w:numId w:val="24"/>
              </w:numPr>
              <w:spacing w:before="72" w:after="72"/>
              <w:rPr>
                <w:rFonts w:ascii="Times New Roman" w:hAnsi="Times New Roman"/>
                <w:szCs w:val="18"/>
              </w:rPr>
            </w:pPr>
            <w:r>
              <w:rPr>
                <w:rFonts w:ascii="Times New Roman" w:hAnsi="Times New Roman"/>
                <w:szCs w:val="18"/>
              </w:rPr>
              <w:t>X applies slot of scheduling CC</w:t>
            </w:r>
          </w:p>
          <w:p>
            <w:pPr>
              <w:pStyle w:val="61"/>
              <w:spacing w:before="72" w:after="72"/>
              <w:rPr>
                <w:rFonts w:ascii="Times New Roman" w:hAnsi="Times New Roman"/>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18-5b</w:t>
            </w:r>
          </w:p>
        </w:tc>
        <w:tc>
          <w:tcPr>
            <w:tcW w:w="191"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Yes</w:t>
            </w:r>
          </w:p>
        </w:tc>
        <w:tc>
          <w:tcPr>
            <w:tcW w:w="190"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iCs/>
                <w:szCs w:val="18"/>
                <w:lang w:eastAsia="ja-JP"/>
              </w:rPr>
            </w:pPr>
            <w:r>
              <w:rPr>
                <w:rFonts w:ascii="Times New Roman" w:hAnsi="Times New Roman" w:eastAsia="MS Mincho"/>
                <w:iCs/>
                <w:szCs w:val="18"/>
                <w:lang w:eastAsia="ja-JP"/>
              </w:rPr>
              <w:t>N/A</w:t>
            </w:r>
          </w:p>
        </w:tc>
        <w:tc>
          <w:tcPr>
            <w:tcW w:w="316"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szCs w:val="18"/>
                <w:lang w:eastAsia="ja-JP"/>
              </w:rPr>
            </w:pPr>
          </w:p>
        </w:tc>
        <w:tc>
          <w:tcPr>
            <w:tcW w:w="284"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Per FS</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N/A</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N/A</w:t>
            </w:r>
          </w:p>
        </w:tc>
        <w:tc>
          <w:tcPr>
            <w:tcW w:w="220"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szCs w:val="18"/>
                <w:lang w:eastAsia="ja-JP"/>
              </w:rPr>
            </w:pPr>
            <w:r>
              <w:rPr>
                <w:rFonts w:ascii="Times New Roman" w:hAnsi="Times New Roman" w:eastAsia="MS Mincho"/>
                <w:szCs w:val="18"/>
                <w:lang w:eastAsia="ja-JP"/>
              </w:rPr>
              <w:t>N/A</w:t>
            </w:r>
          </w:p>
        </w:tc>
        <w:tc>
          <w:tcPr>
            <w:tcW w:w="602"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szCs w:val="18"/>
                <w:lang w:eastAsia="ja-JP"/>
              </w:rPr>
            </w:pPr>
            <w:r>
              <w:rPr>
                <w:rFonts w:ascii="Times New Roman" w:hAnsi="Times New Roman"/>
                <w:szCs w:val="18"/>
                <w:lang w:eastAsia="ja-JP"/>
              </w:rPr>
              <w:t>This FG is only applicable to the basic PDCCH monitoring capability 3-1</w:t>
            </w:r>
          </w:p>
          <w:p>
            <w:pPr>
              <w:pStyle w:val="61"/>
              <w:spacing w:before="72" w:after="72"/>
              <w:rPr>
                <w:rFonts w:ascii="Times New Roman" w:hAnsi="Times New Roman" w:eastAsia="MS Mincho"/>
                <w:szCs w:val="18"/>
                <w:lang w:eastAsia="ja-JP"/>
              </w:rPr>
            </w:pPr>
          </w:p>
          <w:p>
            <w:pPr>
              <w:pStyle w:val="61"/>
              <w:spacing w:before="72" w:after="72"/>
              <w:rPr>
                <w:rFonts w:ascii="Times New Roman" w:hAnsi="Times New Roman"/>
                <w:szCs w:val="18"/>
              </w:rPr>
            </w:pPr>
            <w:r>
              <w:rPr>
                <w:rFonts w:ascii="Times New Roman" w:hAnsi="Times New Roman"/>
                <w:szCs w:val="18"/>
              </w:rPr>
              <w:t>Regarding the interpretation of UE capabilities in case of cross-carrier operation, support of 18-5d is based on the support of this capability for both the band of the scheduled/triggered/indicated cell and the band of the scheduling/triggering/indicating cell</w:t>
            </w:r>
          </w:p>
          <w:p>
            <w:pPr>
              <w:pStyle w:val="129"/>
              <w:numPr>
                <w:ilvl w:val="0"/>
                <w:numId w:val="26"/>
              </w:numPr>
              <w:spacing w:before="72" w:after="72"/>
              <w:ind w:firstLine="360"/>
              <w:rPr>
                <w:rFonts w:eastAsia="MS Mincho"/>
                <w:sz w:val="18"/>
                <w:szCs w:val="18"/>
              </w:rPr>
            </w:pPr>
            <w:r>
              <w:rPr>
                <w:rFonts w:eastAsia="MS Mincho"/>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284" w:type="pct"/>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szCs w:val="18"/>
              </w:rPr>
            </w:pPr>
            <w:r>
              <w:rPr>
                <w:rFonts w:ascii="Times New Roman" w:hAnsi="Times New Roman"/>
                <w:szCs w:val="18"/>
              </w:rPr>
              <w:t>Optional with capability signalling</w:t>
            </w:r>
          </w:p>
        </w:tc>
      </w:tr>
    </w:tbl>
    <w:p>
      <w:pPr>
        <w:spacing w:before="72" w:after="72"/>
        <w:rPr>
          <w:szCs w:val="20"/>
        </w:rPr>
      </w:pPr>
      <w:r>
        <w:rPr>
          <w:szCs w:val="20"/>
        </w:rPr>
        <w:t xml:space="preserve">Since SCS of </w:t>
      </w:r>
      <w:r>
        <w:rPr>
          <w:rFonts w:hint="eastAsia"/>
          <w:szCs w:val="20"/>
        </w:rPr>
        <w:t>a</w:t>
      </w:r>
      <w:r>
        <w:rPr>
          <w:szCs w:val="20"/>
        </w:rPr>
        <w:t xml:space="preserve"> cell of the cells that </w:t>
      </w:r>
      <w:r>
        <w:rPr>
          <w:rFonts w:hint="eastAsia"/>
          <w:szCs w:val="20"/>
        </w:rPr>
        <w:t>are</w:t>
      </w:r>
      <w:r>
        <w:rPr>
          <w:szCs w:val="20"/>
        </w:rPr>
        <w:t xml:space="preserve"> not scheduled by DCI 1_3 could be equal to or smaller/larger than the SCS of the scheduling cell, different cases are listed and analyzed below.</w:t>
      </w:r>
    </w:p>
    <w:p>
      <w:pPr>
        <w:numPr>
          <w:ilvl w:val="0"/>
          <w:numId w:val="27"/>
        </w:numPr>
        <w:spacing w:before="72" w:after="72"/>
        <w:rPr>
          <w:szCs w:val="20"/>
        </w:rPr>
      </w:pPr>
      <w:r>
        <w:rPr>
          <w:szCs w:val="20"/>
        </w:rPr>
        <w:t>Scenario#1</w:t>
      </w:r>
      <w:r>
        <w:rPr>
          <w:rFonts w:hint="eastAsia"/>
          <w:szCs w:val="20"/>
        </w:rPr>
        <w:t xml:space="preserve">: </w:t>
      </w:r>
      <w:r>
        <w:rPr>
          <w:szCs w:val="20"/>
        </w:rPr>
        <w:t>N=1 (</w:t>
      </w:r>
      <w:r>
        <w:rPr>
          <w:rFonts w:eastAsia="MS Gothic"/>
          <w:szCs w:val="20"/>
          <w:lang w:eastAsia="ja-JP"/>
        </w:rPr>
        <w:t>SCS1 smaller than or equal to SCS2</w:t>
      </w:r>
      <w:r>
        <w:rPr>
          <w:szCs w:val="20"/>
        </w:rPr>
        <w:t>)</w:t>
      </w:r>
    </w:p>
    <w:p>
      <w:pPr>
        <w:numPr>
          <w:ilvl w:val="0"/>
          <w:numId w:val="28"/>
        </w:numPr>
        <w:spacing w:before="72" w:after="72"/>
        <w:ind w:left="840"/>
        <w:rPr>
          <w:szCs w:val="20"/>
        </w:rPr>
      </w:pPr>
      <w:r>
        <w:rPr>
          <w:szCs w:val="20"/>
        </w:rPr>
        <w:t xml:space="preserve">Case 1-1: SCS of the cell not scheduled by DCI 1_3 is equal </w:t>
      </w:r>
      <w:r>
        <w:rPr>
          <w:rFonts w:hint="eastAsia"/>
          <w:szCs w:val="20"/>
        </w:rPr>
        <w:t xml:space="preserve">to </w:t>
      </w:r>
      <w:r>
        <w:rPr>
          <w:szCs w:val="20"/>
        </w:rPr>
        <w:t>the SCS of the scheduling cell</w:t>
      </w:r>
    </w:p>
    <w:p>
      <w:pPr>
        <w:spacing w:before="72" w:after="72"/>
        <w:ind w:left="840"/>
        <w:rPr>
          <w:szCs w:val="20"/>
        </w:rPr>
      </w:pPr>
      <w:r>
        <w:rPr>
          <w:szCs w:val="20"/>
        </w:rPr>
        <w:t xml:space="preserve">No need to support more than one unicast DL DCI </w:t>
      </w:r>
      <w:r>
        <w:rPr>
          <w:rFonts w:eastAsia="MS Gothic"/>
          <w:szCs w:val="20"/>
        </w:rPr>
        <w:t xml:space="preserve">for the cell that </w:t>
      </w:r>
      <w:r>
        <w:rPr>
          <w:rFonts w:hint="eastAsia" w:eastAsia="宋体"/>
          <w:szCs w:val="20"/>
        </w:rPr>
        <w:t>is</w:t>
      </w:r>
      <w:r>
        <w:rPr>
          <w:rFonts w:eastAsia="MS Gothic"/>
          <w:szCs w:val="20"/>
        </w:rPr>
        <w:t xml:space="preserve"> not scheduled by DCI 1_3</w:t>
      </w:r>
      <w:r>
        <w:rPr>
          <w:szCs w:val="20"/>
        </w:rPr>
        <w:t xml:space="preserve">, one unicast DL DCI is enough for </w:t>
      </w:r>
      <w:r>
        <w:rPr>
          <w:rFonts w:hint="eastAsia"/>
          <w:szCs w:val="20"/>
        </w:rPr>
        <w:t>this case</w:t>
      </w:r>
      <w:r>
        <w:rPr>
          <w:szCs w:val="20"/>
        </w:rPr>
        <w:t>.</w:t>
      </w:r>
    </w:p>
    <w:p>
      <w:pPr>
        <w:numPr>
          <w:ilvl w:val="0"/>
          <w:numId w:val="29"/>
        </w:numPr>
        <w:spacing w:before="72" w:after="72"/>
        <w:ind w:left="840"/>
        <w:rPr>
          <w:szCs w:val="20"/>
        </w:rPr>
      </w:pPr>
      <w:r>
        <w:rPr>
          <w:szCs w:val="20"/>
        </w:rPr>
        <w:t>Case 1-2: SCS of the cell not scheduled by DCI 1_3 is the larger than the SCS of the scheduling cell</w:t>
      </w:r>
    </w:p>
    <w:p>
      <w:pPr>
        <w:spacing w:before="72" w:after="72"/>
        <w:ind w:left="840"/>
        <w:rPr>
          <w:szCs w:val="20"/>
        </w:rPr>
      </w:pPr>
      <w:r>
        <w:rPr>
          <w:szCs w:val="20"/>
        </w:rPr>
        <w:t xml:space="preserve">More than one unicast DL DCI </w:t>
      </w:r>
      <w:r>
        <w:rPr>
          <w:rFonts w:hint="eastAsia"/>
          <w:szCs w:val="20"/>
        </w:rPr>
        <w:t>shall be supported</w:t>
      </w:r>
      <w:r>
        <w:rPr>
          <w:szCs w:val="20"/>
        </w:rPr>
        <w:t xml:space="preserve"> for </w:t>
      </w:r>
      <w:r>
        <w:rPr>
          <w:rFonts w:eastAsia="MS Gothic"/>
          <w:szCs w:val="20"/>
        </w:rPr>
        <w:t xml:space="preserve">the cell that </w:t>
      </w:r>
      <w:r>
        <w:rPr>
          <w:rFonts w:hint="eastAsia" w:eastAsia="宋体"/>
          <w:szCs w:val="20"/>
        </w:rPr>
        <w:t>is</w:t>
      </w:r>
      <w:r>
        <w:rPr>
          <w:rFonts w:eastAsia="MS Gothic"/>
          <w:szCs w:val="20"/>
        </w:rPr>
        <w:t xml:space="preserve"> not scheduled by DCI 1_3</w:t>
      </w:r>
      <w:r>
        <w:rPr>
          <w:rFonts w:hint="eastAsia" w:eastAsia="宋体"/>
          <w:szCs w:val="20"/>
        </w:rPr>
        <w:t>. Otherwise, (M-1) slots cannot be scheduled based on the basic capability, wherein M = (</w:t>
      </w:r>
      <w:r>
        <w:rPr>
          <w:szCs w:val="20"/>
        </w:rPr>
        <w:t>schedul</w:t>
      </w:r>
      <w:r>
        <w:rPr>
          <w:rFonts w:hint="eastAsia"/>
          <w:szCs w:val="20"/>
        </w:rPr>
        <w:t>ed</w:t>
      </w:r>
      <w:r>
        <w:rPr>
          <w:szCs w:val="20"/>
        </w:rPr>
        <w:t xml:space="preserve"> CC SCS</w:t>
      </w:r>
      <w:r>
        <w:rPr>
          <w:rFonts w:hint="eastAsia"/>
          <w:szCs w:val="20"/>
        </w:rPr>
        <w:t>)/</w:t>
      </w:r>
      <w:r>
        <w:rPr>
          <w:rFonts w:hint="eastAsia" w:eastAsia="宋体"/>
          <w:szCs w:val="20"/>
        </w:rPr>
        <w:t>(</w:t>
      </w:r>
      <w:r>
        <w:rPr>
          <w:szCs w:val="20"/>
        </w:rPr>
        <w:t>schedul</w:t>
      </w:r>
      <w:r>
        <w:rPr>
          <w:rFonts w:hint="eastAsia"/>
          <w:szCs w:val="20"/>
        </w:rPr>
        <w:t>ing</w:t>
      </w:r>
      <w:r>
        <w:rPr>
          <w:szCs w:val="20"/>
        </w:rPr>
        <w:t xml:space="preserve"> CC SCS</w:t>
      </w:r>
      <w:r>
        <w:rPr>
          <w:rFonts w:hint="eastAsia"/>
          <w:szCs w:val="20"/>
        </w:rPr>
        <w:t>)</w:t>
      </w:r>
      <w:r>
        <w:rPr>
          <w:szCs w:val="20"/>
        </w:rPr>
        <w:t xml:space="preserve">. Based on FG18-5c, </w:t>
      </w:r>
      <w:r>
        <w:rPr>
          <w:rFonts w:hint="eastAsia"/>
          <w:szCs w:val="20"/>
        </w:rPr>
        <w:t>p</w:t>
      </w:r>
      <w:r>
        <w:rPr>
          <w:szCs w:val="20"/>
          <w:lang w:eastAsia="ja-JP"/>
        </w:rPr>
        <w:t xml:space="preserve">rocessing up to X unicast DCI </w:t>
      </w:r>
      <w:r>
        <w:rPr>
          <w:rFonts w:hint="eastAsia"/>
          <w:szCs w:val="20"/>
        </w:rPr>
        <w:t xml:space="preserve">shall be supported and X values can be reused. In details, </w:t>
      </w:r>
      <w:r>
        <w:rPr>
          <w:szCs w:val="20"/>
        </w:rPr>
        <w:t>X is based on pair of (scheduling CC SCS, scheduled CC SCS)</w:t>
      </w:r>
      <w:r>
        <w:rPr>
          <w:rFonts w:hint="eastAsia"/>
          <w:szCs w:val="20"/>
        </w:rPr>
        <w:t xml:space="preserve">, </w:t>
      </w:r>
      <w:r>
        <w:rPr>
          <w:szCs w:val="20"/>
          <w:lang w:eastAsia="en-US"/>
        </w:rPr>
        <w:t>X={1,2,4} for (15,120), (15,60), (30,120) and X={2} for (15,30), (30,60)</w:t>
      </w:r>
      <w:r>
        <w:rPr>
          <w:rFonts w:hint="eastAsia"/>
          <w:szCs w:val="20"/>
        </w:rPr>
        <w:t>.</w:t>
      </w:r>
    </w:p>
    <w:p>
      <w:pPr>
        <w:numPr>
          <w:ilvl w:val="0"/>
          <w:numId w:val="30"/>
        </w:numPr>
        <w:spacing w:before="72" w:after="72"/>
        <w:rPr>
          <w:szCs w:val="20"/>
        </w:rPr>
      </w:pPr>
      <w:r>
        <w:rPr>
          <w:szCs w:val="20"/>
        </w:rPr>
        <w:t>Scenario#2</w:t>
      </w:r>
      <w:r>
        <w:rPr>
          <w:rFonts w:hint="eastAsia"/>
          <w:szCs w:val="20"/>
        </w:rPr>
        <w:t xml:space="preserve">: </w:t>
      </w:r>
      <w:r>
        <w:rPr>
          <w:szCs w:val="20"/>
        </w:rPr>
        <w:t>N=2 (</w:t>
      </w:r>
      <w:r>
        <w:rPr>
          <w:rFonts w:eastAsia="MS Gothic"/>
          <w:szCs w:val="20"/>
          <w:lang w:eastAsia="ja-JP"/>
        </w:rPr>
        <w:t>SCS1</w:t>
      </w:r>
      <w:r>
        <w:rPr>
          <w:rFonts w:eastAsia="宋体"/>
          <w:szCs w:val="20"/>
        </w:rPr>
        <w:t>=30kHz</w:t>
      </w:r>
      <w:r>
        <w:rPr>
          <w:rFonts w:eastAsia="MS Gothic"/>
          <w:szCs w:val="20"/>
          <w:lang w:eastAsia="ja-JP"/>
        </w:rPr>
        <w:t xml:space="preserve"> </w:t>
      </w:r>
      <w:r>
        <w:rPr>
          <w:rFonts w:eastAsia="宋体"/>
          <w:szCs w:val="20"/>
        </w:rPr>
        <w:t>larger</w:t>
      </w:r>
      <w:r>
        <w:rPr>
          <w:rFonts w:eastAsia="MS Gothic"/>
          <w:szCs w:val="20"/>
          <w:lang w:eastAsia="ja-JP"/>
        </w:rPr>
        <w:t xml:space="preserve"> than SCS2</w:t>
      </w:r>
      <w:r>
        <w:rPr>
          <w:rFonts w:eastAsia="宋体"/>
          <w:szCs w:val="20"/>
        </w:rPr>
        <w:t>=15kHz</w:t>
      </w:r>
      <w:r>
        <w:rPr>
          <w:szCs w:val="20"/>
        </w:rPr>
        <w:t>)</w:t>
      </w:r>
    </w:p>
    <w:p>
      <w:pPr>
        <w:numPr>
          <w:ilvl w:val="0"/>
          <w:numId w:val="28"/>
        </w:numPr>
        <w:spacing w:before="72" w:after="72"/>
        <w:ind w:left="840"/>
        <w:rPr>
          <w:szCs w:val="20"/>
        </w:rPr>
      </w:pPr>
      <w:r>
        <w:rPr>
          <w:szCs w:val="20"/>
        </w:rPr>
        <w:t xml:space="preserve">Case 2-1: SCS of the cell not scheduled by DCI 1_3 is </w:t>
      </w:r>
      <w:r>
        <w:rPr>
          <w:rFonts w:hint="eastAsia"/>
          <w:szCs w:val="20"/>
        </w:rPr>
        <w:t>smaller than</w:t>
      </w:r>
      <w:r>
        <w:rPr>
          <w:szCs w:val="20"/>
        </w:rPr>
        <w:t xml:space="preserve"> the SCS of the scheduling cell</w:t>
      </w:r>
    </w:p>
    <w:p>
      <w:pPr>
        <w:spacing w:before="72" w:after="72"/>
        <w:ind w:left="840"/>
        <w:rPr>
          <w:szCs w:val="20"/>
        </w:rPr>
      </w:pPr>
      <w:r>
        <w:rPr>
          <w:szCs w:val="20"/>
        </w:rPr>
        <w:t>No need to support more than one unicast DL DCI for this case, one unicast DL DCI is enough for the cell that is not scheduled by DCI 1_3.</w:t>
      </w:r>
    </w:p>
    <w:p>
      <w:pPr>
        <w:numPr>
          <w:ilvl w:val="0"/>
          <w:numId w:val="29"/>
        </w:numPr>
        <w:spacing w:before="72" w:after="72"/>
        <w:ind w:left="840"/>
        <w:rPr>
          <w:szCs w:val="20"/>
        </w:rPr>
      </w:pPr>
      <w:r>
        <w:rPr>
          <w:szCs w:val="20"/>
        </w:rPr>
        <w:t xml:space="preserve">Case 2-2: SCS of the cell not scheduled by DCI 1_3 is </w:t>
      </w:r>
      <w:r>
        <w:rPr>
          <w:rFonts w:hint="eastAsia"/>
          <w:szCs w:val="20"/>
        </w:rPr>
        <w:t>equal to</w:t>
      </w:r>
      <w:r>
        <w:rPr>
          <w:szCs w:val="20"/>
        </w:rPr>
        <w:t xml:space="preserve"> the SCS of the scheduling cell</w:t>
      </w:r>
    </w:p>
    <w:p>
      <w:pPr>
        <w:spacing w:before="72" w:after="72"/>
        <w:ind w:left="840"/>
        <w:rPr>
          <w:szCs w:val="20"/>
        </w:rPr>
      </w:pPr>
      <w:r>
        <w:rPr>
          <w:szCs w:val="20"/>
        </w:rPr>
        <w:t xml:space="preserve">More than one unicast DL DCI </w:t>
      </w:r>
      <w:r>
        <w:rPr>
          <w:rFonts w:hint="eastAsia"/>
          <w:szCs w:val="20"/>
        </w:rPr>
        <w:t>per N=2 consecutive slots shall be supported</w:t>
      </w:r>
      <w:r>
        <w:rPr>
          <w:szCs w:val="20"/>
        </w:rPr>
        <w:t xml:space="preserve"> for </w:t>
      </w:r>
      <w:r>
        <w:rPr>
          <w:rFonts w:eastAsia="MS Gothic"/>
          <w:szCs w:val="20"/>
        </w:rPr>
        <w:t xml:space="preserve">the cell that </w:t>
      </w:r>
      <w:r>
        <w:rPr>
          <w:rFonts w:hint="eastAsia" w:eastAsia="宋体"/>
          <w:szCs w:val="20"/>
        </w:rPr>
        <w:t>is</w:t>
      </w:r>
      <w:r>
        <w:rPr>
          <w:rFonts w:eastAsia="MS Gothic"/>
          <w:szCs w:val="20"/>
        </w:rPr>
        <w:t xml:space="preserve"> not scheduled by DCI 1_3</w:t>
      </w:r>
      <w:r>
        <w:rPr>
          <w:szCs w:val="20"/>
        </w:rPr>
        <w:t>.</w:t>
      </w:r>
      <w:r>
        <w:rPr>
          <w:rFonts w:hint="eastAsia"/>
          <w:szCs w:val="20"/>
        </w:rPr>
        <w:t xml:space="preserve"> Since only N=2 for SCS1=30kHz is supported, p</w:t>
      </w:r>
      <w:r>
        <w:rPr>
          <w:szCs w:val="20"/>
          <w:lang w:eastAsia="ja-JP"/>
        </w:rPr>
        <w:t>rocessing up to X</w:t>
      </w:r>
      <w:r>
        <w:rPr>
          <w:rFonts w:hint="eastAsia"/>
          <w:szCs w:val="20"/>
        </w:rPr>
        <w:t>=2</w:t>
      </w:r>
      <w:r>
        <w:rPr>
          <w:szCs w:val="20"/>
          <w:lang w:eastAsia="ja-JP"/>
        </w:rPr>
        <w:t xml:space="preserve"> unicast </w:t>
      </w:r>
      <w:r>
        <w:rPr>
          <w:rFonts w:hint="eastAsia"/>
          <w:szCs w:val="20"/>
        </w:rPr>
        <w:t xml:space="preserve">DL </w:t>
      </w:r>
      <w:r>
        <w:rPr>
          <w:szCs w:val="20"/>
          <w:lang w:eastAsia="ja-JP"/>
        </w:rPr>
        <w:t>DCI</w:t>
      </w:r>
      <w:r>
        <w:rPr>
          <w:rFonts w:hint="eastAsia"/>
          <w:szCs w:val="20"/>
        </w:rPr>
        <w:t>s per N=2 consecutive slot</w:t>
      </w:r>
      <w:r>
        <w:rPr>
          <w:szCs w:val="20"/>
          <w:lang w:eastAsia="ja-JP"/>
        </w:rPr>
        <w:t xml:space="preserve"> </w:t>
      </w:r>
      <w:r>
        <w:rPr>
          <w:rFonts w:hint="eastAsia"/>
          <w:szCs w:val="20"/>
        </w:rPr>
        <w:t xml:space="preserve">for (30,30) is enough. In other words, processing one </w:t>
      </w:r>
      <w:r>
        <w:rPr>
          <w:rFonts w:eastAsia="MS Gothic"/>
          <w:szCs w:val="20"/>
        </w:rPr>
        <w:t xml:space="preserve">unicast DL DCI formats 1_0/1_1/1_2 (if supported) </w:t>
      </w:r>
      <w:r>
        <w:rPr>
          <w:rFonts w:hint="eastAsia" w:eastAsia="宋体"/>
          <w:b/>
          <w:bCs/>
          <w:szCs w:val="20"/>
        </w:rPr>
        <w:t>per slot</w:t>
      </w:r>
      <w:r>
        <w:rPr>
          <w:rFonts w:hint="eastAsia" w:eastAsia="宋体"/>
          <w:szCs w:val="20"/>
        </w:rPr>
        <w:t xml:space="preserve"> shall be supported.</w:t>
      </w:r>
    </w:p>
    <w:p>
      <w:pPr>
        <w:numPr>
          <w:ilvl w:val="0"/>
          <w:numId w:val="29"/>
        </w:numPr>
        <w:spacing w:before="72" w:after="72"/>
        <w:ind w:left="840"/>
        <w:rPr>
          <w:szCs w:val="20"/>
        </w:rPr>
      </w:pPr>
      <w:r>
        <w:rPr>
          <w:szCs w:val="20"/>
        </w:rPr>
        <w:t xml:space="preserve">Case </w:t>
      </w:r>
      <w:r>
        <w:rPr>
          <w:rFonts w:hint="eastAsia"/>
          <w:szCs w:val="20"/>
        </w:rPr>
        <w:t>2</w:t>
      </w:r>
      <w:r>
        <w:rPr>
          <w:szCs w:val="20"/>
        </w:rPr>
        <w:t>-</w:t>
      </w:r>
      <w:r>
        <w:rPr>
          <w:rFonts w:hint="eastAsia"/>
          <w:szCs w:val="20"/>
        </w:rPr>
        <w:t>3</w:t>
      </w:r>
      <w:r>
        <w:rPr>
          <w:szCs w:val="20"/>
        </w:rPr>
        <w:t>: SCS of the cell not scheduled by DCI 1_3 is the larger than the SCS of the scheduling cell</w:t>
      </w:r>
    </w:p>
    <w:p>
      <w:pPr>
        <w:spacing w:before="72" w:after="72"/>
        <w:ind w:left="840"/>
        <w:rPr>
          <w:szCs w:val="20"/>
        </w:rPr>
      </w:pPr>
      <w:r>
        <w:rPr>
          <w:szCs w:val="20"/>
        </w:rPr>
        <w:t xml:space="preserve">More than one unicast DL DCI </w:t>
      </w:r>
      <w:r>
        <w:rPr>
          <w:rFonts w:hint="eastAsia"/>
          <w:szCs w:val="20"/>
        </w:rPr>
        <w:t>shall be supported</w:t>
      </w:r>
      <w:r>
        <w:rPr>
          <w:szCs w:val="20"/>
        </w:rPr>
        <w:t xml:space="preserve"> for </w:t>
      </w:r>
      <w:r>
        <w:rPr>
          <w:rFonts w:eastAsia="MS Gothic"/>
          <w:szCs w:val="20"/>
        </w:rPr>
        <w:t xml:space="preserve">the cell that </w:t>
      </w:r>
      <w:r>
        <w:rPr>
          <w:rFonts w:hint="eastAsia" w:eastAsia="宋体"/>
          <w:szCs w:val="20"/>
        </w:rPr>
        <w:t>is</w:t>
      </w:r>
      <w:r>
        <w:rPr>
          <w:rFonts w:eastAsia="MS Gothic"/>
          <w:szCs w:val="20"/>
        </w:rPr>
        <w:t xml:space="preserve"> not scheduled by DCI 1_3</w:t>
      </w:r>
      <w:r>
        <w:rPr>
          <w:szCs w:val="20"/>
        </w:rPr>
        <w:t xml:space="preserve">. Based on FG18-5c, </w:t>
      </w:r>
      <w:r>
        <w:rPr>
          <w:rFonts w:hint="eastAsia"/>
          <w:szCs w:val="20"/>
        </w:rPr>
        <w:t>p</w:t>
      </w:r>
      <w:r>
        <w:rPr>
          <w:szCs w:val="20"/>
          <w:lang w:eastAsia="ja-JP"/>
        </w:rPr>
        <w:t xml:space="preserve">rocessing up to X unicast DCI </w:t>
      </w:r>
      <w:r>
        <w:rPr>
          <w:rFonts w:hint="eastAsia"/>
          <w:b/>
          <w:bCs/>
          <w:szCs w:val="20"/>
        </w:rPr>
        <w:t>per slot</w:t>
      </w:r>
      <w:r>
        <w:rPr>
          <w:rFonts w:hint="eastAsia"/>
          <w:szCs w:val="20"/>
        </w:rPr>
        <w:t xml:space="preserve"> shall be supported and X values can be reused. In details, </w:t>
      </w:r>
      <w:r>
        <w:rPr>
          <w:szCs w:val="20"/>
        </w:rPr>
        <w:t>X is based on pair of (scheduling CC SCS, scheduled CC SCS)</w:t>
      </w:r>
      <w:r>
        <w:rPr>
          <w:rFonts w:hint="eastAsia"/>
          <w:szCs w:val="20"/>
        </w:rPr>
        <w:t xml:space="preserve">, </w:t>
      </w:r>
      <w:r>
        <w:rPr>
          <w:szCs w:val="20"/>
          <w:lang w:eastAsia="en-US"/>
        </w:rPr>
        <w:t>X={1,2,4} for (30,120) and X={2} for (30,60)</w:t>
      </w:r>
      <w:r>
        <w:rPr>
          <w:rFonts w:hint="eastAsia"/>
          <w:szCs w:val="20"/>
        </w:rPr>
        <w:t>. If based on per N=2 consecutive slots of scheduling cell, p</w:t>
      </w:r>
      <w:r>
        <w:rPr>
          <w:szCs w:val="20"/>
          <w:lang w:eastAsia="ja-JP"/>
        </w:rPr>
        <w:t xml:space="preserve">rocessing up to X unicast DCI </w:t>
      </w:r>
      <w:r>
        <w:rPr>
          <w:rFonts w:hint="eastAsia"/>
          <w:b/>
          <w:bCs/>
          <w:szCs w:val="20"/>
        </w:rPr>
        <w:t>per N=2 consecutive slots</w:t>
      </w:r>
      <w:r>
        <w:rPr>
          <w:rFonts w:hint="eastAsia"/>
          <w:szCs w:val="20"/>
        </w:rPr>
        <w:t xml:space="preserve"> shall be supported and </w:t>
      </w:r>
      <w:r>
        <w:rPr>
          <w:szCs w:val="20"/>
          <w:lang w:eastAsia="en-US"/>
        </w:rPr>
        <w:t>X={</w:t>
      </w:r>
      <w:r>
        <w:rPr>
          <w:rFonts w:hint="eastAsia"/>
          <w:szCs w:val="20"/>
        </w:rPr>
        <w:t>2</w:t>
      </w:r>
      <w:r>
        <w:rPr>
          <w:szCs w:val="20"/>
          <w:lang w:eastAsia="en-US"/>
        </w:rPr>
        <w:t>,</w:t>
      </w:r>
      <w:r>
        <w:rPr>
          <w:rFonts w:hint="eastAsia"/>
          <w:szCs w:val="20"/>
        </w:rPr>
        <w:t>4</w:t>
      </w:r>
      <w:r>
        <w:rPr>
          <w:szCs w:val="20"/>
          <w:lang w:eastAsia="en-US"/>
        </w:rPr>
        <w:t>,</w:t>
      </w:r>
      <w:r>
        <w:rPr>
          <w:rFonts w:hint="eastAsia"/>
          <w:szCs w:val="20"/>
        </w:rPr>
        <w:t>8</w:t>
      </w:r>
      <w:r>
        <w:rPr>
          <w:szCs w:val="20"/>
          <w:lang w:eastAsia="en-US"/>
        </w:rPr>
        <w:t>} for (30,120) and X={</w:t>
      </w:r>
      <w:r>
        <w:rPr>
          <w:rFonts w:hint="eastAsia"/>
          <w:szCs w:val="20"/>
        </w:rPr>
        <w:t>4</w:t>
      </w:r>
      <w:r>
        <w:rPr>
          <w:szCs w:val="20"/>
          <w:lang w:eastAsia="en-US"/>
        </w:rPr>
        <w:t>} for (30,60)</w:t>
      </w:r>
      <w:r>
        <w:rPr>
          <w:rFonts w:hint="eastAsia"/>
          <w:szCs w:val="20"/>
        </w:rPr>
        <w:t>.</w:t>
      </w:r>
    </w:p>
    <w:p>
      <w:pPr>
        <w:spacing w:before="72" w:after="72"/>
        <w:rPr>
          <w:rFonts w:eastAsia="宋体"/>
          <w:szCs w:val="20"/>
        </w:rPr>
      </w:pPr>
      <w:r>
        <w:rPr>
          <w:rFonts w:hint="eastAsia"/>
        </w:rPr>
        <w:t xml:space="preserve">Above all, more than one unicast DL DCI </w:t>
      </w:r>
      <w:r>
        <w:rPr>
          <w:rFonts w:hint="eastAsia"/>
          <w:szCs w:val="20"/>
        </w:rPr>
        <w:t>shall be supported</w:t>
      </w:r>
      <w:r>
        <w:rPr>
          <w:szCs w:val="20"/>
        </w:rPr>
        <w:t xml:space="preserve"> for </w:t>
      </w:r>
      <w:r>
        <w:rPr>
          <w:rFonts w:eastAsia="MS Gothic"/>
          <w:szCs w:val="20"/>
        </w:rPr>
        <w:t xml:space="preserve">the cell that </w:t>
      </w:r>
      <w:r>
        <w:rPr>
          <w:rFonts w:hint="eastAsia" w:eastAsia="宋体"/>
          <w:szCs w:val="20"/>
        </w:rPr>
        <w:t>is</w:t>
      </w:r>
      <w:r>
        <w:rPr>
          <w:rFonts w:eastAsia="MS Gothic"/>
          <w:szCs w:val="20"/>
        </w:rPr>
        <w:t xml:space="preserve"> not scheduled by DCI 1_3</w:t>
      </w:r>
      <w:r>
        <w:rPr>
          <w:rFonts w:hint="eastAsia" w:eastAsia="宋体"/>
          <w:szCs w:val="20"/>
        </w:rPr>
        <w:t xml:space="preserve"> for case 1-2/2-2/2-3. And the value X in FG18-5c can be reused if processing up to X unicast DCI per slot of scheduling cell is applied.</w:t>
      </w:r>
    </w:p>
    <w:p>
      <w:pPr>
        <w:adjustRightInd/>
        <w:snapToGrid/>
        <w:spacing w:before="120" w:beforeLines="50" w:after="72"/>
      </w:pPr>
      <w:r>
        <w:rPr>
          <w:rFonts w:hint="eastAsia"/>
          <w:b/>
          <w:i/>
        </w:rPr>
        <w:t xml:space="preserve">Proposal </w:t>
      </w:r>
      <w:r>
        <w:rPr>
          <w:b/>
          <w:i/>
        </w:rPr>
        <w:t>4</w:t>
      </w:r>
      <w:r>
        <w:rPr>
          <w:rFonts w:hint="eastAsia"/>
          <w:b/>
          <w:i/>
        </w:rPr>
        <w:t>-</w:t>
      </w:r>
      <w:r>
        <w:rPr>
          <w:b/>
          <w:i/>
        </w:rPr>
        <w:t>1:</w:t>
      </w:r>
      <w:r>
        <w:rPr>
          <w:i/>
        </w:rPr>
        <w:t xml:space="preserve"> </w:t>
      </w:r>
      <w:r>
        <w:rPr>
          <w:rFonts w:hint="eastAsia"/>
          <w:i/>
        </w:rPr>
        <w:t xml:space="preserve">Update component 10 in FG66-1 as follows. </w:t>
      </w:r>
    </w:p>
    <w:p>
      <w:pPr>
        <w:spacing w:before="72" w:after="72"/>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10. The number of unicast DL DCIs to process per N consecutive slots of scheduling cell for a set of cells configured for multi-cell PDSCH scheduling by DCI format 1_3</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One DCI format 1_3 for the set of cells and,</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One unicast DL DCI formats 1_0/1_1/1_2 (if supported) for each of the cells that are not scheduled by DCI 1_3</w:t>
      </w:r>
    </w:p>
    <w:p>
      <w:pPr>
        <w:pStyle w:val="129"/>
        <w:numPr>
          <w:ilvl w:val="1"/>
          <w:numId w:val="31"/>
        </w:numPr>
        <w:spacing w:before="72" w:after="72"/>
        <w:ind w:firstLine="400"/>
        <w:rPr>
          <w:i/>
          <w:iCs/>
          <w:color w:val="000000" w:themeColor="text1"/>
          <w:szCs w:val="20"/>
          <w14:textFill>
            <w14:solidFill>
              <w14:schemeClr w14:val="tx1"/>
            </w14:solidFill>
          </w14:textFill>
        </w:rPr>
      </w:pPr>
      <w:r>
        <w:rPr>
          <w:rFonts w:hint="eastAsia"/>
          <w:i/>
          <w:iCs/>
          <w:color w:val="000000" w:themeColor="text1"/>
          <w:szCs w:val="20"/>
          <w14:textFill>
            <w14:solidFill>
              <w14:schemeClr w14:val="tx1"/>
            </w14:solidFill>
          </w14:textFill>
        </w:rPr>
        <w:t>W</w:t>
      </w:r>
      <w:r>
        <w:rPr>
          <w:i/>
          <w:iCs/>
          <w:color w:val="000000" w:themeColor="text1"/>
          <w:szCs w:val="20"/>
          <w14:textFill>
            <w14:solidFill>
              <w14:schemeClr w14:val="tx1"/>
            </w14:solidFill>
          </w14:textFill>
        </w:rPr>
        <w:t>hen the UE indicates support of FG18-5c</w:t>
      </w:r>
      <w:r>
        <w:rPr>
          <w:rFonts w:hint="eastAsia"/>
          <w:i/>
          <w:iCs/>
          <w:color w:val="000000" w:themeColor="text1"/>
          <w:szCs w:val="20"/>
          <w14:textFill>
            <w14:solidFill>
              <w14:schemeClr w14:val="tx1"/>
            </w14:solidFill>
          </w14:textFill>
        </w:rPr>
        <w:t>, support p</w:t>
      </w:r>
      <w:r>
        <w:rPr>
          <w:i/>
          <w:iCs/>
          <w:color w:val="000000" w:themeColor="text1"/>
          <w:szCs w:val="20"/>
          <w14:textFill>
            <w14:solidFill>
              <w14:schemeClr w14:val="tx1"/>
            </w14:solidFill>
          </w14:textFill>
        </w:rPr>
        <w:t>rocessing up to X unicast DL DCI formats 1_0/1_1/1_2 (if supported) for each of the cells that are not scheduled by DCI 1_3. X is based on pair of (scheduling CC SCS, scheduled CC SCS):</w:t>
      </w:r>
    </w:p>
    <w:p>
      <w:pPr>
        <w:pStyle w:val="61"/>
        <w:numPr>
          <w:ilvl w:val="0"/>
          <w:numId w:val="32"/>
        </w:numPr>
        <w:spacing w:before="72" w:after="72"/>
        <w:rPr>
          <w:rFonts w:ascii="Times New Roman" w:hAnsi="Times New Roman"/>
          <w:i/>
          <w:iCs/>
          <w:sz w:val="20"/>
        </w:rPr>
      </w:pPr>
      <w:r>
        <w:rPr>
          <w:rFonts w:ascii="Times New Roman" w:hAnsi="Times New Roman"/>
          <w:i/>
          <w:iCs/>
          <w:sz w:val="20"/>
        </w:rPr>
        <w:t>Candidate value(s) of X</w:t>
      </w:r>
    </w:p>
    <w:p>
      <w:pPr>
        <w:pStyle w:val="129"/>
        <w:numPr>
          <w:ilvl w:val="3"/>
          <w:numId w:val="24"/>
        </w:numPr>
        <w:spacing w:before="72" w:after="72"/>
        <w:ind w:firstLine="400"/>
        <w:rPr>
          <w:i/>
          <w:iCs/>
          <w:szCs w:val="20"/>
          <w:lang w:eastAsia="en-US"/>
        </w:rPr>
      </w:pPr>
      <w:r>
        <w:rPr>
          <w:i/>
          <w:iCs/>
          <w:szCs w:val="20"/>
          <w:lang w:eastAsia="en-US"/>
        </w:rPr>
        <w:t>X={1,2,4} for (15,120), (15,60), (30,120)</w:t>
      </w:r>
      <w:r>
        <w:rPr>
          <w:rFonts w:hint="eastAsia"/>
          <w:i/>
          <w:iCs/>
          <w:szCs w:val="20"/>
        </w:rPr>
        <w:t>,</w:t>
      </w:r>
      <w:r>
        <w:rPr>
          <w:i/>
          <w:iCs/>
          <w:szCs w:val="20"/>
          <w:lang w:eastAsia="en-US"/>
        </w:rPr>
        <w:t xml:space="preserve"> X={2} for (15,30), (30,60)</w:t>
      </w:r>
      <w:r>
        <w:rPr>
          <w:rFonts w:hint="eastAsia"/>
          <w:i/>
          <w:iCs/>
          <w:szCs w:val="20"/>
        </w:rPr>
        <w:t xml:space="preserve"> and </w:t>
      </w:r>
      <w:r>
        <w:rPr>
          <w:i/>
          <w:iCs/>
          <w:szCs w:val="20"/>
          <w:lang w:eastAsia="en-US"/>
        </w:rPr>
        <w:t>X={</w:t>
      </w:r>
      <w:r>
        <w:rPr>
          <w:i/>
          <w:iCs/>
          <w:szCs w:val="20"/>
        </w:rPr>
        <w:t>1</w:t>
      </w:r>
      <w:r>
        <w:rPr>
          <w:i/>
          <w:iCs/>
          <w:szCs w:val="20"/>
          <w:lang w:eastAsia="en-US"/>
        </w:rPr>
        <w:t>} for (30,</w:t>
      </w:r>
      <w:r>
        <w:rPr>
          <w:i/>
          <w:iCs/>
          <w:szCs w:val="20"/>
        </w:rPr>
        <w:t>3</w:t>
      </w:r>
      <w:r>
        <w:rPr>
          <w:i/>
          <w:iCs/>
          <w:szCs w:val="20"/>
          <w:lang w:eastAsia="en-US"/>
        </w:rPr>
        <w:t>0)</w:t>
      </w:r>
    </w:p>
    <w:p>
      <w:pPr>
        <w:pStyle w:val="61"/>
        <w:numPr>
          <w:ilvl w:val="0"/>
          <w:numId w:val="32"/>
        </w:numPr>
        <w:spacing w:before="72" w:after="72"/>
        <w:rPr>
          <w:rFonts w:ascii="Times New Roman" w:hAnsi="Times New Roman"/>
          <w:i/>
          <w:iCs/>
          <w:color w:val="000000" w:themeColor="text1"/>
          <w:sz w:val="20"/>
          <w14:textFill>
            <w14:solidFill>
              <w14:schemeClr w14:val="tx1"/>
            </w14:solidFill>
          </w14:textFill>
        </w:rPr>
      </w:pPr>
      <w:r>
        <w:rPr>
          <w:rFonts w:ascii="Times New Roman" w:hAnsi="Times New Roman"/>
          <w:i/>
          <w:iCs/>
          <w:sz w:val="20"/>
        </w:rPr>
        <w:t xml:space="preserve">X applies </w:t>
      </w:r>
      <w:r>
        <w:rPr>
          <w:rFonts w:hint="eastAsia" w:ascii="Times New Roman" w:hAnsi="Times New Roman"/>
          <w:i/>
          <w:iCs/>
          <w:sz w:val="20"/>
          <w:lang w:val="en-US" w:eastAsia="zh-CN"/>
        </w:rPr>
        <w:t xml:space="preserve">per </w:t>
      </w:r>
      <w:r>
        <w:rPr>
          <w:rFonts w:ascii="Times New Roman" w:hAnsi="Times New Roman"/>
          <w:i/>
          <w:iCs/>
          <w:sz w:val="20"/>
        </w:rPr>
        <w:t>slot of scheduling CC</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SCS1 is the SCS of scheduling CC, and SCS2 is the smallest SCS among all cells in the cell set</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 xml:space="preserve">For SCS1 smaller than or equal to SCS2, N = 1 </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For SCS1 larger than SCS2: N=2 for (SCS1 equal to 30kHz, SCS2 equal to 15kHz)</w:t>
      </w:r>
    </w:p>
    <w:p>
      <w:pPr>
        <w:spacing w:before="72" w:after="72"/>
      </w:pPr>
      <w:r>
        <w:rPr>
          <w:rFonts w:hint="eastAsia"/>
        </w:rPr>
        <w:t>The same principle shall be applied for the component 9 in FG66-2.</w:t>
      </w:r>
    </w:p>
    <w:p>
      <w:pPr>
        <w:adjustRightInd/>
        <w:snapToGrid/>
        <w:spacing w:before="120" w:beforeLines="50" w:after="72"/>
      </w:pPr>
      <w:r>
        <w:rPr>
          <w:rFonts w:hint="eastAsia"/>
          <w:b/>
          <w:i/>
        </w:rPr>
        <w:t xml:space="preserve">Proposal </w:t>
      </w:r>
      <w:r>
        <w:rPr>
          <w:b/>
          <w:i/>
        </w:rPr>
        <w:t>4</w:t>
      </w:r>
      <w:r>
        <w:rPr>
          <w:rFonts w:hint="eastAsia"/>
          <w:b/>
          <w:i/>
        </w:rPr>
        <w:t>-2</w:t>
      </w:r>
      <w:r>
        <w:rPr>
          <w:b/>
          <w:i/>
        </w:rPr>
        <w:t>:</w:t>
      </w:r>
      <w:r>
        <w:rPr>
          <w:i/>
        </w:rPr>
        <w:t xml:space="preserve"> </w:t>
      </w:r>
      <w:r>
        <w:rPr>
          <w:rFonts w:hint="eastAsia"/>
          <w:i/>
        </w:rPr>
        <w:t xml:space="preserve">Update component 9 in FG66-2 as follows. </w:t>
      </w:r>
    </w:p>
    <w:p>
      <w:pPr>
        <w:spacing w:before="72" w:after="72"/>
        <w:rPr>
          <w:i/>
          <w:iCs/>
          <w:color w:val="000000" w:themeColor="text1"/>
          <w:szCs w:val="20"/>
          <w14:textFill>
            <w14:solidFill>
              <w14:schemeClr w14:val="tx1"/>
            </w14:solidFill>
          </w14:textFill>
        </w:rPr>
      </w:pPr>
      <w:r>
        <w:rPr>
          <w:rFonts w:hint="eastAsia"/>
          <w:i/>
          <w:iCs/>
          <w:color w:val="000000" w:themeColor="text1"/>
          <w:szCs w:val="20"/>
          <w14:textFill>
            <w14:solidFill>
              <w14:schemeClr w14:val="tx1"/>
            </w14:solidFill>
          </w14:textFill>
        </w:rPr>
        <w:t>9</w:t>
      </w:r>
      <w:r>
        <w:rPr>
          <w:i/>
          <w:iCs/>
          <w:color w:val="000000" w:themeColor="text1"/>
          <w:szCs w:val="20"/>
          <w14:textFill>
            <w14:solidFill>
              <w14:schemeClr w14:val="tx1"/>
            </w14:solidFill>
          </w14:textFill>
        </w:rPr>
        <w:t xml:space="preserve">. The number of unicast </w:t>
      </w:r>
      <w:r>
        <w:rPr>
          <w:rFonts w:hint="eastAsia"/>
          <w:i/>
          <w:iCs/>
          <w:color w:val="000000" w:themeColor="text1"/>
          <w:szCs w:val="20"/>
          <w14:textFill>
            <w14:solidFill>
              <w14:schemeClr w14:val="tx1"/>
            </w14:solidFill>
          </w14:textFill>
        </w:rPr>
        <w:t>U</w:t>
      </w:r>
      <w:r>
        <w:rPr>
          <w:i/>
          <w:iCs/>
          <w:color w:val="000000" w:themeColor="text1"/>
          <w:szCs w:val="20"/>
          <w14:textFill>
            <w14:solidFill>
              <w14:schemeClr w14:val="tx1"/>
            </w14:solidFill>
          </w14:textFill>
        </w:rPr>
        <w:t>L DCIs to process per N consecutive slots of scheduling cell for a set of cells configured for multi-cell P</w:t>
      </w:r>
      <w:r>
        <w:rPr>
          <w:rFonts w:hint="eastAsia"/>
          <w:i/>
          <w:iCs/>
          <w:color w:val="000000" w:themeColor="text1"/>
          <w:szCs w:val="20"/>
          <w14:textFill>
            <w14:solidFill>
              <w14:schemeClr w14:val="tx1"/>
            </w14:solidFill>
          </w14:textFill>
        </w:rPr>
        <w:t>U</w:t>
      </w:r>
      <w:r>
        <w:rPr>
          <w:i/>
          <w:iCs/>
          <w:color w:val="000000" w:themeColor="text1"/>
          <w:szCs w:val="20"/>
          <w14:textFill>
            <w14:solidFill>
              <w14:schemeClr w14:val="tx1"/>
            </w14:solidFill>
          </w14:textFill>
        </w:rPr>
        <w:t xml:space="preserve">SCH scheduling by DCI format </w:t>
      </w:r>
      <w:r>
        <w:rPr>
          <w:rFonts w:hint="eastAsia"/>
          <w:i/>
          <w:iCs/>
          <w:color w:val="000000" w:themeColor="text1"/>
          <w:szCs w:val="20"/>
          <w14:textFill>
            <w14:solidFill>
              <w14:schemeClr w14:val="tx1"/>
            </w14:solidFill>
          </w14:textFill>
        </w:rPr>
        <w:t>0</w:t>
      </w:r>
      <w:r>
        <w:rPr>
          <w:i/>
          <w:iCs/>
          <w:color w:val="000000" w:themeColor="text1"/>
          <w:szCs w:val="20"/>
          <w14:textFill>
            <w14:solidFill>
              <w14:schemeClr w14:val="tx1"/>
            </w14:solidFill>
          </w14:textFill>
        </w:rPr>
        <w:t>_3</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For FDD scheduling cell</w:t>
      </w:r>
    </w:p>
    <w:p>
      <w:pPr>
        <w:pStyle w:val="129"/>
        <w:numPr>
          <w:ilvl w:val="1"/>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Up to one DCI format 0_3 for the set of cells and,</w:t>
      </w:r>
    </w:p>
    <w:p>
      <w:pPr>
        <w:pStyle w:val="129"/>
        <w:numPr>
          <w:ilvl w:val="1"/>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Up to one unicast UL DCI formats 0_0/0_1/0_2 (if supported) for each of the cells</w:t>
      </w:r>
    </w:p>
    <w:p>
      <w:pPr>
        <w:pStyle w:val="61"/>
        <w:numPr>
          <w:ilvl w:val="0"/>
          <w:numId w:val="32"/>
        </w:numPr>
        <w:spacing w:before="72" w:after="72"/>
        <w:rPr>
          <w:rFonts w:ascii="Times New Roman" w:hAnsi="Times New Roman"/>
          <w:i/>
          <w:iCs/>
          <w:sz w:val="20"/>
        </w:rPr>
      </w:pPr>
      <w:r>
        <w:rPr>
          <w:rFonts w:hint="eastAsia" w:ascii="Times New Roman" w:hAnsi="Times New Roman"/>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hint="eastAsia" w:ascii="Times New Roman" w:hAnsi="Times New Roman"/>
          <w:i/>
          <w:iCs/>
          <w:sz w:val="20"/>
          <w:lang w:val="en-US" w:eastAsia="zh-CN"/>
        </w:rPr>
        <w:t>d, p</w:t>
      </w:r>
      <w:r>
        <w:rPr>
          <w:rFonts w:ascii="Times New Roman" w:hAnsi="Times New Roman"/>
          <w:i/>
          <w:iCs/>
          <w:sz w:val="20"/>
        </w:rPr>
        <w:t>rocessing up to X unicast UL DCI formats 0_0/0_1/0_2 (if supported) for each of the cells</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pPr>
        <w:pStyle w:val="129"/>
        <w:numPr>
          <w:ilvl w:val="3"/>
          <w:numId w:val="24"/>
        </w:numPr>
        <w:spacing w:before="72" w:after="72"/>
        <w:ind w:left="2000" w:leftChars="1000" w:firstLine="400"/>
        <w:rPr>
          <w:i/>
          <w:iCs/>
          <w:szCs w:val="20"/>
          <w:lang w:eastAsia="en-US"/>
        </w:rPr>
      </w:pPr>
      <w:r>
        <w:rPr>
          <w:i/>
          <w:iCs/>
          <w:szCs w:val="20"/>
          <w:lang w:eastAsia="en-US"/>
        </w:rPr>
        <w:t>Candidate value(s) of X</w:t>
      </w:r>
    </w:p>
    <w:p>
      <w:pPr>
        <w:pStyle w:val="129"/>
        <w:numPr>
          <w:ilvl w:val="0"/>
          <w:numId w:val="33"/>
        </w:numPr>
        <w:spacing w:before="72" w:after="72"/>
        <w:ind w:left="2420" w:firstLine="400"/>
        <w:rPr>
          <w:i/>
          <w:iCs/>
          <w:szCs w:val="20"/>
          <w:lang w:eastAsia="en-US"/>
        </w:rPr>
      </w:pPr>
      <w:r>
        <w:rPr>
          <w:i/>
          <w:iCs/>
          <w:szCs w:val="20"/>
          <w:lang w:eastAsia="en-US"/>
        </w:rPr>
        <w:t>X={1,2,4} for (15,120), (15,60), (30,120)</w:t>
      </w:r>
      <w:r>
        <w:rPr>
          <w:rFonts w:hint="eastAsia"/>
          <w:i/>
          <w:iCs/>
          <w:szCs w:val="20"/>
        </w:rPr>
        <w:t>,</w:t>
      </w:r>
      <w:r>
        <w:rPr>
          <w:i/>
          <w:iCs/>
          <w:szCs w:val="20"/>
          <w:lang w:eastAsia="en-US"/>
        </w:rPr>
        <w:t xml:space="preserve"> X={2} for (15,30), (30,60)</w:t>
      </w:r>
      <w:r>
        <w:rPr>
          <w:rFonts w:hint="eastAsia"/>
          <w:i/>
          <w:iCs/>
          <w:szCs w:val="20"/>
        </w:rPr>
        <w:t xml:space="preserve"> and </w:t>
      </w:r>
      <w:r>
        <w:rPr>
          <w:i/>
          <w:iCs/>
          <w:szCs w:val="20"/>
          <w:lang w:eastAsia="en-US"/>
        </w:rPr>
        <w:t>X={</w:t>
      </w:r>
      <w:r>
        <w:rPr>
          <w:i/>
          <w:iCs/>
          <w:szCs w:val="20"/>
        </w:rPr>
        <w:t>1</w:t>
      </w:r>
      <w:r>
        <w:rPr>
          <w:i/>
          <w:iCs/>
          <w:szCs w:val="20"/>
          <w:lang w:eastAsia="en-US"/>
        </w:rPr>
        <w:t>} for (30,</w:t>
      </w:r>
      <w:r>
        <w:rPr>
          <w:i/>
          <w:iCs/>
          <w:szCs w:val="20"/>
        </w:rPr>
        <w:t>3</w:t>
      </w:r>
      <w:r>
        <w:rPr>
          <w:i/>
          <w:iCs/>
          <w:szCs w:val="20"/>
          <w:lang w:eastAsia="en-US"/>
        </w:rPr>
        <w:t>0)</w:t>
      </w:r>
    </w:p>
    <w:p>
      <w:pPr>
        <w:pStyle w:val="129"/>
        <w:numPr>
          <w:ilvl w:val="3"/>
          <w:numId w:val="24"/>
        </w:numPr>
        <w:spacing w:before="72" w:after="72"/>
        <w:ind w:left="2000" w:leftChars="1000" w:firstLine="400"/>
        <w:rPr>
          <w:i/>
          <w:iCs/>
          <w:szCs w:val="20"/>
          <w:lang w:eastAsia="en-US"/>
        </w:rPr>
      </w:pPr>
      <w:r>
        <w:rPr>
          <w:i/>
          <w:iCs/>
          <w:szCs w:val="20"/>
          <w:lang w:eastAsia="en-US"/>
        </w:rPr>
        <w:t xml:space="preserve">X applies </w:t>
      </w:r>
      <w:r>
        <w:rPr>
          <w:rFonts w:hint="eastAsia"/>
          <w:i/>
          <w:iCs/>
          <w:szCs w:val="20"/>
        </w:rPr>
        <w:t xml:space="preserve">per </w:t>
      </w:r>
      <w:r>
        <w:rPr>
          <w:i/>
          <w:iCs/>
          <w:szCs w:val="20"/>
          <w:lang w:eastAsia="en-US"/>
        </w:rPr>
        <w:t>slot of scheduling CC</w:t>
      </w:r>
    </w:p>
    <w:p>
      <w:pPr>
        <w:pStyle w:val="129"/>
        <w:numPr>
          <w:ilvl w:val="1"/>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For a cell in a set of cells, no more than one DCI scheduling PUSCH for the cell</w:t>
      </w:r>
    </w:p>
    <w:p>
      <w:pPr>
        <w:pStyle w:val="61"/>
        <w:numPr>
          <w:ilvl w:val="0"/>
          <w:numId w:val="32"/>
        </w:numPr>
        <w:spacing w:before="72" w:after="72"/>
        <w:rPr>
          <w:rFonts w:ascii="Times New Roman" w:hAnsi="Times New Roman"/>
          <w:i/>
          <w:iCs/>
          <w:sz w:val="20"/>
        </w:rPr>
      </w:pPr>
      <w:r>
        <w:rPr>
          <w:rFonts w:hint="eastAsia" w:ascii="Times New Roman" w:hAnsi="Times New Roman"/>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hint="eastAsia" w:ascii="Times New Roman" w:hAnsi="Times New Roman"/>
          <w:i/>
          <w:iCs/>
          <w:sz w:val="20"/>
          <w:lang w:val="en-US" w:eastAsia="zh-CN"/>
        </w:rPr>
        <w:t>d, p</w:t>
      </w:r>
      <w:r>
        <w:rPr>
          <w:rFonts w:ascii="Times New Roman" w:hAnsi="Times New Roman"/>
          <w:i/>
          <w:iCs/>
          <w:sz w:val="20"/>
        </w:rPr>
        <w:t xml:space="preserve">rocessing up to X unicast DCI </w:t>
      </w:r>
      <w:r>
        <w:rPr>
          <w:rFonts w:hint="eastAsia" w:ascii="Times New Roman" w:hAnsi="Times New Roman"/>
          <w:i/>
          <w:iCs/>
          <w:sz w:val="20"/>
          <w:lang w:val="en-US" w:eastAsia="zh-CN"/>
        </w:rPr>
        <w:t>scheduling PUSCH</w:t>
      </w:r>
      <w:r>
        <w:rPr>
          <w:rFonts w:ascii="Times New Roman" w:hAnsi="Times New Roman"/>
          <w:i/>
          <w:iCs/>
          <w:sz w:val="20"/>
        </w:rPr>
        <w:t xml:space="preserve"> for the cell</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pPr>
        <w:pStyle w:val="129"/>
        <w:numPr>
          <w:ilvl w:val="3"/>
          <w:numId w:val="24"/>
        </w:numPr>
        <w:spacing w:before="72" w:after="72"/>
        <w:ind w:left="2000" w:leftChars="1000" w:firstLine="400"/>
        <w:rPr>
          <w:i/>
          <w:iCs/>
          <w:szCs w:val="20"/>
          <w:lang w:eastAsia="en-US"/>
        </w:rPr>
      </w:pPr>
      <w:r>
        <w:rPr>
          <w:i/>
          <w:iCs/>
          <w:szCs w:val="20"/>
          <w:lang w:eastAsia="en-US"/>
        </w:rPr>
        <w:t>Candidate value(s) of X</w:t>
      </w:r>
    </w:p>
    <w:p>
      <w:pPr>
        <w:pStyle w:val="129"/>
        <w:numPr>
          <w:ilvl w:val="0"/>
          <w:numId w:val="33"/>
        </w:numPr>
        <w:spacing w:before="72" w:after="72"/>
        <w:ind w:left="2420" w:firstLine="400"/>
        <w:rPr>
          <w:i/>
          <w:iCs/>
          <w:szCs w:val="20"/>
          <w:lang w:eastAsia="en-US"/>
        </w:rPr>
      </w:pPr>
      <w:r>
        <w:rPr>
          <w:i/>
          <w:iCs/>
          <w:szCs w:val="20"/>
          <w:lang w:eastAsia="en-US"/>
        </w:rPr>
        <w:t>X={1,2,4} for (15,120), (15,60), (30,120)</w:t>
      </w:r>
      <w:r>
        <w:rPr>
          <w:rFonts w:hint="eastAsia"/>
          <w:i/>
          <w:iCs/>
          <w:szCs w:val="20"/>
        </w:rPr>
        <w:t>,</w:t>
      </w:r>
      <w:r>
        <w:rPr>
          <w:i/>
          <w:iCs/>
          <w:szCs w:val="20"/>
          <w:lang w:eastAsia="en-US"/>
        </w:rPr>
        <w:t xml:space="preserve"> X={2} for (15,30), (30,60)</w:t>
      </w:r>
      <w:r>
        <w:rPr>
          <w:rFonts w:hint="eastAsia"/>
          <w:i/>
          <w:iCs/>
          <w:szCs w:val="20"/>
        </w:rPr>
        <w:t xml:space="preserve"> and </w:t>
      </w:r>
      <w:r>
        <w:rPr>
          <w:i/>
          <w:iCs/>
          <w:szCs w:val="20"/>
          <w:lang w:eastAsia="en-US"/>
        </w:rPr>
        <w:t>X={</w:t>
      </w:r>
      <w:r>
        <w:rPr>
          <w:i/>
          <w:iCs/>
          <w:szCs w:val="20"/>
        </w:rPr>
        <w:t>1</w:t>
      </w:r>
      <w:r>
        <w:rPr>
          <w:i/>
          <w:iCs/>
          <w:szCs w:val="20"/>
          <w:lang w:eastAsia="en-US"/>
        </w:rPr>
        <w:t>} for (30,</w:t>
      </w:r>
      <w:r>
        <w:rPr>
          <w:i/>
          <w:iCs/>
          <w:szCs w:val="20"/>
        </w:rPr>
        <w:t>3</w:t>
      </w:r>
      <w:r>
        <w:rPr>
          <w:i/>
          <w:iCs/>
          <w:szCs w:val="20"/>
          <w:lang w:eastAsia="en-US"/>
        </w:rPr>
        <w:t>0)</w:t>
      </w:r>
    </w:p>
    <w:p>
      <w:pPr>
        <w:pStyle w:val="129"/>
        <w:numPr>
          <w:ilvl w:val="3"/>
          <w:numId w:val="24"/>
        </w:numPr>
        <w:spacing w:before="72" w:after="72"/>
        <w:ind w:left="2000" w:leftChars="1000" w:firstLine="400"/>
        <w:rPr>
          <w:i/>
          <w:iCs/>
          <w:szCs w:val="20"/>
          <w:lang w:eastAsia="en-US"/>
        </w:rPr>
      </w:pPr>
      <w:r>
        <w:rPr>
          <w:i/>
          <w:iCs/>
          <w:szCs w:val="20"/>
          <w:lang w:eastAsia="en-US"/>
        </w:rPr>
        <w:t xml:space="preserve">X applies </w:t>
      </w:r>
      <w:r>
        <w:rPr>
          <w:rFonts w:hint="eastAsia"/>
          <w:i/>
          <w:iCs/>
          <w:szCs w:val="20"/>
        </w:rPr>
        <w:t xml:space="preserve">per </w:t>
      </w:r>
      <w:r>
        <w:rPr>
          <w:i/>
          <w:iCs/>
          <w:szCs w:val="20"/>
          <w:lang w:eastAsia="en-US"/>
        </w:rPr>
        <w:t>slot of scheduling CC</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 xml:space="preserve">For </w:t>
      </w:r>
      <w:r>
        <w:rPr>
          <w:rFonts w:hint="eastAsia"/>
          <w:i/>
          <w:iCs/>
          <w:color w:val="000000" w:themeColor="text1"/>
          <w:szCs w:val="20"/>
          <w14:textFill>
            <w14:solidFill>
              <w14:schemeClr w14:val="tx1"/>
            </w14:solidFill>
          </w14:textFill>
        </w:rPr>
        <w:t>T</w:t>
      </w:r>
      <w:r>
        <w:rPr>
          <w:i/>
          <w:iCs/>
          <w:color w:val="000000" w:themeColor="text1"/>
          <w:szCs w:val="20"/>
          <w14:textFill>
            <w14:solidFill>
              <w14:schemeClr w14:val="tx1"/>
            </w14:solidFill>
          </w14:textFill>
        </w:rPr>
        <w:t>DD scheduling cell</w:t>
      </w:r>
    </w:p>
    <w:p>
      <w:pPr>
        <w:pStyle w:val="129"/>
        <w:numPr>
          <w:ilvl w:val="1"/>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 xml:space="preserve">Up to </w:t>
      </w:r>
      <w:r>
        <w:rPr>
          <w:rFonts w:hint="eastAsia"/>
          <w:i/>
          <w:iCs/>
          <w:color w:val="000000" w:themeColor="text1"/>
          <w:szCs w:val="20"/>
          <w14:textFill>
            <w14:solidFill>
              <w14:schemeClr w14:val="tx1"/>
            </w14:solidFill>
          </w14:textFill>
        </w:rPr>
        <w:t>two</w:t>
      </w:r>
      <w:r>
        <w:rPr>
          <w:i/>
          <w:iCs/>
          <w:color w:val="000000" w:themeColor="text1"/>
          <w:szCs w:val="20"/>
          <w14:textFill>
            <w14:solidFill>
              <w14:schemeClr w14:val="tx1"/>
            </w14:solidFill>
          </w14:textFill>
        </w:rPr>
        <w:t xml:space="preserve"> DCI format 0_3 for the set of cells and,</w:t>
      </w:r>
    </w:p>
    <w:p>
      <w:pPr>
        <w:pStyle w:val="129"/>
        <w:numPr>
          <w:ilvl w:val="1"/>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 xml:space="preserve">Up to </w:t>
      </w:r>
      <w:r>
        <w:rPr>
          <w:rFonts w:hint="eastAsia"/>
          <w:i/>
          <w:iCs/>
          <w:color w:val="000000" w:themeColor="text1"/>
          <w:szCs w:val="20"/>
          <w14:textFill>
            <w14:solidFill>
              <w14:schemeClr w14:val="tx1"/>
            </w14:solidFill>
          </w14:textFill>
        </w:rPr>
        <w:t>two</w:t>
      </w:r>
      <w:r>
        <w:rPr>
          <w:i/>
          <w:iCs/>
          <w:color w:val="000000" w:themeColor="text1"/>
          <w:szCs w:val="20"/>
          <w14:textFill>
            <w14:solidFill>
              <w14:schemeClr w14:val="tx1"/>
            </w14:solidFill>
          </w14:textFill>
        </w:rPr>
        <w:t xml:space="preserve"> unicast UL DCI formats 0_0/0_1/0_2 (if supported) for each of the cells</w:t>
      </w:r>
    </w:p>
    <w:p>
      <w:pPr>
        <w:pStyle w:val="61"/>
        <w:numPr>
          <w:ilvl w:val="0"/>
          <w:numId w:val="32"/>
        </w:numPr>
        <w:spacing w:before="72" w:after="72"/>
        <w:rPr>
          <w:rFonts w:ascii="Times New Roman" w:hAnsi="Times New Roman"/>
          <w:i/>
          <w:iCs/>
          <w:sz w:val="20"/>
        </w:rPr>
      </w:pPr>
      <w:r>
        <w:rPr>
          <w:rFonts w:hint="eastAsia" w:ascii="Times New Roman" w:hAnsi="Times New Roman"/>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hint="eastAsia" w:ascii="Times New Roman" w:hAnsi="Times New Roman"/>
          <w:i/>
          <w:iCs/>
          <w:sz w:val="20"/>
          <w:lang w:val="en-US" w:eastAsia="zh-CN"/>
        </w:rPr>
        <w:t>d, p</w:t>
      </w:r>
      <w:r>
        <w:rPr>
          <w:rFonts w:ascii="Times New Roman" w:hAnsi="Times New Roman"/>
          <w:i/>
          <w:iCs/>
          <w:sz w:val="20"/>
        </w:rPr>
        <w:t>rocessing up to X unicast UL DCI formats 0_0/0_1/0_2 (if supported) for each of the cells</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pPr>
        <w:pStyle w:val="129"/>
        <w:numPr>
          <w:ilvl w:val="3"/>
          <w:numId w:val="24"/>
        </w:numPr>
        <w:spacing w:before="72" w:after="72"/>
        <w:ind w:left="2000" w:leftChars="1000" w:firstLine="400"/>
        <w:rPr>
          <w:i/>
          <w:iCs/>
          <w:szCs w:val="20"/>
          <w:lang w:eastAsia="en-US"/>
        </w:rPr>
      </w:pPr>
      <w:r>
        <w:rPr>
          <w:i/>
          <w:iCs/>
          <w:szCs w:val="20"/>
          <w:lang w:eastAsia="en-US"/>
        </w:rPr>
        <w:t>Candidate value(s) of X</w:t>
      </w:r>
    </w:p>
    <w:p>
      <w:pPr>
        <w:pStyle w:val="129"/>
        <w:numPr>
          <w:ilvl w:val="0"/>
          <w:numId w:val="33"/>
        </w:numPr>
        <w:spacing w:before="72" w:after="72"/>
        <w:ind w:left="2420" w:firstLine="400"/>
        <w:rPr>
          <w:i/>
          <w:iCs/>
          <w:szCs w:val="20"/>
          <w:lang w:eastAsia="en-US"/>
        </w:rPr>
      </w:pPr>
      <w:r>
        <w:rPr>
          <w:i/>
          <w:iCs/>
          <w:szCs w:val="20"/>
          <w:lang w:eastAsia="en-US"/>
        </w:rPr>
        <w:t>X={2,4} for (15,120), (15,60), (30,120)</w:t>
      </w:r>
      <w:r>
        <w:rPr>
          <w:rFonts w:hint="eastAsia"/>
          <w:i/>
          <w:iCs/>
          <w:szCs w:val="20"/>
        </w:rPr>
        <w:t>,</w:t>
      </w:r>
      <w:r>
        <w:rPr>
          <w:i/>
          <w:iCs/>
          <w:szCs w:val="20"/>
          <w:lang w:eastAsia="en-US"/>
        </w:rPr>
        <w:t xml:space="preserve"> X={2} for (15,30), (30,60)</w:t>
      </w:r>
      <w:r>
        <w:rPr>
          <w:rFonts w:hint="eastAsia"/>
          <w:i/>
          <w:iCs/>
          <w:szCs w:val="20"/>
        </w:rPr>
        <w:t xml:space="preserve"> and </w:t>
      </w:r>
      <w:r>
        <w:rPr>
          <w:i/>
          <w:iCs/>
          <w:szCs w:val="20"/>
          <w:lang w:eastAsia="en-US"/>
        </w:rPr>
        <w:t>X={</w:t>
      </w:r>
      <w:r>
        <w:rPr>
          <w:rFonts w:hint="eastAsia"/>
          <w:i/>
          <w:iCs/>
          <w:szCs w:val="20"/>
        </w:rPr>
        <w:t>2</w:t>
      </w:r>
      <w:r>
        <w:rPr>
          <w:i/>
          <w:iCs/>
          <w:szCs w:val="20"/>
          <w:lang w:eastAsia="en-US"/>
        </w:rPr>
        <w:t>} for (30,</w:t>
      </w:r>
      <w:r>
        <w:rPr>
          <w:i/>
          <w:iCs/>
          <w:szCs w:val="20"/>
        </w:rPr>
        <w:t>3</w:t>
      </w:r>
      <w:r>
        <w:rPr>
          <w:i/>
          <w:iCs/>
          <w:szCs w:val="20"/>
          <w:lang w:eastAsia="en-US"/>
        </w:rPr>
        <w:t>0)</w:t>
      </w:r>
    </w:p>
    <w:p>
      <w:pPr>
        <w:pStyle w:val="129"/>
        <w:numPr>
          <w:ilvl w:val="3"/>
          <w:numId w:val="24"/>
        </w:numPr>
        <w:spacing w:before="72" w:after="72"/>
        <w:ind w:left="2000" w:leftChars="1000" w:firstLine="400"/>
        <w:rPr>
          <w:i/>
          <w:iCs/>
          <w:szCs w:val="20"/>
          <w:lang w:eastAsia="en-US"/>
        </w:rPr>
      </w:pPr>
      <w:r>
        <w:rPr>
          <w:i/>
          <w:iCs/>
          <w:szCs w:val="20"/>
          <w:lang w:eastAsia="en-US"/>
        </w:rPr>
        <w:t xml:space="preserve">X applies </w:t>
      </w:r>
      <w:r>
        <w:rPr>
          <w:rFonts w:hint="eastAsia"/>
          <w:i/>
          <w:iCs/>
          <w:szCs w:val="20"/>
        </w:rPr>
        <w:t xml:space="preserve">per </w:t>
      </w:r>
      <w:r>
        <w:rPr>
          <w:i/>
          <w:iCs/>
          <w:szCs w:val="20"/>
          <w:lang w:eastAsia="en-US"/>
        </w:rPr>
        <w:t>slot of scheduling CC</w:t>
      </w:r>
    </w:p>
    <w:p>
      <w:pPr>
        <w:pStyle w:val="129"/>
        <w:numPr>
          <w:ilvl w:val="1"/>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 xml:space="preserve">For a cell in a set of cells, no more than </w:t>
      </w:r>
      <w:r>
        <w:rPr>
          <w:rFonts w:hint="eastAsia"/>
          <w:i/>
          <w:iCs/>
          <w:color w:val="000000" w:themeColor="text1"/>
          <w:szCs w:val="20"/>
          <w14:textFill>
            <w14:solidFill>
              <w14:schemeClr w14:val="tx1"/>
            </w14:solidFill>
          </w14:textFill>
        </w:rPr>
        <w:t>two</w:t>
      </w:r>
      <w:r>
        <w:rPr>
          <w:i/>
          <w:iCs/>
          <w:color w:val="000000" w:themeColor="text1"/>
          <w:szCs w:val="20"/>
          <w14:textFill>
            <w14:solidFill>
              <w14:schemeClr w14:val="tx1"/>
            </w14:solidFill>
          </w14:textFill>
        </w:rPr>
        <w:t xml:space="preserve"> DCI scheduling PUSCH for the cell</w:t>
      </w:r>
    </w:p>
    <w:p>
      <w:pPr>
        <w:pStyle w:val="61"/>
        <w:numPr>
          <w:ilvl w:val="0"/>
          <w:numId w:val="32"/>
        </w:numPr>
        <w:spacing w:before="72" w:after="72"/>
        <w:rPr>
          <w:rFonts w:ascii="Times New Roman" w:hAnsi="Times New Roman"/>
          <w:i/>
          <w:iCs/>
          <w:sz w:val="20"/>
        </w:rPr>
      </w:pPr>
      <w:r>
        <w:rPr>
          <w:rFonts w:hint="eastAsia" w:ascii="Times New Roman" w:hAnsi="Times New Roman"/>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hint="eastAsia" w:ascii="Times New Roman" w:hAnsi="Times New Roman"/>
          <w:i/>
          <w:iCs/>
          <w:sz w:val="20"/>
          <w:lang w:val="en-US" w:eastAsia="zh-CN"/>
        </w:rPr>
        <w:t>d, p</w:t>
      </w:r>
      <w:r>
        <w:rPr>
          <w:rFonts w:ascii="Times New Roman" w:hAnsi="Times New Roman"/>
          <w:i/>
          <w:iCs/>
          <w:sz w:val="20"/>
        </w:rPr>
        <w:t xml:space="preserve">rocessing up to X unicast DCI </w:t>
      </w:r>
      <w:r>
        <w:rPr>
          <w:rFonts w:hint="eastAsia" w:ascii="Times New Roman" w:hAnsi="Times New Roman"/>
          <w:i/>
          <w:iCs/>
          <w:sz w:val="20"/>
          <w:lang w:val="en-US" w:eastAsia="zh-CN"/>
        </w:rPr>
        <w:t>scheduling PUSCH</w:t>
      </w:r>
      <w:r>
        <w:rPr>
          <w:rFonts w:ascii="Times New Roman" w:hAnsi="Times New Roman"/>
          <w:i/>
          <w:iCs/>
          <w:sz w:val="20"/>
        </w:rPr>
        <w:t xml:space="preserve"> for the cell</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pPr>
        <w:pStyle w:val="129"/>
        <w:numPr>
          <w:ilvl w:val="3"/>
          <w:numId w:val="24"/>
        </w:numPr>
        <w:spacing w:before="72" w:after="72"/>
        <w:ind w:left="2000" w:leftChars="1000" w:firstLine="400"/>
        <w:rPr>
          <w:i/>
          <w:iCs/>
          <w:szCs w:val="20"/>
          <w:lang w:eastAsia="en-US"/>
        </w:rPr>
      </w:pPr>
      <w:r>
        <w:rPr>
          <w:i/>
          <w:iCs/>
          <w:szCs w:val="20"/>
          <w:lang w:eastAsia="en-US"/>
        </w:rPr>
        <w:t>Candidate value(s) of X</w:t>
      </w:r>
    </w:p>
    <w:p>
      <w:pPr>
        <w:pStyle w:val="129"/>
        <w:numPr>
          <w:ilvl w:val="0"/>
          <w:numId w:val="33"/>
        </w:numPr>
        <w:spacing w:before="72" w:after="72"/>
        <w:ind w:left="2420" w:firstLine="400"/>
        <w:rPr>
          <w:i/>
          <w:iCs/>
          <w:szCs w:val="20"/>
          <w:lang w:eastAsia="en-US"/>
        </w:rPr>
      </w:pPr>
      <w:r>
        <w:rPr>
          <w:i/>
          <w:iCs/>
          <w:szCs w:val="20"/>
          <w:lang w:eastAsia="en-US"/>
        </w:rPr>
        <w:t>X={2,4} for (15,120), (15,60), (30,120)</w:t>
      </w:r>
      <w:r>
        <w:rPr>
          <w:rFonts w:hint="eastAsia"/>
          <w:i/>
          <w:iCs/>
          <w:szCs w:val="20"/>
        </w:rPr>
        <w:t>,</w:t>
      </w:r>
      <w:r>
        <w:rPr>
          <w:i/>
          <w:iCs/>
          <w:szCs w:val="20"/>
          <w:lang w:eastAsia="en-US"/>
        </w:rPr>
        <w:t xml:space="preserve"> X={2} for (15,30), (30,60)</w:t>
      </w:r>
      <w:r>
        <w:rPr>
          <w:rFonts w:hint="eastAsia"/>
          <w:i/>
          <w:iCs/>
          <w:szCs w:val="20"/>
        </w:rPr>
        <w:t xml:space="preserve"> and </w:t>
      </w:r>
      <w:r>
        <w:rPr>
          <w:i/>
          <w:iCs/>
          <w:szCs w:val="20"/>
          <w:lang w:eastAsia="en-US"/>
        </w:rPr>
        <w:t>X={</w:t>
      </w:r>
      <w:r>
        <w:rPr>
          <w:rFonts w:hint="eastAsia"/>
          <w:i/>
          <w:iCs/>
          <w:szCs w:val="20"/>
        </w:rPr>
        <w:t>2</w:t>
      </w:r>
      <w:r>
        <w:rPr>
          <w:i/>
          <w:iCs/>
          <w:szCs w:val="20"/>
          <w:lang w:eastAsia="en-US"/>
        </w:rPr>
        <w:t>} for (30,</w:t>
      </w:r>
      <w:r>
        <w:rPr>
          <w:i/>
          <w:iCs/>
          <w:szCs w:val="20"/>
        </w:rPr>
        <w:t>3</w:t>
      </w:r>
      <w:r>
        <w:rPr>
          <w:i/>
          <w:iCs/>
          <w:szCs w:val="20"/>
          <w:lang w:eastAsia="en-US"/>
        </w:rPr>
        <w:t>0)</w:t>
      </w:r>
    </w:p>
    <w:p>
      <w:pPr>
        <w:pStyle w:val="129"/>
        <w:numPr>
          <w:ilvl w:val="3"/>
          <w:numId w:val="24"/>
        </w:numPr>
        <w:spacing w:before="72" w:after="72"/>
        <w:ind w:left="2000" w:leftChars="1000" w:firstLine="400"/>
        <w:rPr>
          <w:i/>
          <w:iCs/>
          <w:szCs w:val="20"/>
          <w:lang w:eastAsia="en-US"/>
        </w:rPr>
      </w:pPr>
      <w:r>
        <w:rPr>
          <w:i/>
          <w:iCs/>
          <w:szCs w:val="20"/>
          <w:lang w:eastAsia="en-US"/>
        </w:rPr>
        <w:t xml:space="preserve">X applies </w:t>
      </w:r>
      <w:r>
        <w:rPr>
          <w:rFonts w:hint="eastAsia"/>
          <w:i/>
          <w:iCs/>
          <w:szCs w:val="20"/>
        </w:rPr>
        <w:t xml:space="preserve">per </w:t>
      </w:r>
      <w:r>
        <w:rPr>
          <w:i/>
          <w:iCs/>
          <w:szCs w:val="20"/>
          <w:lang w:eastAsia="en-US"/>
        </w:rPr>
        <w:t>slot of scheduling CC</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SCS1 is the SCS of scheduling CC, and SCS2 is the smallest SCS among all cells in the cell set</w:t>
      </w:r>
    </w:p>
    <w:p>
      <w:pPr>
        <w:pStyle w:val="129"/>
        <w:numPr>
          <w:ilvl w:val="0"/>
          <w:numId w:val="31"/>
        </w:numPr>
        <w:spacing w:before="72" w:after="72"/>
        <w:ind w:firstLine="400"/>
        <w:rPr>
          <w:i/>
          <w:iCs/>
          <w:color w:val="000000" w:themeColor="text1"/>
          <w:szCs w:val="20"/>
          <w14:textFill>
            <w14:solidFill>
              <w14:schemeClr w14:val="tx1"/>
            </w14:solidFill>
          </w14:textFill>
        </w:rPr>
      </w:pPr>
      <w:r>
        <w:rPr>
          <w:i/>
          <w:iCs/>
          <w:color w:val="000000" w:themeColor="text1"/>
          <w:szCs w:val="20"/>
          <w14:textFill>
            <w14:solidFill>
              <w14:schemeClr w14:val="tx1"/>
            </w14:solidFill>
          </w14:textFill>
        </w:rPr>
        <w:t xml:space="preserve">For SCS1 smaller than or equal to SCS2, N = 1 </w:t>
      </w:r>
    </w:p>
    <w:p>
      <w:pPr>
        <w:pStyle w:val="129"/>
        <w:numPr>
          <w:ilvl w:val="0"/>
          <w:numId w:val="31"/>
        </w:numPr>
        <w:spacing w:before="72" w:after="72"/>
        <w:ind w:firstLine="400"/>
      </w:pPr>
      <w:r>
        <w:rPr>
          <w:i/>
          <w:iCs/>
          <w:color w:val="000000" w:themeColor="text1"/>
          <w:szCs w:val="20"/>
          <w14:textFill>
            <w14:solidFill>
              <w14:schemeClr w14:val="tx1"/>
            </w14:solidFill>
          </w14:textFill>
        </w:rPr>
        <w:t>For SCS1 larger than SCS2: N=2 for (SCS1 equal to 30kHz, SCS2 equal to 15kHz)</w:t>
      </w:r>
    </w:p>
    <w:p>
      <w:pPr>
        <w:pStyle w:val="129"/>
        <w:spacing w:before="72" w:after="72"/>
        <w:ind w:firstLine="0" w:firstLineChars="0"/>
        <w:rPr>
          <w:i/>
          <w:iCs/>
          <w:color w:val="000000" w:themeColor="text1"/>
          <w:szCs w:val="20"/>
          <w14:textFill>
            <w14:solidFill>
              <w14:schemeClr w14:val="tx1"/>
            </w14:solidFill>
          </w14:textFill>
        </w:rPr>
      </w:pPr>
    </w:p>
    <w:p>
      <w:pPr>
        <w:pStyle w:val="129"/>
        <w:spacing w:before="72" w:after="72"/>
        <w:ind w:firstLine="0" w:firstLineChars="0"/>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Regarding the advanced UE capability for larger number of unicast DL/UL DCI defined in FG49-3x/y for Rel-18 MC, the similar capability shall be defined for Rel-19 MCE.</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587"/>
        <w:gridCol w:w="3674"/>
        <w:gridCol w:w="8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lang w:eastAsia="ja-JP"/>
                <w14:textFill>
                  <w14:solidFill>
                    <w14:schemeClr w14:val="tx1"/>
                  </w14:solidFill>
                </w14:textFill>
              </w:rPr>
              <w:t>49. NR_MC_enh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lang w:eastAsia="ja-JP"/>
                <w14:textFill>
                  <w14:solidFill>
                    <w14:schemeClr w14:val="tx1"/>
                  </w14:solidFill>
                </w14:textFill>
              </w:rPr>
              <w:t>49-3x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宋体"/>
                <w:szCs w:val="18"/>
                <w:lang w:eastAsia="zh-CN"/>
              </w:rPr>
            </w:pPr>
            <w:r>
              <w:rPr>
                <w:rFonts w:ascii="Times New Roman" w:hAnsi="Times New Roman" w:eastAsia="宋体"/>
                <w:szCs w:val="18"/>
                <w:lang w:eastAsia="zh-CN"/>
              </w:rPr>
              <w:t>Advanced UE capability for larger number of unicast DL DCI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Processing up to X unicast DCI scheduling PDSCH per scheduled cell in a set of cells configured for multi-cell PDSCH scheduling by DCI format 1_3:</w:t>
            </w:r>
          </w:p>
          <w:p>
            <w:pPr>
              <w:numPr>
                <w:ilvl w:val="0"/>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 is based on pair of (scheduling CC SCS, scheduled CC SCS):</w:t>
            </w:r>
          </w:p>
          <w:p>
            <w:pPr>
              <w:numPr>
                <w:ilvl w:val="1"/>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Candidate value(s) of X</w:t>
            </w:r>
          </w:p>
          <w:p>
            <w:pPr>
              <w:numPr>
                <w:ilvl w:val="2"/>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X={2,4} for (15,120), (15,60), (30,120) and X={2} for (15,30), (30,60), (60,120 kHz)</w:t>
            </w:r>
          </w:p>
          <w:p>
            <w:pPr>
              <w:numPr>
                <w:ilvl w:val="1"/>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 applies per slot of scheduling CC</w:t>
            </w:r>
          </w:p>
          <w:p>
            <w:pPr>
              <w:spacing w:before="72" w:after="72"/>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lang w:eastAsia="ja-JP"/>
                <w14:textFill>
                  <w14:solidFill>
                    <w14:schemeClr w14:val="tx1"/>
                  </w14:solidFill>
                </w14:textFill>
              </w:rPr>
              <w:t>49. NR_MC_enh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lang w:eastAsia="ja-JP"/>
                <w14:textFill>
                  <w14:solidFill>
                    <w14:schemeClr w14:val="tx1"/>
                  </w14:solidFill>
                </w14:textFill>
              </w:rPr>
              <w:t>49-3y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宋体"/>
                <w:szCs w:val="18"/>
                <w:lang w:eastAsia="zh-CN"/>
              </w:rPr>
            </w:pPr>
            <w:r>
              <w:rPr>
                <w:rFonts w:ascii="Times New Roman" w:hAnsi="Times New Roman" w:eastAsia="宋体"/>
                <w:szCs w:val="18"/>
                <w:lang w:eastAsia="zh-CN"/>
              </w:rPr>
              <w:t>Advanced UE capability for larger number of unicast UL DCI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Processing up to X unicast DCI scheduling PUSCH per scheduled cell in a set of cells configured for multi-cell PUSCH scheduling by DCI format 0_3 </w:t>
            </w:r>
          </w:p>
          <w:p>
            <w:pPr>
              <w:numPr>
                <w:ilvl w:val="0"/>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 is based on pair of (scheduling CC SCS, scheduled CC SCS):</w:t>
            </w:r>
          </w:p>
          <w:p>
            <w:pPr>
              <w:numPr>
                <w:ilvl w:val="1"/>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Candidate value(s) of X</w:t>
            </w:r>
          </w:p>
          <w:p>
            <w:pPr>
              <w:numPr>
                <w:ilvl w:val="2"/>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X={2,4} for (15,120), (15,60), (30,120) and X={2} for (15,30), (30,60), (60,120 kHz)</w:t>
            </w:r>
          </w:p>
          <w:p>
            <w:pPr>
              <w:numPr>
                <w:ilvl w:val="1"/>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 applies per slot of scheduling CC</w:t>
            </w:r>
          </w:p>
          <w:p>
            <w:pPr>
              <w:spacing w:before="72" w:after="72"/>
              <w:rPr>
                <w:color w:val="000000" w:themeColor="text1"/>
                <w:sz w:val="18"/>
                <w:szCs w:val="18"/>
                <w14:textFill>
                  <w14:solidFill>
                    <w14:schemeClr w14:val="tx1"/>
                  </w14:solidFill>
                </w14:textFill>
              </w:rPr>
            </w:pPr>
          </w:p>
        </w:tc>
      </w:tr>
    </w:tbl>
    <w:p>
      <w:pPr>
        <w:pStyle w:val="129"/>
        <w:spacing w:before="72" w:after="72"/>
        <w:ind w:firstLine="0" w:firstLineChars="0"/>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 xml:space="preserve">Component 10 in FG66-1 and component 9 in FG66-2 support only one DCI format 1_3/0_3 per N consecutive slots of scheduling cell, and the </w:t>
      </w:r>
      <w:r>
        <w:rPr>
          <w:rFonts w:hint="eastAsia"/>
          <w:color w:val="000000" w:themeColor="text1"/>
          <w:szCs w:val="20"/>
          <w:highlight w:val="yellow"/>
          <w14:textFill>
            <w14:solidFill>
              <w14:schemeClr w14:val="tx1"/>
            </w14:solidFill>
          </w14:textFill>
        </w:rPr>
        <w:t>FFS in yellow highlighted</w:t>
      </w:r>
      <w:r>
        <w:rPr>
          <w:rFonts w:hint="eastAsia"/>
          <w:color w:val="000000" w:themeColor="text1"/>
          <w:szCs w:val="20"/>
          <w14:textFill>
            <w14:solidFill>
              <w14:schemeClr w14:val="tx1"/>
            </w14:solidFill>
          </w14:textFill>
        </w:rPr>
        <w:t xml:space="preserve"> in the previous agreement only focus on FFS support of more than one DCI other than DCI format 1_3/0_3. Therefore, similar FGs for Rel-19 MCE like FG49-3x/y for Rel-18 MC shall be introduced to support processing more than one DCI including DCI format 1_3/0_3. </w:t>
      </w:r>
    </w:p>
    <w:p>
      <w:pPr>
        <w:adjustRightInd/>
        <w:snapToGrid/>
        <w:spacing w:before="120" w:beforeLines="50" w:after="72"/>
        <w:rPr>
          <w:i/>
        </w:rPr>
      </w:pPr>
      <w:r>
        <w:rPr>
          <w:rFonts w:hint="eastAsia"/>
          <w:b/>
          <w:i/>
        </w:rPr>
        <w:t xml:space="preserve">Proposal </w:t>
      </w:r>
      <w:r>
        <w:rPr>
          <w:b/>
          <w:i/>
        </w:rPr>
        <w:t>4</w:t>
      </w:r>
      <w:r>
        <w:rPr>
          <w:rFonts w:hint="eastAsia"/>
          <w:b/>
          <w:i/>
        </w:rPr>
        <w:t>-3</w:t>
      </w:r>
      <w:r>
        <w:rPr>
          <w:b/>
          <w:i/>
        </w:rPr>
        <w:t>:</w:t>
      </w:r>
      <w:r>
        <w:rPr>
          <w:i/>
        </w:rPr>
        <w:t xml:space="preserve"> </w:t>
      </w:r>
      <w:r>
        <w:rPr>
          <w:rFonts w:hint="eastAsia"/>
          <w:i/>
        </w:rPr>
        <w:t xml:space="preserve">Introduce FG66-xa/xb as follows based on FG49-3x/y.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510"/>
        <w:gridCol w:w="2368"/>
        <w:gridCol w:w="5546"/>
        <w:gridCol w:w="456"/>
        <w:gridCol w:w="496"/>
        <w:gridCol w:w="222"/>
        <w:gridCol w:w="222"/>
        <w:gridCol w:w="457"/>
        <w:gridCol w:w="526"/>
        <w:gridCol w:w="526"/>
        <w:gridCol w:w="526"/>
        <w:gridCol w:w="222"/>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5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hint="eastAsia" w:ascii="Times New Roman" w:hAnsi="Times New Roman" w:eastAsia="宋体"/>
                <w:color w:val="000000" w:themeColor="text1"/>
                <w:szCs w:val="18"/>
                <w:lang w:val="en-US" w:eastAsia="zh-CN"/>
                <w14:textFill>
                  <w14:solidFill>
                    <w14:schemeClr w14:val="tx1"/>
                  </w14:solidFill>
                </w14:textFill>
              </w:rPr>
              <w:t>66</w:t>
            </w:r>
            <w:r>
              <w:rPr>
                <w:rFonts w:ascii="Times New Roman" w:hAnsi="Times New Roman" w:eastAsia="MS Mincho"/>
                <w:color w:val="000000" w:themeColor="text1"/>
                <w:szCs w:val="18"/>
                <w:lang w:eastAsia="ja-JP"/>
                <w14:textFill>
                  <w14:solidFill>
                    <w14:schemeClr w14:val="tx1"/>
                  </w14:solidFill>
                </w14:textFill>
              </w:rPr>
              <w:t>. NR_MC_enh</w:t>
            </w:r>
            <w:r>
              <w:rPr>
                <w:rFonts w:hint="eastAsia" w:ascii="Times New Roman" w:hAnsi="Times New Roman" w:eastAsia="宋体"/>
                <w:color w:val="000000" w:themeColor="text1"/>
                <w:szCs w:val="18"/>
                <w:lang w:val="en-US" w:eastAsia="zh-CN"/>
                <w14:textFill>
                  <w14:solidFill>
                    <w14:schemeClr w14:val="tx1"/>
                  </w14:solidFill>
                </w14:textFill>
              </w:rPr>
              <w:t>2</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hint="eastAsia" w:ascii="Times New Roman" w:hAnsi="Times New Roman" w:eastAsia="宋体"/>
                <w:color w:val="000000" w:themeColor="text1"/>
                <w:szCs w:val="18"/>
                <w:lang w:val="en-US" w:eastAsia="zh-CN"/>
                <w14:textFill>
                  <w14:solidFill>
                    <w14:schemeClr w14:val="tx1"/>
                  </w14:solidFill>
                </w14:textFill>
              </w:rPr>
              <w:t>66</w:t>
            </w:r>
            <w:r>
              <w:rPr>
                <w:rFonts w:ascii="Times New Roman" w:hAnsi="Times New Roman" w:eastAsia="MS Mincho"/>
                <w:color w:val="000000" w:themeColor="text1"/>
                <w:szCs w:val="18"/>
                <w:lang w:eastAsia="ja-JP"/>
                <w14:textFill>
                  <w14:solidFill>
                    <w14:schemeClr w14:val="tx1"/>
                  </w14:solidFill>
                </w14:textFill>
              </w:rPr>
              <w:t>-x</w:t>
            </w:r>
            <w:r>
              <w:rPr>
                <w:rFonts w:hint="eastAsia" w:ascii="Times New Roman" w:hAnsi="Times New Roman" w:eastAsia="宋体"/>
                <w:color w:val="000000" w:themeColor="text1"/>
                <w:szCs w:val="18"/>
                <w:lang w:val="en-US" w:eastAsia="zh-CN"/>
                <w14:textFill>
                  <w14:solidFill>
                    <w14:schemeClr w14:val="tx1"/>
                  </w14:solidFill>
                </w14:textFill>
              </w:rPr>
              <w:t>a</w:t>
            </w:r>
          </w:p>
        </w:tc>
        <w:tc>
          <w:tcPr>
            <w:tcW w:w="252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宋体"/>
                <w:szCs w:val="18"/>
                <w:lang w:eastAsia="zh-CN"/>
              </w:rPr>
            </w:pPr>
            <w:r>
              <w:rPr>
                <w:rFonts w:ascii="Times New Roman" w:hAnsi="Times New Roman" w:eastAsia="宋体"/>
                <w:szCs w:val="18"/>
                <w:lang w:eastAsia="zh-CN"/>
              </w:rPr>
              <w:t>Advanced UE capability for larger number of unicast DL DCI</w:t>
            </w:r>
          </w:p>
        </w:tc>
        <w:tc>
          <w:tcPr>
            <w:tcW w:w="5927"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Processing up to X unicast DCI scheduling PDSCH per scheduled cell in a set of cells configured for multi-cell PDSCH scheduling by DCI format 1_3:</w:t>
            </w:r>
          </w:p>
          <w:p>
            <w:pPr>
              <w:numPr>
                <w:ilvl w:val="0"/>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 is based on pair of (scheduling CC SCS, scheduled CC SCS):</w:t>
            </w:r>
          </w:p>
          <w:p>
            <w:pPr>
              <w:numPr>
                <w:ilvl w:val="1"/>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Candidate value(s) of X</w:t>
            </w:r>
          </w:p>
          <w:p>
            <w:pPr>
              <w:numPr>
                <w:ilvl w:val="2"/>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X={2,4} for (15,120), (15,60), (30,120)</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 xml:space="preserve"> X={2} for (15,30), (30,60) and</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X={</w:t>
            </w: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 for (</w:t>
            </w:r>
            <w:r>
              <w:rPr>
                <w:rFonts w:hint="eastAsia"/>
                <w:color w:val="000000" w:themeColor="text1"/>
                <w:sz w:val="18"/>
                <w:szCs w:val="18"/>
                <w14:textFill>
                  <w14:solidFill>
                    <w14:schemeClr w14:val="tx1"/>
                  </w14:solidFill>
                </w14:textFill>
              </w:rPr>
              <w:t>30</w:t>
            </w:r>
            <w:r>
              <w:rPr>
                <w:color w:val="000000" w:themeColor="text1"/>
                <w:sz w:val="18"/>
                <w:szCs w:val="18"/>
                <w14:textFill>
                  <w14:solidFill>
                    <w14:schemeClr w14:val="tx1"/>
                  </w14:solidFill>
                </w14:textFill>
              </w:rPr>
              <w:t>,30)</w:t>
            </w:r>
          </w:p>
          <w:p>
            <w:pPr>
              <w:numPr>
                <w:ilvl w:val="1"/>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 applies per slot of scheduling CC</w:t>
            </w:r>
          </w:p>
          <w:p>
            <w:pPr>
              <w:spacing w:before="72" w:after="72"/>
              <w:rPr>
                <w:color w:val="000000" w:themeColor="text1"/>
                <w:sz w:val="18"/>
                <w:szCs w:val="18"/>
                <w14:textFill>
                  <w14:solidFill>
                    <w14:schemeClr w14:val="tx1"/>
                  </w14:solidFill>
                </w14:textFill>
              </w:rPr>
            </w:pP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lang w:val="en-US" w:eastAsia="zh-CN"/>
                <w14:textFill>
                  <w14:solidFill>
                    <w14:schemeClr w14:val="tx1"/>
                  </w14:solidFill>
                </w14:textFill>
              </w:rPr>
            </w:pPr>
            <w:r>
              <w:rPr>
                <w:rFonts w:hint="eastAsia" w:ascii="Times New Roman" w:hAnsi="Times New Roman"/>
                <w:color w:val="000000" w:themeColor="text1"/>
                <w:szCs w:val="18"/>
                <w:lang w:val="en-US" w:eastAsia="zh-CN"/>
                <w14:textFill>
                  <w14:solidFill>
                    <w14:schemeClr w14:val="tx1"/>
                  </w14:solidFill>
                </w14:textFill>
              </w:rPr>
              <w:t>66-1</w:t>
            </w: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lang w:val="en-US" w:eastAsia="zh-CN"/>
                <w14:textFill>
                  <w14:solidFill>
                    <w14:schemeClr w14:val="tx1"/>
                  </w14:solidFill>
                </w14:textFill>
              </w:rPr>
            </w:pPr>
            <w:r>
              <w:rPr>
                <w:rFonts w:hint="eastAsia" w:ascii="Times New Roman" w:hAnsi="Times New Roman"/>
                <w:color w:val="000000" w:themeColor="text1"/>
                <w:szCs w:val="18"/>
                <w:lang w:val="en-US" w:eastAsia="zh-CN"/>
                <w14:textFill>
                  <w14:solidFill>
                    <w14:schemeClr w14:val="tx1"/>
                  </w14:solidFill>
                </w14:textFill>
              </w:rPr>
              <w:t>Yes</w:t>
            </w: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hint="eastAsia" w:ascii="Times New Roman" w:hAnsi="Times New Roman" w:eastAsia="MS Mincho"/>
                <w:color w:val="000000" w:themeColor="text1"/>
                <w:szCs w:val="18"/>
                <w:lang w:eastAsia="ja-JP"/>
                <w14:textFill>
                  <w14:solidFill>
                    <w14:schemeClr w14:val="tx1"/>
                  </w14:solidFill>
                </w14:textFill>
              </w:rPr>
              <w:t>P</w:t>
            </w:r>
            <w:r>
              <w:rPr>
                <w:rFonts w:ascii="Times New Roman" w:hAnsi="Times New Roman" w:eastAsia="MS Mincho"/>
                <w:color w:val="000000" w:themeColor="text1"/>
                <w:szCs w:val="18"/>
                <w:lang w:eastAsia="ja-JP"/>
                <w14:textFill>
                  <w14:solidFill>
                    <w14:schemeClr w14:val="tx1"/>
                  </w14:solidFill>
                </w14:textFill>
              </w:rPr>
              <w:t>er BC</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hint="eastAsia" w:ascii="Times New Roman" w:hAnsi="Times New Roman" w:eastAsia="MS Mincho"/>
                <w:color w:val="000000" w:themeColor="text1"/>
                <w:szCs w:val="18"/>
                <w:lang w:eastAsia="ja-JP"/>
                <w14:textFill>
                  <w14:solidFill>
                    <w14:schemeClr w14:val="tx1"/>
                  </w14:solidFill>
                </w14:textFill>
              </w:rPr>
              <w:t>N</w:t>
            </w:r>
            <w:r>
              <w:rPr>
                <w:rFonts w:ascii="Times New Roman" w:hAnsi="Times New Roman" w:eastAsia="MS Mincho"/>
                <w:color w:val="000000" w:themeColor="text1"/>
                <w:szCs w:val="18"/>
                <w:lang w:eastAsia="ja-JP"/>
                <w14:textFill>
                  <w14:solidFill>
                    <w14:schemeClr w14:val="tx1"/>
                  </w14:solidFill>
                </w14:textFill>
              </w:rPr>
              <w:t>/A</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hint="eastAsia" w:ascii="Times New Roman" w:hAnsi="Times New Roman" w:eastAsia="MS Mincho"/>
                <w:color w:val="000000" w:themeColor="text1"/>
                <w:szCs w:val="18"/>
                <w:lang w:eastAsia="ja-JP"/>
                <w14:textFill>
                  <w14:solidFill>
                    <w14:schemeClr w14:val="tx1"/>
                  </w14:solidFill>
                </w14:textFill>
              </w:rPr>
              <w:t>N</w:t>
            </w:r>
            <w:r>
              <w:rPr>
                <w:rFonts w:ascii="Times New Roman" w:hAnsi="Times New Roman" w:eastAsia="MS Mincho"/>
                <w:color w:val="000000" w:themeColor="text1"/>
                <w:szCs w:val="18"/>
                <w:lang w:eastAsia="ja-JP"/>
                <w14:textFill>
                  <w14:solidFill>
                    <w14:schemeClr w14:val="tx1"/>
                  </w14:solidFill>
                </w14:textFill>
              </w:rPr>
              <w:t>/A</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hint="eastAsia" w:ascii="Times New Roman" w:hAnsi="Times New Roman" w:eastAsia="MS Mincho"/>
                <w:color w:val="000000" w:themeColor="text1"/>
                <w:szCs w:val="18"/>
                <w:lang w:eastAsia="ja-JP"/>
                <w14:textFill>
                  <w14:solidFill>
                    <w14:schemeClr w14:val="tx1"/>
                  </w14:solidFill>
                </w14:textFill>
              </w:rPr>
              <w:t>N</w:t>
            </w:r>
            <w:r>
              <w:rPr>
                <w:rFonts w:ascii="Times New Roman" w:hAnsi="Times New Roman" w:eastAsia="MS Mincho"/>
                <w:color w:val="000000" w:themeColor="text1"/>
                <w:szCs w:val="18"/>
                <w:lang w:eastAsia="ja-JP"/>
                <w14:textFill>
                  <w14:solidFill>
                    <w14:schemeClr w14:val="tx1"/>
                  </w14:solidFill>
                </w14:textFill>
              </w:rPr>
              <w:t>/A</w:t>
            </w: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p>
        </w:tc>
        <w:tc>
          <w:tcPr>
            <w:tcW w:w="9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lang w:eastAsia="ja-JP"/>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5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hint="eastAsia" w:ascii="Times New Roman" w:hAnsi="Times New Roman" w:eastAsia="宋体"/>
                <w:color w:val="000000" w:themeColor="text1"/>
                <w:szCs w:val="18"/>
                <w:lang w:val="en-US" w:eastAsia="zh-CN"/>
                <w14:textFill>
                  <w14:solidFill>
                    <w14:schemeClr w14:val="tx1"/>
                  </w14:solidFill>
                </w14:textFill>
              </w:rPr>
              <w:t>66</w:t>
            </w:r>
            <w:r>
              <w:rPr>
                <w:rFonts w:ascii="Times New Roman" w:hAnsi="Times New Roman" w:eastAsia="MS Mincho"/>
                <w:color w:val="000000" w:themeColor="text1"/>
                <w:szCs w:val="18"/>
                <w:lang w:eastAsia="ja-JP"/>
                <w14:textFill>
                  <w14:solidFill>
                    <w14:schemeClr w14:val="tx1"/>
                  </w14:solidFill>
                </w14:textFill>
              </w:rPr>
              <w:t>. NR_MC_enh</w:t>
            </w:r>
            <w:r>
              <w:rPr>
                <w:rFonts w:hint="eastAsia" w:ascii="Times New Roman" w:hAnsi="Times New Roman" w:eastAsia="宋体"/>
                <w:color w:val="000000" w:themeColor="text1"/>
                <w:szCs w:val="18"/>
                <w:lang w:val="en-US" w:eastAsia="zh-CN"/>
                <w14:textFill>
                  <w14:solidFill>
                    <w14:schemeClr w14:val="tx1"/>
                  </w14:solidFill>
                </w14:textFill>
              </w:rPr>
              <w:t>2</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MS Mincho"/>
                <w:color w:val="000000" w:themeColor="text1"/>
                <w:szCs w:val="18"/>
                <w:lang w:eastAsia="ja-JP"/>
                <w14:textFill>
                  <w14:solidFill>
                    <w14:schemeClr w14:val="tx1"/>
                  </w14:solidFill>
                </w14:textFill>
              </w:rPr>
              <w:t>49-</w:t>
            </w:r>
            <w:r>
              <w:rPr>
                <w:rFonts w:hint="eastAsia" w:ascii="Times New Roman" w:hAnsi="Times New Roman" w:eastAsia="宋体"/>
                <w:color w:val="000000" w:themeColor="text1"/>
                <w:szCs w:val="18"/>
                <w:lang w:val="en-US" w:eastAsia="zh-CN"/>
                <w14:textFill>
                  <w14:solidFill>
                    <w14:schemeClr w14:val="tx1"/>
                  </w14:solidFill>
                </w14:textFill>
              </w:rPr>
              <w:t>xb</w:t>
            </w:r>
          </w:p>
        </w:tc>
        <w:tc>
          <w:tcPr>
            <w:tcW w:w="252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eastAsia="宋体"/>
                <w:szCs w:val="18"/>
                <w:lang w:eastAsia="zh-CN"/>
              </w:rPr>
            </w:pPr>
            <w:r>
              <w:rPr>
                <w:rFonts w:ascii="Times New Roman" w:hAnsi="Times New Roman" w:eastAsia="宋体"/>
                <w:szCs w:val="18"/>
                <w:lang w:eastAsia="zh-CN"/>
              </w:rPr>
              <w:t>Advanced UE capability for larger number of unicast UL DCI</w:t>
            </w:r>
          </w:p>
        </w:tc>
        <w:tc>
          <w:tcPr>
            <w:tcW w:w="5927"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Processing up to X unicast DCI scheduling PUSCH per scheduled cell in a set of cells configured for multi-cell PUSCH scheduling by DCI format 0_3 </w:t>
            </w:r>
          </w:p>
          <w:p>
            <w:pPr>
              <w:numPr>
                <w:ilvl w:val="0"/>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 is based on pair of (scheduling CC SCS, scheduled CC SCS):</w:t>
            </w:r>
          </w:p>
          <w:p>
            <w:pPr>
              <w:numPr>
                <w:ilvl w:val="1"/>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Candidate value(s) of X</w:t>
            </w:r>
          </w:p>
          <w:p>
            <w:pPr>
              <w:numPr>
                <w:ilvl w:val="2"/>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X={2,4} for (15,120), (15,60), (30,120)</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 xml:space="preserve"> X={2} for (15,30), (30,60) and</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X={</w:t>
            </w: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 for (</w:t>
            </w:r>
            <w:r>
              <w:rPr>
                <w:rFonts w:hint="eastAsia"/>
                <w:color w:val="000000" w:themeColor="text1"/>
                <w:sz w:val="18"/>
                <w:szCs w:val="18"/>
                <w14:textFill>
                  <w14:solidFill>
                    <w14:schemeClr w14:val="tx1"/>
                  </w14:solidFill>
                </w14:textFill>
              </w:rPr>
              <w:t>30</w:t>
            </w:r>
            <w:r>
              <w:rPr>
                <w:color w:val="000000" w:themeColor="text1"/>
                <w:sz w:val="18"/>
                <w:szCs w:val="18"/>
                <w14:textFill>
                  <w14:solidFill>
                    <w14:schemeClr w14:val="tx1"/>
                  </w14:solidFill>
                </w14:textFill>
              </w:rPr>
              <w:t>,30)</w:t>
            </w:r>
          </w:p>
          <w:p>
            <w:pPr>
              <w:numPr>
                <w:ilvl w:val="1"/>
                <w:numId w:val="34"/>
              </w:numPr>
              <w:spacing w:before="72" w:after="72"/>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X applies per slot of scheduling CC</w:t>
            </w:r>
          </w:p>
          <w:p>
            <w:pPr>
              <w:spacing w:before="72" w:after="72"/>
              <w:rPr>
                <w:color w:val="000000" w:themeColor="text1"/>
                <w:sz w:val="18"/>
                <w:szCs w:val="18"/>
                <w14:textFill>
                  <w14:solidFill>
                    <w14:schemeClr w14:val="tx1"/>
                  </w14:solidFill>
                </w14:textFill>
              </w:rPr>
            </w:pP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lang w:val="en-US" w:eastAsia="zh-CN"/>
                <w14:textFill>
                  <w14:solidFill>
                    <w14:schemeClr w14:val="tx1"/>
                  </w14:solidFill>
                </w14:textFill>
              </w:rPr>
            </w:pPr>
            <w:r>
              <w:rPr>
                <w:rFonts w:hint="eastAsia" w:ascii="Times New Roman" w:hAnsi="Times New Roman"/>
                <w:color w:val="000000" w:themeColor="text1"/>
                <w:szCs w:val="18"/>
                <w:lang w:val="en-US" w:eastAsia="zh-CN"/>
                <w14:textFill>
                  <w14:solidFill>
                    <w14:schemeClr w14:val="tx1"/>
                  </w14:solidFill>
                </w14:textFill>
              </w:rPr>
              <w:t>66-2</w:t>
            </w: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lang w:val="en-US" w:eastAsia="zh-CN"/>
                <w14:textFill>
                  <w14:solidFill>
                    <w14:schemeClr w14:val="tx1"/>
                  </w14:solidFill>
                </w14:textFill>
              </w:rPr>
            </w:pPr>
            <w:r>
              <w:rPr>
                <w:rFonts w:hint="eastAsia" w:ascii="Times New Roman" w:hAnsi="Times New Roman"/>
                <w:color w:val="000000" w:themeColor="text1"/>
                <w:szCs w:val="18"/>
                <w:lang w:val="en-US" w:eastAsia="zh-CN"/>
                <w14:textFill>
                  <w14:solidFill>
                    <w14:schemeClr w14:val="tx1"/>
                  </w14:solidFill>
                </w14:textFill>
              </w:rPr>
              <w:t>Yes</w:t>
            </w: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hint="eastAsia" w:ascii="Times New Roman" w:hAnsi="Times New Roman" w:eastAsia="MS Mincho"/>
                <w:color w:val="000000" w:themeColor="text1"/>
                <w:szCs w:val="18"/>
                <w:lang w:eastAsia="ja-JP"/>
                <w14:textFill>
                  <w14:solidFill>
                    <w14:schemeClr w14:val="tx1"/>
                  </w14:solidFill>
                </w14:textFill>
              </w:rPr>
              <w:t>P</w:t>
            </w:r>
            <w:r>
              <w:rPr>
                <w:rFonts w:ascii="Times New Roman" w:hAnsi="Times New Roman" w:eastAsia="MS Mincho"/>
                <w:color w:val="000000" w:themeColor="text1"/>
                <w:szCs w:val="18"/>
                <w:lang w:eastAsia="ja-JP"/>
                <w14:textFill>
                  <w14:solidFill>
                    <w14:schemeClr w14:val="tx1"/>
                  </w14:solidFill>
                </w14:textFill>
              </w:rPr>
              <w:t>er BC</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hint="eastAsia" w:ascii="Times New Roman" w:hAnsi="Times New Roman" w:eastAsia="MS Mincho"/>
                <w:color w:val="000000" w:themeColor="text1"/>
                <w:szCs w:val="18"/>
                <w:lang w:eastAsia="ja-JP"/>
                <w14:textFill>
                  <w14:solidFill>
                    <w14:schemeClr w14:val="tx1"/>
                  </w14:solidFill>
                </w14:textFill>
              </w:rPr>
              <w:t>N</w:t>
            </w:r>
            <w:r>
              <w:rPr>
                <w:rFonts w:ascii="Times New Roman" w:hAnsi="Times New Roman" w:eastAsia="MS Mincho"/>
                <w:color w:val="000000" w:themeColor="text1"/>
                <w:szCs w:val="18"/>
                <w:lang w:eastAsia="ja-JP"/>
                <w14:textFill>
                  <w14:solidFill>
                    <w14:schemeClr w14:val="tx1"/>
                  </w14:solidFill>
                </w14:textFill>
              </w:rPr>
              <w:t>/A</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hint="eastAsia" w:ascii="Times New Roman" w:hAnsi="Times New Roman" w:eastAsia="MS Mincho"/>
                <w:color w:val="000000" w:themeColor="text1"/>
                <w:szCs w:val="18"/>
                <w:lang w:eastAsia="ja-JP"/>
                <w14:textFill>
                  <w14:solidFill>
                    <w14:schemeClr w14:val="tx1"/>
                  </w14:solidFill>
                </w14:textFill>
              </w:rPr>
              <w:t>N</w:t>
            </w:r>
            <w:r>
              <w:rPr>
                <w:rFonts w:ascii="Times New Roman" w:hAnsi="Times New Roman" w:eastAsia="MS Mincho"/>
                <w:color w:val="000000" w:themeColor="text1"/>
                <w:szCs w:val="18"/>
                <w:lang w:eastAsia="ja-JP"/>
                <w14:textFill>
                  <w14:solidFill>
                    <w14:schemeClr w14:val="tx1"/>
                  </w14:solidFill>
                </w14:textFill>
              </w:rPr>
              <w:t>/A</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hint="eastAsia" w:ascii="Times New Roman" w:hAnsi="Times New Roman" w:eastAsia="MS Mincho"/>
                <w:color w:val="000000" w:themeColor="text1"/>
                <w:szCs w:val="18"/>
                <w:lang w:eastAsia="ja-JP"/>
                <w14:textFill>
                  <w14:solidFill>
                    <w14:schemeClr w14:val="tx1"/>
                  </w14:solidFill>
                </w14:textFill>
              </w:rPr>
              <w:t>N</w:t>
            </w:r>
            <w:r>
              <w:rPr>
                <w:rFonts w:ascii="Times New Roman" w:hAnsi="Times New Roman" w:eastAsia="MS Mincho"/>
                <w:color w:val="000000" w:themeColor="text1"/>
                <w:szCs w:val="18"/>
                <w:lang w:eastAsia="ja-JP"/>
                <w14:textFill>
                  <w14:solidFill>
                    <w14:schemeClr w14:val="tx1"/>
                  </w14:solidFill>
                </w14:textFill>
              </w:rPr>
              <w:t>/A</w:t>
            </w:r>
          </w:p>
        </w:tc>
        <w:tc>
          <w:tcPr>
            <w:tcW w:w="22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p>
        </w:tc>
        <w:tc>
          <w:tcPr>
            <w:tcW w:w="9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lang w:eastAsia="ja-JP"/>
                <w14:textFill>
                  <w14:solidFill>
                    <w14:schemeClr w14:val="tx1"/>
                  </w14:solidFill>
                </w14:textFill>
              </w:rPr>
              <w:t>Optional with capability signaling</w:t>
            </w:r>
          </w:p>
        </w:tc>
      </w:tr>
    </w:tbl>
    <w:p>
      <w:pPr>
        <w:pStyle w:val="129"/>
        <w:spacing w:before="72" w:after="72"/>
        <w:ind w:firstLine="0" w:firstLineChars="0"/>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 xml:space="preserve"> </w:t>
      </w:r>
    </w:p>
    <w:p>
      <w:pPr>
        <w:pStyle w:val="2"/>
        <w:spacing w:before="72" w:after="72"/>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NR_LBCA</w:t>
      </w:r>
    </w:p>
    <w:p>
      <w:pPr>
        <w:spacing w:before="72" w:after="72"/>
        <w:rPr>
          <w:rFonts w:eastAsia="宋体"/>
        </w:rPr>
      </w:pPr>
      <w:r>
        <w:rPr>
          <w:rFonts w:hint="eastAsia"/>
        </w:rPr>
        <w:t xml:space="preserve">According to the </w:t>
      </w:r>
      <w:r>
        <w:rPr>
          <w:rFonts w:hint="eastAsia"/>
          <w:lang w:eastAsia="en-GB"/>
        </w:rPr>
        <w:t>LS on Rel-19 RAN4 UE feature list for NR</w:t>
      </w:r>
      <w:r>
        <w:rPr>
          <w:rFonts w:hint="eastAsia"/>
        </w:rPr>
        <w:t xml:space="preserve"> </w:t>
      </w:r>
      <w:r>
        <w:rPr>
          <w:rFonts w:hint="eastAsia"/>
          <w:lang w:eastAsia="en-GB"/>
        </w:rPr>
        <w:t xml:space="preserve">(version </w:t>
      </w:r>
      <w:r>
        <w:rPr>
          <w:rFonts w:hint="eastAsia"/>
        </w:rPr>
        <w:t>3</w:t>
      </w:r>
      <w:r>
        <w:rPr>
          <w:rFonts w:hint="eastAsia"/>
          <w:lang w:eastAsia="en-GB"/>
        </w:rPr>
        <w:t>)</w:t>
      </w:r>
      <w:r>
        <w:rPr>
          <w:rFonts w:hint="eastAsia"/>
        </w:rPr>
        <w:t xml:space="preserve"> R4-2514620, FG 55 </w:t>
      </w:r>
      <w:r>
        <w:rPr>
          <w:rFonts w:hint="eastAsia"/>
          <w:lang w:eastAsia="en-US"/>
        </w:rPr>
        <w:t>NR_LBCA_S</w:t>
      </w:r>
      <w:r>
        <w:rPr>
          <w:rFonts w:hint="eastAsia"/>
          <w:lang w:eastAsia="en-GB"/>
        </w:rPr>
        <w:t>W</w:t>
      </w:r>
      <w:r>
        <w:rPr>
          <w:rFonts w:hint="eastAsia"/>
        </w:rPr>
        <w:t xml:space="preserve"> has been introduced including the basic function description that the </w:t>
      </w:r>
      <w:r>
        <w:rPr>
          <w:rFonts w:hint="eastAsia"/>
          <w:lang w:eastAsia="en-US"/>
        </w:rPr>
        <w:t xml:space="preserve">UE </w:t>
      </w:r>
      <w:r>
        <w:rPr>
          <w:rFonts w:hint="eastAsia"/>
        </w:rPr>
        <w:t>can</w:t>
      </w:r>
      <w:r>
        <w:rPr>
          <w:rFonts w:hint="eastAsia"/>
          <w:lang w:eastAsia="en-US"/>
        </w:rPr>
        <w:t xml:space="preserve"> indicate support of LB-LB carrier aggregation via switching between an FDD band and SDL band.</w:t>
      </w:r>
      <w:r>
        <w:rPr>
          <w:rFonts w:hint="eastAsia"/>
          <w:lang w:eastAsia="en-GB"/>
        </w:rPr>
        <w:t xml:space="preserve"> </w:t>
      </w:r>
    </w:p>
    <w:tbl>
      <w:tblPr>
        <w:tblStyle w:val="4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456"/>
        <w:gridCol w:w="947"/>
        <w:gridCol w:w="2263"/>
        <w:gridCol w:w="657"/>
        <w:gridCol w:w="749"/>
        <w:gridCol w:w="841"/>
        <w:gridCol w:w="1066"/>
        <w:gridCol w:w="1116"/>
        <w:gridCol w:w="841"/>
        <w:gridCol w:w="1006"/>
        <w:gridCol w:w="993"/>
        <w:gridCol w:w="798"/>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528"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textAlignment w:val="baseline"/>
              <w:rPr>
                <w:sz w:val="18"/>
              </w:rPr>
            </w:pPr>
            <w:r>
              <w:rPr>
                <w:sz w:val="18"/>
                <w:lang w:eastAsia="en-US"/>
              </w:rPr>
              <w:t>5</w:t>
            </w:r>
            <w:r>
              <w:rPr>
                <w:sz w:val="18"/>
              </w:rPr>
              <w:t>5</w:t>
            </w:r>
            <w:r>
              <w:rPr>
                <w:sz w:val="18"/>
                <w:lang w:eastAsia="en-US"/>
              </w:rPr>
              <w:t>. NR_LBCA_S</w:t>
            </w:r>
            <w:r>
              <w:rPr>
                <w:sz w:val="18"/>
              </w:rPr>
              <w:t>W</w:t>
            </w:r>
          </w:p>
        </w:tc>
        <w:tc>
          <w:tcPr>
            <w:tcW w:w="156"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r>
              <w:rPr>
                <w:sz w:val="18"/>
                <w:lang w:eastAsia="en-US"/>
              </w:rPr>
              <w:t>5</w:t>
            </w:r>
            <w:r>
              <w:rPr>
                <w:sz w:val="18"/>
              </w:rPr>
              <w:t>5</w:t>
            </w:r>
            <w:r>
              <w:rPr>
                <w:sz w:val="18"/>
                <w:lang w:eastAsia="en-US"/>
              </w:rPr>
              <w:t>-1</w:t>
            </w:r>
          </w:p>
        </w:tc>
        <w:tc>
          <w:tcPr>
            <w:tcW w:w="307"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r>
              <w:rPr>
                <w:color w:val="000000"/>
                <w:sz w:val="18"/>
                <w:lang w:eastAsia="en-US"/>
              </w:rPr>
              <w:t>Switching period for  switching between a LB FDD band and an SDL band</w:t>
            </w:r>
          </w:p>
        </w:tc>
        <w:tc>
          <w:tcPr>
            <w:tcW w:w="812" w:type="pct"/>
            <w:tcBorders>
              <w:top w:val="single" w:color="auto" w:sz="4" w:space="0"/>
              <w:left w:val="single" w:color="auto" w:sz="4" w:space="0"/>
              <w:bottom w:val="single" w:color="auto" w:sz="4" w:space="0"/>
              <w:right w:val="single" w:color="auto" w:sz="4" w:space="0"/>
            </w:tcBorders>
          </w:tcPr>
          <w:p>
            <w:pPr>
              <w:keepNext/>
              <w:keepLines/>
              <w:spacing w:before="72" w:after="72"/>
              <w:rPr>
                <w:color w:val="000000"/>
                <w:sz w:val="18"/>
                <w:szCs w:val="18"/>
                <w:lang w:eastAsia="en-US"/>
              </w:rPr>
            </w:pPr>
            <w:r>
              <w:rPr>
                <w:color w:val="000000"/>
                <w:sz w:val="18"/>
                <w:szCs w:val="18"/>
                <w:lang w:eastAsia="en-US"/>
              </w:rPr>
              <w:t>UE to indicate support of LB-LB carrier aggregation via switching between an FDD band (case 1) and SDL band (case 2)</w:t>
            </w:r>
            <w:r>
              <w:rPr>
                <w:color w:val="000000"/>
                <w:sz w:val="18"/>
                <w:szCs w:val="18"/>
              </w:rPr>
              <w:t>:</w:t>
            </w:r>
          </w:p>
          <w:p>
            <w:pPr>
              <w:pStyle w:val="137"/>
              <w:snapToGrid w:val="0"/>
              <w:spacing w:after="0"/>
              <w:ind w:left="172" w:leftChars="-56"/>
              <w:rPr>
                <w:sz w:val="18"/>
                <w:szCs w:val="18"/>
                <w:lang w:val="en-US"/>
              </w:rPr>
            </w:pPr>
            <w:r>
              <w:rPr>
                <w:sz w:val="18"/>
                <w:szCs w:val="18"/>
                <w:lang w:val="en-US"/>
              </w:rPr>
              <w:tab/>
            </w:r>
            <w:r>
              <w:rPr>
                <w:sz w:val="18"/>
                <w:szCs w:val="18"/>
                <w:lang w:val="en-US"/>
              </w:rPr>
              <w:t>Case 1: Tx/Rx on FDD carrier 1 and no Rx on SDL carrier 2</w:t>
            </w:r>
          </w:p>
          <w:p>
            <w:pPr>
              <w:pStyle w:val="137"/>
              <w:snapToGrid w:val="0"/>
              <w:spacing w:after="0"/>
              <w:ind w:left="172" w:leftChars="-56"/>
              <w:rPr>
                <w:sz w:val="18"/>
                <w:szCs w:val="18"/>
                <w:lang w:val="en-US"/>
              </w:rPr>
            </w:pPr>
            <w:r>
              <w:rPr>
                <w:sz w:val="18"/>
                <w:szCs w:val="18"/>
                <w:lang w:val="en-US"/>
              </w:rPr>
              <w:t>-</w:t>
            </w:r>
            <w:r>
              <w:rPr>
                <w:sz w:val="18"/>
                <w:szCs w:val="18"/>
                <w:lang w:val="en-US"/>
              </w:rPr>
              <w:tab/>
            </w:r>
            <w:r>
              <w:rPr>
                <w:sz w:val="18"/>
                <w:szCs w:val="18"/>
                <w:lang w:val="en-US"/>
              </w:rPr>
              <w:t>Case 2: Rx on SDL carrier 2 and no Tx/Rx on FDD carrier 1</w:t>
            </w:r>
          </w:p>
          <w:p>
            <w:pPr>
              <w:keepNext/>
              <w:keepLines/>
              <w:spacing w:before="72" w:after="72"/>
              <w:rPr>
                <w:color w:val="000000"/>
                <w:sz w:val="18"/>
                <w:szCs w:val="18"/>
                <w:lang w:eastAsia="en-US"/>
              </w:rPr>
            </w:pPr>
          </w:p>
          <w:p>
            <w:pPr>
              <w:spacing w:before="72" w:after="72"/>
              <w:contextualSpacing/>
              <w:rPr>
                <w:sz w:val="18"/>
                <w:szCs w:val="18"/>
                <w:lang w:eastAsia="en-US"/>
              </w:rPr>
            </w:pPr>
            <w:r>
              <w:rPr>
                <w:i/>
                <w:color w:val="000000"/>
                <w:sz w:val="18"/>
                <w:szCs w:val="18"/>
                <w:lang w:eastAsia="en-US"/>
              </w:rPr>
              <w:t>switchingPeriodForFDD-SDL</w:t>
            </w:r>
            <w:r>
              <w:rPr>
                <w:color w:val="000000"/>
                <w:sz w:val="18"/>
                <w:szCs w:val="18"/>
                <w:lang w:eastAsia="en-US"/>
              </w:rPr>
              <w:t xml:space="preserve"> indicates the length of the switching time between {case1, case2}: 35us represents 35 us of switching time, 70us represents 70us of switching time,140us represents 140us of switching time, as specified in TS 38.101-1.</w:t>
            </w:r>
          </w:p>
        </w:tc>
        <w:tc>
          <w:tcPr>
            <w:tcW w:w="252"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r>
              <w:rPr>
                <w:sz w:val="18"/>
                <w:lang w:eastAsia="en-US"/>
              </w:rPr>
              <w:t>N/A</w:t>
            </w:r>
          </w:p>
        </w:tc>
        <w:tc>
          <w:tcPr>
            <w:tcW w:w="284"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r>
              <w:rPr>
                <w:sz w:val="18"/>
                <w:lang w:eastAsia="en-US"/>
              </w:rPr>
              <w:t>Yes</w:t>
            </w: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r>
              <w:rPr>
                <w:sz w:val="18"/>
                <w:lang w:eastAsia="en-US"/>
              </w:rPr>
              <w:t>N/A</w:t>
            </w:r>
          </w:p>
        </w:tc>
        <w:tc>
          <w:tcPr>
            <w:tcW w:w="284" w:type="pct"/>
            <w:tcBorders>
              <w:top w:val="single" w:color="auto" w:sz="4" w:space="0"/>
              <w:left w:val="single" w:color="auto" w:sz="4" w:space="0"/>
              <w:bottom w:val="single" w:color="auto" w:sz="4" w:space="0"/>
              <w:right w:val="single" w:color="auto" w:sz="4" w:space="0"/>
            </w:tcBorders>
          </w:tcPr>
          <w:p>
            <w:pPr>
              <w:keepNext/>
              <w:keepLines/>
              <w:spacing w:before="72" w:after="72"/>
              <w:rPr>
                <w:sz w:val="18"/>
                <w:lang w:eastAsia="en-US"/>
              </w:rPr>
            </w:pPr>
            <w:r>
              <w:rPr>
                <w:color w:val="000000"/>
                <w:sz w:val="18"/>
                <w:szCs w:val="18"/>
                <w:lang w:eastAsia="en-US"/>
              </w:rPr>
              <w:t>Operation of Carrier aggregation between FDD and SDL via switching is not supported.</w:t>
            </w:r>
          </w:p>
        </w:tc>
        <w:tc>
          <w:tcPr>
            <w:tcW w:w="329" w:type="pct"/>
            <w:tcBorders>
              <w:top w:val="single" w:color="auto" w:sz="4" w:space="0"/>
              <w:left w:val="single" w:color="auto" w:sz="4" w:space="0"/>
              <w:bottom w:val="single" w:color="auto" w:sz="4" w:space="0"/>
              <w:right w:val="single" w:color="auto" w:sz="4" w:space="0"/>
            </w:tcBorders>
          </w:tcPr>
          <w:p>
            <w:pPr>
              <w:keepNext/>
              <w:keepLines/>
              <w:spacing w:before="72" w:after="72"/>
              <w:rPr>
                <w:sz w:val="18"/>
                <w:lang w:eastAsia="en-US"/>
              </w:rPr>
            </w:pPr>
            <w:r>
              <w:rPr>
                <w:sz w:val="18"/>
                <w:szCs w:val="18"/>
                <w:lang w:eastAsia="en-US"/>
              </w:rPr>
              <w:t>Per band pair per band combination</w:t>
            </w: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r>
              <w:rPr>
                <w:sz w:val="18"/>
                <w:lang w:eastAsia="en-US"/>
              </w:rPr>
              <w:t>Applicable to FR1 only</w:t>
            </w:r>
          </w:p>
        </w:tc>
        <w:tc>
          <w:tcPr>
            <w:tcW w:w="369"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p>
        </w:tc>
        <w:tc>
          <w:tcPr>
            <w:tcW w:w="301"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p>
        </w:tc>
        <w:tc>
          <w:tcPr>
            <w:tcW w:w="425" w:type="pct"/>
            <w:tcBorders>
              <w:top w:val="single" w:color="auto" w:sz="4" w:space="0"/>
              <w:left w:val="single" w:color="auto" w:sz="4" w:space="0"/>
              <w:bottom w:val="single" w:color="auto" w:sz="4" w:space="0"/>
              <w:right w:val="single" w:color="auto" w:sz="4" w:space="0"/>
            </w:tcBorders>
          </w:tcPr>
          <w:p>
            <w:pPr>
              <w:keepNext/>
              <w:keepLines/>
              <w:overflowPunct w:val="0"/>
              <w:spacing w:before="72" w:after="72"/>
              <w:jc w:val="center"/>
              <w:textAlignment w:val="baseline"/>
              <w:rPr>
                <w:sz w:val="18"/>
                <w:lang w:eastAsia="en-US"/>
              </w:rPr>
            </w:pPr>
            <w:r>
              <w:rPr>
                <w:sz w:val="18"/>
                <w:lang w:eastAsia="en-US"/>
              </w:rPr>
              <w:t>Optional with capability signalling</w:t>
            </w:r>
          </w:p>
        </w:tc>
      </w:tr>
    </w:tbl>
    <w:p>
      <w:pPr>
        <w:adjustRightInd/>
        <w:snapToGrid/>
        <w:spacing w:before="120" w:beforeLines="50" w:after="72"/>
      </w:pPr>
      <w:r>
        <w:rPr>
          <w:rFonts w:hint="eastAsia"/>
        </w:rPr>
        <w:t xml:space="preserve">Since the WI is led by RAN4, RAN1 should discuss whether there is any necessary RAN1 UE features based on RAN1 agreements. For the 5 options on potential components listed by moderator, Option 1 has been already captured in the RAN1 spec and can be regarded as basic function for a UE support the feature. Option 4 is not needed based on the conclusion made in RAN1#122bis. Option 5 has been captured in FG 55-1. Therefore, there is no need to introduce RAN1 FG for the option 1/4/5. Furthermore, there is no agreement related to option 2/3. According to the agreements made in previous RAN1 meetings copied below, there is no need to introduce RAN1 FG for Rel-19 </w:t>
      </w:r>
      <w:r>
        <w:t>low NR band carrier aggregation via switching</w:t>
      </w:r>
      <w:r>
        <w:rPr>
          <w:rFonts w:hint="eastAsia"/>
        </w:rP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46" w:type="dxa"/>
          </w:tcPr>
          <w:p>
            <w:pPr>
              <w:pStyle w:val="129"/>
              <w:numPr>
                <w:ilvl w:val="1"/>
                <w:numId w:val="35"/>
              </w:numPr>
              <w:spacing w:before="72" w:after="72"/>
              <w:ind w:firstLine="402"/>
              <w:rPr>
                <w:rFonts w:eastAsia="MS Mincho"/>
                <w:b/>
                <w:bCs/>
              </w:rPr>
            </w:pPr>
            <w:r>
              <w:rPr>
                <w:rFonts w:eastAsia="MS Mincho"/>
                <w:b/>
                <w:bCs/>
              </w:rPr>
              <w:t>O</w:t>
            </w:r>
            <w:r>
              <w:rPr>
                <w:rFonts w:hint="eastAsia" w:eastAsia="MS Mincho"/>
                <w:b/>
                <w:bCs/>
              </w:rPr>
              <w:t>ption 1: Semi-static configured (and bitmap-based) switching pattern</w:t>
            </w:r>
          </w:p>
          <w:p>
            <w:pPr>
              <w:pStyle w:val="129"/>
              <w:numPr>
                <w:ilvl w:val="1"/>
                <w:numId w:val="35"/>
              </w:numPr>
              <w:spacing w:before="72" w:after="72"/>
              <w:ind w:firstLine="402"/>
              <w:rPr>
                <w:rFonts w:eastAsia="MS Mincho"/>
                <w:b/>
                <w:bCs/>
              </w:rPr>
            </w:pPr>
            <w:r>
              <w:rPr>
                <w:rFonts w:eastAsia="MS Mincho"/>
                <w:b/>
                <w:bCs/>
              </w:rPr>
              <w:t>O</w:t>
            </w:r>
            <w:r>
              <w:rPr>
                <w:rFonts w:hint="eastAsia" w:eastAsia="MS Mincho"/>
                <w:b/>
                <w:bCs/>
              </w:rPr>
              <w:t>ption 2:</w:t>
            </w:r>
            <w:r>
              <w:t xml:space="preserve"> </w:t>
            </w:r>
            <w:r>
              <w:rPr>
                <w:rFonts w:eastAsia="MS Mincho"/>
                <w:b/>
                <w:bCs/>
              </w:rPr>
              <w:t>Maximum number of switches per period</w:t>
            </w:r>
          </w:p>
          <w:p>
            <w:pPr>
              <w:pStyle w:val="129"/>
              <w:numPr>
                <w:ilvl w:val="1"/>
                <w:numId w:val="35"/>
              </w:numPr>
              <w:spacing w:before="72" w:after="72"/>
              <w:ind w:firstLine="402"/>
              <w:rPr>
                <w:rFonts w:eastAsia="MS Mincho"/>
                <w:b/>
                <w:bCs/>
              </w:rPr>
            </w:pPr>
            <w:r>
              <w:rPr>
                <w:rFonts w:hint="eastAsia" w:eastAsia="MS Mincho"/>
                <w:b/>
                <w:bCs/>
              </w:rPr>
              <w:t xml:space="preserve">Option 3: </w:t>
            </w:r>
            <w:r>
              <w:rPr>
                <w:rFonts w:eastAsia="MS Mincho"/>
                <w:b/>
                <w:bCs/>
              </w:rPr>
              <w:t>Supported HARQ-ACK codebook type</w:t>
            </w:r>
          </w:p>
          <w:p>
            <w:pPr>
              <w:pStyle w:val="129"/>
              <w:numPr>
                <w:ilvl w:val="1"/>
                <w:numId w:val="35"/>
              </w:numPr>
              <w:spacing w:before="72" w:after="72"/>
              <w:ind w:firstLine="402"/>
            </w:pPr>
            <w:r>
              <w:rPr>
                <w:rFonts w:hint="eastAsia" w:eastAsia="MS Mincho"/>
                <w:b/>
                <w:bCs/>
              </w:rPr>
              <w:t xml:space="preserve">Option 4: </w:t>
            </w:r>
            <w:r>
              <w:rPr>
                <w:rFonts w:eastAsia="MS Mincho"/>
                <w:b/>
                <w:bCs/>
              </w:rPr>
              <w:t>Additional processing time for PDCCH-to-PUSCH, PDCCH-to-SRS, RAR-to-PUSCH, PDCCH/PDSCH-to-HARQ-ACK</w:t>
            </w:r>
          </w:p>
          <w:p>
            <w:pPr>
              <w:pStyle w:val="129"/>
              <w:numPr>
                <w:ilvl w:val="1"/>
                <w:numId w:val="35"/>
              </w:numPr>
              <w:spacing w:before="72" w:after="72"/>
              <w:ind w:firstLine="402"/>
            </w:pPr>
            <w:r>
              <w:rPr>
                <w:rFonts w:eastAsia="MS Mincho"/>
                <w:b/>
                <w:bCs/>
              </w:rPr>
              <w:t>O</w:t>
            </w:r>
            <w:r>
              <w:rPr>
                <w:rFonts w:hint="eastAsia" w:eastAsia="MS Mincho"/>
                <w:b/>
                <w:bCs/>
              </w:rPr>
              <w:t xml:space="preserve">ption 5: </w:t>
            </w:r>
            <w:r>
              <w:rPr>
                <w:rFonts w:eastAsia="MS Mincho"/>
                <w:b/>
                <w:bCs/>
              </w:rPr>
              <w:t>Basic switching operation (Case 1: Tx/Rx on FDD carrier 1 and no Rx on SDL carrier 2; Case 2: Rx on SDL carrier 2 and no Tx)</w:t>
            </w:r>
          </w:p>
        </w:tc>
      </w:tr>
    </w:tbl>
    <w:p>
      <w:pPr>
        <w:adjustRightInd/>
        <w:snapToGrid/>
        <w:spacing w:before="120" w:beforeLines="50" w:after="72"/>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spacing w:before="72" w:after="72"/>
              <w:textAlignment w:val="baseline"/>
              <w:rPr>
                <w:rFonts w:eastAsia="等线"/>
                <w:highlight w:val="green"/>
              </w:rPr>
            </w:pPr>
            <w:r>
              <w:rPr>
                <w:rFonts w:eastAsia="等线"/>
                <w:highlight w:val="green"/>
              </w:rPr>
              <w:t>Agreement</w:t>
            </w:r>
          </w:p>
          <w:p>
            <w:pPr>
              <w:pStyle w:val="129"/>
              <w:numPr>
                <w:ilvl w:val="0"/>
                <w:numId w:val="36"/>
              </w:numPr>
              <w:spacing w:before="72" w:after="72"/>
              <w:ind w:left="0" w:firstLine="400"/>
              <w:contextualSpacing/>
              <w:textAlignment w:val="baseline"/>
            </w:pPr>
            <w:r>
              <w:t>For Rel-19 low NR band carrier aggregation via switching, support only semi-static configuration of switching pattern to a UE based on UE-specific RRC configuration between the following two cases,</w:t>
            </w:r>
          </w:p>
          <w:p>
            <w:pPr>
              <w:pStyle w:val="129"/>
              <w:numPr>
                <w:ilvl w:val="1"/>
                <w:numId w:val="36"/>
              </w:numPr>
              <w:spacing w:before="72" w:after="72"/>
              <w:ind w:left="720" w:firstLine="400"/>
              <w:contextualSpacing/>
              <w:textAlignment w:val="baseline"/>
            </w:pPr>
            <w:r>
              <w:t>Case 1: Tx/Rx on FDD carrier 1 and no Rx on SDL carrier 2</w:t>
            </w:r>
          </w:p>
          <w:p>
            <w:pPr>
              <w:pStyle w:val="129"/>
              <w:numPr>
                <w:ilvl w:val="1"/>
                <w:numId w:val="36"/>
              </w:numPr>
              <w:spacing w:before="72" w:after="72"/>
              <w:ind w:left="720" w:firstLine="400"/>
              <w:contextualSpacing/>
              <w:textAlignment w:val="baseline"/>
            </w:pPr>
            <w:r>
              <w:t>Case 2: Rx on SDL carrier 2 and no Tx/Rx on FDD carrier 1</w:t>
            </w:r>
          </w:p>
          <w:p>
            <w:pPr>
              <w:pStyle w:val="129"/>
              <w:numPr>
                <w:ilvl w:val="0"/>
                <w:numId w:val="36"/>
              </w:numPr>
              <w:spacing w:before="72" w:after="72"/>
              <w:ind w:left="0" w:firstLine="400"/>
              <w:contextualSpacing/>
              <w:textAlignment w:val="baseline"/>
            </w:pPr>
            <w:r>
              <w:t>FDD carrier 1 is PCell and SDL carrier 2 is SCell.</w:t>
            </w:r>
          </w:p>
          <w:p>
            <w:pPr>
              <w:pStyle w:val="129"/>
              <w:numPr>
                <w:ilvl w:val="0"/>
                <w:numId w:val="36"/>
              </w:numPr>
              <w:spacing w:before="72" w:after="72"/>
              <w:ind w:left="0" w:firstLine="400"/>
              <w:contextualSpacing/>
              <w:textAlignment w:val="baseline"/>
            </w:pPr>
            <w:r>
              <w:t>SCS 15KHz on both carriers.</w:t>
            </w:r>
          </w:p>
          <w:p>
            <w:pPr>
              <w:spacing w:before="72" w:after="72"/>
              <w:textAlignment w:val="baseline"/>
              <w:rPr>
                <w:rFonts w:eastAsia="等线"/>
                <w:highlight w:val="green"/>
              </w:rPr>
            </w:pPr>
          </w:p>
          <w:p>
            <w:pPr>
              <w:spacing w:before="72" w:after="72"/>
              <w:textAlignment w:val="baseline"/>
              <w:rPr>
                <w:rFonts w:eastAsia="等线"/>
                <w:highlight w:val="green"/>
              </w:rPr>
            </w:pPr>
            <w:r>
              <w:rPr>
                <w:rFonts w:eastAsia="等线"/>
                <w:highlight w:val="green"/>
              </w:rPr>
              <w:t>Agreement</w:t>
            </w:r>
          </w:p>
          <w:p>
            <w:pPr>
              <w:spacing w:before="72" w:after="72"/>
              <w:textAlignment w:val="baseline"/>
            </w:pPr>
            <w:r>
              <w:t>For RRC configuration of semi-static switching pattern in Rel-19 low NR band carrier aggregation via switching, it is not expected that the same slot (1ms) contains both symbol(s) configured as FDD carrier and symbol(s) configured as SDL carrier.</w:t>
            </w:r>
          </w:p>
          <w:p>
            <w:pPr>
              <w:spacing w:before="72" w:after="72"/>
              <w:textAlignment w:val="baseline"/>
              <w:rPr>
                <w:rFonts w:eastAsia="等线"/>
              </w:rPr>
            </w:pPr>
          </w:p>
          <w:p>
            <w:pPr>
              <w:spacing w:before="72" w:after="72"/>
              <w:textAlignment w:val="baseline"/>
              <w:rPr>
                <w:rFonts w:eastAsia="等线"/>
                <w:highlight w:val="green"/>
              </w:rPr>
            </w:pPr>
            <w:r>
              <w:rPr>
                <w:rFonts w:eastAsia="等线"/>
                <w:highlight w:val="green"/>
              </w:rPr>
              <w:t>Agreement</w:t>
            </w:r>
          </w:p>
          <w:p>
            <w:pPr>
              <w:spacing w:before="72" w:after="72"/>
              <w:textAlignment w:val="baseline"/>
              <w:rPr>
                <w:rFonts w:eastAsia="等线"/>
              </w:rPr>
            </w:pPr>
            <w:r>
              <w:t>For Rel-19 low NR band carrier aggregation via switching, the semi-static switching pattern and corresponding switching gap are based on the downlink timing (DL reception time at UE side) of Pcell</w:t>
            </w:r>
            <w:r>
              <w:rPr>
                <w:rFonts w:eastAsia="等线"/>
              </w:rPr>
              <w:t>.</w:t>
            </w:r>
          </w:p>
          <w:p>
            <w:pPr>
              <w:spacing w:before="72" w:after="72"/>
              <w:textAlignment w:val="baseline"/>
              <w:rPr>
                <w:rFonts w:eastAsia="等线"/>
              </w:rPr>
            </w:pPr>
          </w:p>
          <w:p>
            <w:pPr>
              <w:spacing w:before="72" w:after="72"/>
              <w:textAlignment w:val="baseline"/>
              <w:rPr>
                <w:rFonts w:eastAsia="等线"/>
                <w:highlight w:val="green"/>
              </w:rPr>
            </w:pPr>
            <w:r>
              <w:rPr>
                <w:rFonts w:eastAsia="等线"/>
                <w:highlight w:val="green"/>
              </w:rPr>
              <w:t>Agreement</w:t>
            </w:r>
          </w:p>
          <w:p>
            <w:pPr>
              <w:spacing w:before="72" w:after="72"/>
              <w:textAlignment w:val="baseline"/>
            </w:pPr>
            <w:r>
              <w:t>For RRC configuration of semi-static switching pattern in Rel-19 low NR band carrier aggregation via switching, the time unit (resolution) of the semi-static switching pattern configuration is slot (1ms for 15kHz SCS).</w:t>
            </w:r>
          </w:p>
          <w:p>
            <w:pPr>
              <w:spacing w:before="72" w:after="72"/>
              <w:textAlignment w:val="baseline"/>
              <w:rPr>
                <w:rFonts w:eastAsia="等线"/>
                <w:highlight w:val="green"/>
              </w:rPr>
            </w:pPr>
            <w:r>
              <w:rPr>
                <w:rFonts w:eastAsia="等线"/>
                <w:highlight w:val="green"/>
              </w:rPr>
              <w:t>Agreement</w:t>
            </w:r>
          </w:p>
          <w:p>
            <w:pPr>
              <w:numPr>
                <w:ilvl w:val="0"/>
                <w:numId w:val="37"/>
              </w:numPr>
              <w:adjustRightInd/>
              <w:spacing w:before="72" w:after="72"/>
              <w:contextualSpacing/>
              <w:textAlignment w:val="baseline"/>
            </w:pPr>
            <w:r>
              <w:t>For RRC configuration of semi-static switching pattern in Rel-19 low NR band carrier aggregation via switching, support bitmap design</w:t>
            </w:r>
          </w:p>
          <w:p>
            <w:pPr>
              <w:numPr>
                <w:ilvl w:val="1"/>
                <w:numId w:val="37"/>
              </w:numPr>
              <w:adjustRightInd/>
              <w:spacing w:before="72" w:after="72"/>
              <w:contextualSpacing/>
              <w:textAlignment w:val="baseline"/>
            </w:pPr>
            <w:r>
              <w:t xml:space="preserve">NW configures a periodicity, denoted as </w:t>
            </w:r>
            <m:oMath>
              <m:r>
                <m:rPr>
                  <m:sty m:val="p"/>
                </m:rPr>
                <w:rPr>
                  <w:rFonts w:ascii="Cambria Math" w:hAnsi="Cambria Math"/>
                </w:rPr>
                <m:t>P</m:t>
              </m:r>
            </m:oMath>
            <w:r>
              <w:t xml:space="preserve"> slots, and a bitmap of P bits. Each bit in the bitmap indicates which carrier is configured for the corresponding slot, ‘0’ indicates FDD carrier 1, and ‘1’ </w:t>
            </w:r>
            <w:r>
              <w:rPr>
                <w:color w:val="000000"/>
              </w:rPr>
              <w:t>indicates SDL carrier 2.</w:t>
            </w:r>
          </w:p>
          <w:p>
            <w:pPr>
              <w:numPr>
                <w:ilvl w:val="1"/>
                <w:numId w:val="37"/>
              </w:numPr>
              <w:adjustRightInd/>
              <w:spacing w:before="72" w:after="72"/>
              <w:contextualSpacing/>
              <w:textAlignment w:val="baseline"/>
              <w:rPr>
                <w:color w:val="000000"/>
              </w:rPr>
            </w:pPr>
            <w:r>
              <w:rPr>
                <w:color w:val="000000"/>
              </w:rPr>
              <w:t>The pattern starts from the beginning of SFN 0 of PCell.</w:t>
            </w:r>
          </w:p>
          <w:p>
            <w:pPr>
              <w:numPr>
                <w:ilvl w:val="0"/>
                <w:numId w:val="37"/>
              </w:numPr>
              <w:adjustRightInd/>
              <w:spacing w:before="72" w:after="72"/>
              <w:contextualSpacing/>
              <w:textAlignment w:val="baseline"/>
              <w:rPr>
                <w:color w:val="000000"/>
              </w:rPr>
            </w:pPr>
            <w:r>
              <w:rPr>
                <w:color w:val="000000"/>
              </w:rPr>
              <w:t>Restriction of maximum X switch(es) within Y slot(s).</w:t>
            </w:r>
          </w:p>
          <w:p>
            <w:pPr>
              <w:numPr>
                <w:ilvl w:val="1"/>
                <w:numId w:val="37"/>
              </w:numPr>
              <w:adjustRightInd/>
              <w:spacing w:before="72" w:after="72"/>
              <w:contextualSpacing/>
              <w:textAlignment w:val="baseline"/>
              <w:rPr>
                <w:color w:val="000000"/>
              </w:rPr>
            </w:pPr>
            <w:r>
              <w:rPr>
                <w:color w:val="000000"/>
              </w:rPr>
              <w:t>FFS: detailed value and relation of X and Y.</w:t>
            </w:r>
          </w:p>
          <w:p>
            <w:pPr>
              <w:numPr>
                <w:ilvl w:val="0"/>
                <w:numId w:val="37"/>
              </w:numPr>
              <w:adjustRightInd/>
              <w:spacing w:before="72" w:after="72"/>
              <w:contextualSpacing/>
              <w:textAlignment w:val="baseline"/>
              <w:rPr>
                <w:color w:val="000000"/>
              </w:rPr>
            </w:pPr>
            <w:r>
              <w:rPr>
                <w:color w:val="000000"/>
              </w:rPr>
              <w:t>FFS: other restriction.</w:t>
            </w:r>
          </w:p>
          <w:p>
            <w:pPr>
              <w:spacing w:before="72" w:after="72"/>
              <w:textAlignment w:val="baseline"/>
              <w:rPr>
                <w:rFonts w:eastAsia="等线"/>
              </w:rPr>
            </w:pPr>
          </w:p>
          <w:p>
            <w:pPr>
              <w:spacing w:before="72" w:after="72"/>
              <w:textAlignment w:val="baseline"/>
              <w:rPr>
                <w:rFonts w:eastAsia="等线"/>
                <w:highlight w:val="green"/>
              </w:rPr>
            </w:pPr>
            <w:r>
              <w:rPr>
                <w:rFonts w:eastAsia="等线"/>
                <w:highlight w:val="green"/>
              </w:rPr>
              <w:t>Agreement</w:t>
            </w:r>
          </w:p>
          <w:p>
            <w:pPr>
              <w:spacing w:before="72" w:after="72"/>
              <w:contextualSpacing/>
              <w:textAlignment w:val="baseline"/>
              <w:rPr>
                <w:color w:val="000000"/>
              </w:rPr>
            </w:pPr>
            <w:r>
              <w:rPr>
                <w:color w:val="000000"/>
              </w:rPr>
              <w:t xml:space="preserve">For RRC configuration of semi-static switching pattern in Rel-19 low NR band carrier aggregation via switching, regarding the location of the switching gap, </w:t>
            </w:r>
          </w:p>
          <w:p>
            <w:pPr>
              <w:numPr>
                <w:ilvl w:val="0"/>
                <w:numId w:val="38"/>
              </w:numPr>
              <w:adjustRightInd/>
              <w:spacing w:before="72" w:after="72"/>
              <w:contextualSpacing/>
              <w:textAlignment w:val="baseline"/>
              <w:rPr>
                <w:color w:val="000000"/>
              </w:rPr>
            </w:pPr>
            <w:r>
              <w:rPr>
                <w:color w:val="000000"/>
              </w:rPr>
              <w:t>For switching from SDL carrier to FDD carrier, the switching gap is always assumed at the “switch from” carrier, i.e., SDL carrier.</w:t>
            </w:r>
          </w:p>
          <w:p>
            <w:pPr>
              <w:numPr>
                <w:ilvl w:val="0"/>
                <w:numId w:val="38"/>
              </w:numPr>
              <w:adjustRightInd/>
              <w:spacing w:before="72" w:after="72"/>
              <w:contextualSpacing/>
              <w:textAlignment w:val="baseline"/>
              <w:rPr>
                <w:color w:val="000000"/>
              </w:rPr>
            </w:pPr>
            <w:r>
              <w:rPr>
                <w:color w:val="000000"/>
              </w:rPr>
              <w:t>For switching from FDD carrier to SDL carrier, down-select one of the following solutions:</w:t>
            </w:r>
          </w:p>
          <w:p>
            <w:pPr>
              <w:numPr>
                <w:ilvl w:val="1"/>
                <w:numId w:val="38"/>
              </w:numPr>
              <w:adjustRightInd/>
              <w:spacing w:before="72" w:after="72"/>
              <w:contextualSpacing/>
              <w:textAlignment w:val="baseline"/>
              <w:rPr>
                <w:color w:val="000000"/>
              </w:rPr>
            </w:pPr>
            <w:r>
              <w:rPr>
                <w:color w:val="000000"/>
              </w:rPr>
              <w:t>Alt 1: Switching gap is always assumed at the “switch from” carrier, i.e., FDD carrier.</w:t>
            </w:r>
          </w:p>
          <w:p>
            <w:pPr>
              <w:numPr>
                <w:ilvl w:val="1"/>
                <w:numId w:val="38"/>
              </w:numPr>
              <w:adjustRightInd/>
              <w:spacing w:before="72" w:after="72"/>
              <w:contextualSpacing/>
              <w:textAlignment w:val="baseline"/>
              <w:rPr>
                <w:color w:val="000000"/>
              </w:rPr>
            </w:pPr>
            <w:r>
              <w:rPr>
                <w:color w:val="000000"/>
              </w:rPr>
              <w:t>Alt 2: NW configures whether the switching gap is at the FDD carrier or SDL carrier.</w:t>
            </w:r>
          </w:p>
          <w:p>
            <w:pPr>
              <w:numPr>
                <w:ilvl w:val="1"/>
                <w:numId w:val="38"/>
              </w:numPr>
              <w:adjustRightInd/>
              <w:spacing w:before="72" w:after="72"/>
              <w:contextualSpacing/>
              <w:textAlignment w:val="baseline"/>
              <w:rPr>
                <w:color w:val="000000"/>
              </w:rPr>
            </w:pPr>
            <w:r>
              <w:rPr>
                <w:color w:val="000000"/>
              </w:rPr>
              <w:t>Alt 3: Switching gap is always assumed at the SDL carrier.</w:t>
            </w:r>
          </w:p>
          <w:p>
            <w:pPr>
              <w:spacing w:before="72" w:after="72"/>
              <w:contextualSpacing/>
              <w:textAlignment w:val="baseline"/>
              <w:rPr>
                <w:color w:val="000000"/>
              </w:rPr>
            </w:pPr>
          </w:p>
          <w:p>
            <w:pPr>
              <w:spacing w:before="72" w:after="72"/>
              <w:textAlignment w:val="baseline"/>
              <w:rPr>
                <w:rFonts w:eastAsia="等线"/>
                <w:highlight w:val="green"/>
              </w:rPr>
            </w:pPr>
            <w:r>
              <w:rPr>
                <w:rFonts w:eastAsia="等线"/>
                <w:highlight w:val="green"/>
              </w:rPr>
              <w:t>Agreement</w:t>
            </w:r>
          </w:p>
          <w:p>
            <w:pPr>
              <w:spacing w:before="72" w:after="72"/>
              <w:contextualSpacing/>
              <w:textAlignment w:val="baseline"/>
            </w:pPr>
            <w:r>
              <w:t>For RRC configuration of semi-static switching pattern in Rel-19 low NR band carrier aggregation via switching, semi-static switching pattern is periodic with periodicity of P slots (ms), support P= 40 ms.</w:t>
            </w:r>
          </w:p>
          <w:p>
            <w:pPr>
              <w:spacing w:before="72" w:after="72"/>
              <w:textAlignment w:val="baseline"/>
              <w:rPr>
                <w:rFonts w:eastAsia="等线"/>
              </w:rPr>
            </w:pPr>
          </w:p>
          <w:p>
            <w:pPr>
              <w:spacing w:before="72" w:after="72"/>
              <w:textAlignment w:val="baseline"/>
              <w:rPr>
                <w:rFonts w:eastAsia="等线"/>
                <w:highlight w:val="green"/>
              </w:rPr>
            </w:pPr>
            <w:r>
              <w:rPr>
                <w:rFonts w:eastAsia="等线"/>
                <w:highlight w:val="green"/>
              </w:rPr>
              <w:t>Agreement</w:t>
            </w:r>
          </w:p>
          <w:p>
            <w:pPr>
              <w:spacing w:before="72" w:after="72"/>
              <w:contextualSpacing/>
              <w:textAlignment w:val="baseline"/>
              <w:rPr>
                <w:rFonts w:eastAsia="等线"/>
                <w:color w:val="000000"/>
              </w:rPr>
            </w:pPr>
            <w:r>
              <w:rPr>
                <w:color w:val="000000"/>
              </w:rPr>
              <w:t>For RRC configuration of semi-static switching pattern in Rel-19 low NR band carrier aggregation via switching, the duration of the switching gap is RRC configured by the NW</w:t>
            </w:r>
            <w:r>
              <w:rPr>
                <w:rFonts w:eastAsia="等线"/>
                <w:color w:val="000000"/>
              </w:rPr>
              <w:t>,</w:t>
            </w:r>
          </w:p>
          <w:p>
            <w:pPr>
              <w:numPr>
                <w:ilvl w:val="0"/>
                <w:numId w:val="39"/>
              </w:numPr>
              <w:adjustRightInd/>
              <w:spacing w:before="72" w:after="72"/>
              <w:contextualSpacing/>
              <w:textAlignment w:val="baseline"/>
              <w:rPr>
                <w:color w:val="000000"/>
              </w:rPr>
            </w:pPr>
            <w:r>
              <w:rPr>
                <w:rFonts w:eastAsia="等线"/>
                <w:color w:val="000000"/>
              </w:rPr>
              <w:t>S</w:t>
            </w:r>
            <w:r>
              <w:rPr>
                <w:color w:val="000000"/>
              </w:rPr>
              <w:t>witching gap duration can be different for FDD to SDL switch, and SDL to FDD switch.</w:t>
            </w:r>
          </w:p>
          <w:p>
            <w:pPr>
              <w:numPr>
                <w:ilvl w:val="0"/>
                <w:numId w:val="39"/>
              </w:numPr>
              <w:adjustRightInd/>
              <w:spacing w:before="72" w:after="72"/>
              <w:contextualSpacing/>
              <w:textAlignment w:val="baseline"/>
              <w:rPr>
                <w:strike/>
                <w:color w:val="000000"/>
              </w:rPr>
            </w:pPr>
            <w:r>
              <w:rPr>
                <w:color w:val="000000"/>
              </w:rPr>
              <w:t>Note: NW ensures that the switching gap is enough to cover at least the switching period as in RAN4 LS (</w:t>
            </w:r>
            <w:r>
              <w:fldChar w:fldCharType="begin"/>
            </w:r>
            <w:r>
              <w:instrText xml:space="preserve"> HYPERLINK "file:///F:\\3GPP\\Docs\\R1-2501702.zip" </w:instrText>
            </w:r>
            <w:r>
              <w:fldChar w:fldCharType="separate"/>
            </w:r>
            <w:r>
              <w:rPr>
                <w:rStyle w:val="49"/>
              </w:rPr>
              <w:t>R1-2501702</w:t>
            </w:r>
            <w:r>
              <w:rPr>
                <w:rStyle w:val="49"/>
              </w:rPr>
              <w:fldChar w:fldCharType="end"/>
            </w:r>
            <w:r>
              <w:rPr>
                <w:color w:val="000000"/>
              </w:rPr>
              <w:t xml:space="preserve">) </w:t>
            </w:r>
            <w:r>
              <w:rPr>
                <w:rFonts w:eastAsia="等线"/>
                <w:color w:val="000000"/>
              </w:rPr>
              <w:t>and UL TA (if needed).</w:t>
            </w:r>
          </w:p>
          <w:p>
            <w:pPr>
              <w:numPr>
                <w:ilvl w:val="1"/>
                <w:numId w:val="39"/>
              </w:numPr>
              <w:adjustRightInd/>
              <w:spacing w:before="72" w:after="72"/>
              <w:contextualSpacing/>
              <w:textAlignment w:val="baseline"/>
              <w:rPr>
                <w:color w:val="000000"/>
              </w:rPr>
            </w:pPr>
            <w:r>
              <w:rPr>
                <w:color w:val="000000"/>
              </w:rPr>
              <w:t xml:space="preserve">For the UL TA, </w:t>
            </w:r>
          </w:p>
          <w:p>
            <w:pPr>
              <w:numPr>
                <w:ilvl w:val="2"/>
                <w:numId w:val="39"/>
              </w:numPr>
              <w:adjustRightInd/>
              <w:spacing w:before="72" w:after="72"/>
              <w:contextualSpacing/>
              <w:textAlignment w:val="baseline"/>
              <w:rPr>
                <w:color w:val="000000"/>
              </w:rPr>
            </w:pPr>
            <w:r>
              <w:rPr>
                <w:rFonts w:eastAsia="等线"/>
                <w:color w:val="000000"/>
              </w:rPr>
              <w:t>S</w:t>
            </w:r>
            <w:r>
              <w:rPr>
                <w:color w:val="000000"/>
              </w:rPr>
              <w:t>witching gap for SDL to FDD switch</w:t>
            </w:r>
            <w:r>
              <w:rPr>
                <w:rFonts w:eastAsia="等线"/>
                <w:color w:val="000000"/>
              </w:rPr>
              <w:t xml:space="preserve"> ends at the end of slot on SDL.</w:t>
            </w:r>
          </w:p>
          <w:p>
            <w:pPr>
              <w:numPr>
                <w:ilvl w:val="3"/>
                <w:numId w:val="39"/>
              </w:numPr>
              <w:adjustRightInd/>
              <w:spacing w:before="72" w:after="72"/>
              <w:contextualSpacing/>
              <w:textAlignment w:val="baseline"/>
              <w:rPr>
                <w:color w:val="000000"/>
              </w:rPr>
            </w:pPr>
            <w:r>
              <w:rPr>
                <w:rFonts w:eastAsia="等线"/>
                <w:color w:val="000000"/>
              </w:rPr>
              <w:t>Note: RAN1 assumes that s</w:t>
            </w:r>
            <w:r>
              <w:rPr>
                <w:color w:val="000000"/>
              </w:rPr>
              <w:t>witching gap for SDL to FDD switch includes UL TA.</w:t>
            </w:r>
          </w:p>
          <w:p>
            <w:pPr>
              <w:spacing w:before="72" w:after="72"/>
              <w:textAlignment w:val="baseline"/>
            </w:pPr>
            <w:r>
              <w:rPr>
                <w:color w:val="000000"/>
              </w:rPr>
              <w:t>FFS: whether it has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spacing w:before="72" w:after="72"/>
              <w:contextualSpacing/>
              <w:rPr>
                <w:rFonts w:eastAsia="等线"/>
                <w:color w:val="000000"/>
                <w:highlight w:val="green"/>
              </w:rPr>
            </w:pPr>
            <w:r>
              <w:rPr>
                <w:rFonts w:hint="eastAsia" w:eastAsia="等线"/>
                <w:color w:val="000000"/>
                <w:highlight w:val="green"/>
              </w:rPr>
              <w:t>Agreement</w:t>
            </w:r>
          </w:p>
          <w:p>
            <w:pPr>
              <w:spacing w:before="72" w:after="72"/>
            </w:pPr>
            <w:r>
              <w:t>For Rel-19 low NR band carrier aggregation via switching, support configuration of only one switching pattern to a UE based on UE-specific RRC configuration.</w:t>
            </w:r>
          </w:p>
          <w:p>
            <w:pPr>
              <w:spacing w:before="72" w:after="72"/>
              <w:rPr>
                <w:rFonts w:eastAsia="等线"/>
              </w:rPr>
            </w:pPr>
          </w:p>
          <w:p>
            <w:pPr>
              <w:spacing w:before="72" w:after="72"/>
              <w:rPr>
                <w:rFonts w:eastAsia="等线"/>
                <w:highlight w:val="green"/>
              </w:rPr>
            </w:pPr>
            <w:r>
              <w:rPr>
                <w:rFonts w:hint="eastAsia" w:eastAsia="等线"/>
                <w:highlight w:val="green"/>
              </w:rPr>
              <w:t>Agreement</w:t>
            </w:r>
          </w:p>
          <w:p>
            <w:pPr>
              <w:spacing w:before="72" w:after="72"/>
              <w:contextualSpacing/>
              <w:rPr>
                <w:szCs w:val="20"/>
              </w:rPr>
            </w:pPr>
            <w:r>
              <w:rPr>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pPr>
              <w:numPr>
                <w:ilvl w:val="0"/>
                <w:numId w:val="40"/>
              </w:numPr>
              <w:spacing w:before="72" w:after="72"/>
              <w:contextualSpacing/>
              <w:rPr>
                <w:szCs w:val="20"/>
              </w:rPr>
            </w:pPr>
            <w:r>
              <w:rPr>
                <w:szCs w:val="20"/>
              </w:rPr>
              <w:t>Switching gap ends at the end of the last slot on the “switch from” carrier.</w:t>
            </w:r>
          </w:p>
          <w:p>
            <w:pPr>
              <w:spacing w:before="72" w:after="72"/>
              <w:rPr>
                <w:rFonts w:eastAsia="等线"/>
              </w:rPr>
            </w:pPr>
          </w:p>
          <w:p>
            <w:pPr>
              <w:spacing w:before="72" w:after="72"/>
              <w:contextualSpacing/>
              <w:rPr>
                <w:rFonts w:eastAsia="等线"/>
                <w:szCs w:val="20"/>
              </w:rPr>
            </w:pPr>
            <w:r>
              <w:rPr>
                <w:rFonts w:eastAsia="等线"/>
                <w:szCs w:val="20"/>
                <w:highlight w:val="green"/>
              </w:rPr>
              <w:t>Agreement</w:t>
            </w:r>
            <w:r>
              <w:rPr>
                <w:rFonts w:eastAsia="等线"/>
                <w:szCs w:val="20"/>
              </w:rPr>
              <w:t xml:space="preserve"> (confirmed in Thursday session as follows)</w:t>
            </w:r>
          </w:p>
          <w:p>
            <w:pPr>
              <w:spacing w:before="72" w:after="72"/>
              <w:rPr>
                <w:szCs w:val="20"/>
              </w:rPr>
            </w:pPr>
            <w:r>
              <w:rPr>
                <w:szCs w:val="20"/>
              </w:rPr>
              <w:t xml:space="preserve">For Rel-19 low NR band carrier aggregation via switching, in terms of the collision handling </w:t>
            </w:r>
          </w:p>
          <w:p>
            <w:pPr>
              <w:numPr>
                <w:ilvl w:val="0"/>
                <w:numId w:val="41"/>
              </w:numPr>
              <w:spacing w:before="72" w:after="72"/>
              <w:contextualSpacing/>
              <w:rPr>
                <w:rFonts w:eastAsia="Times New Roman"/>
                <w:color w:val="000000"/>
                <w:szCs w:val="20"/>
              </w:rPr>
            </w:pPr>
            <w:r>
              <w:rPr>
                <w:rFonts w:eastAsia="Times New Roman"/>
                <w:color w:val="000000"/>
                <w:szCs w:val="20"/>
              </w:rPr>
              <w:t>The following cases for collision handling are specified where UL TA is assumed to be 0 for the determination of overlapping. The UL TA =0 assumption only applies to the UL transmission configured by higher layer</w:t>
            </w:r>
          </w:p>
          <w:p>
            <w:pPr>
              <w:numPr>
                <w:ilvl w:val="1"/>
                <w:numId w:val="41"/>
              </w:numPr>
              <w:spacing w:before="72" w:after="72"/>
              <w:contextualSpacing/>
              <w:rPr>
                <w:rFonts w:eastAsia="Times New Roman"/>
                <w:szCs w:val="20"/>
              </w:rPr>
            </w:pPr>
            <w:r>
              <w:rPr>
                <w:rFonts w:eastAsia="Times New Roman"/>
                <w:color w:val="000000"/>
                <w:szCs w:val="20"/>
              </w:rPr>
              <w:t xml:space="preserve">Collision 1: If a UE is configured by higher layers to transmit a PUSCH, PUCCH, </w:t>
            </w:r>
            <w:r>
              <w:rPr>
                <w:rFonts w:eastAsia="Times New Roman"/>
                <w:szCs w:val="20"/>
              </w:rPr>
              <w:t xml:space="preserve">PRACH, or SRS in a set of symbols of an UL slot on the FDD carrier that overlaps, even partially, with the set of symbols of the switching gap, the UE does not transmit the PUSCH, PUCCH, PRACH, or SRS </w:t>
            </w:r>
          </w:p>
          <w:p>
            <w:pPr>
              <w:numPr>
                <w:ilvl w:val="1"/>
                <w:numId w:val="41"/>
              </w:numPr>
              <w:spacing w:before="72" w:after="72"/>
              <w:contextualSpacing/>
              <w:rPr>
                <w:rFonts w:eastAsia="Times New Roman"/>
                <w:szCs w:val="20"/>
              </w:rPr>
            </w:pPr>
            <w:r>
              <w:rPr>
                <w:rFonts w:eastAsia="Times New Roman"/>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pPr>
              <w:numPr>
                <w:ilvl w:val="1"/>
                <w:numId w:val="41"/>
              </w:numPr>
              <w:spacing w:before="72" w:after="72"/>
              <w:contextualSpacing/>
              <w:rPr>
                <w:rFonts w:eastAsia="Times New Roman"/>
                <w:szCs w:val="20"/>
              </w:rPr>
            </w:pPr>
            <w:r>
              <w:rPr>
                <w:rFonts w:eastAsia="Times New Roman"/>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pPr>
              <w:numPr>
                <w:ilvl w:val="1"/>
                <w:numId w:val="41"/>
              </w:numPr>
              <w:spacing w:before="72" w:after="72"/>
              <w:contextualSpacing/>
              <w:rPr>
                <w:rFonts w:eastAsia="Times New Roman"/>
                <w:szCs w:val="20"/>
              </w:rPr>
            </w:pPr>
            <w:r>
              <w:rPr>
                <w:rFonts w:eastAsia="Times New Roman"/>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pPr>
              <w:numPr>
                <w:ilvl w:val="1"/>
                <w:numId w:val="41"/>
              </w:numPr>
              <w:spacing w:before="72" w:after="72"/>
              <w:contextualSpacing/>
              <w:rPr>
                <w:rFonts w:eastAsia="Times New Roman"/>
                <w:szCs w:val="20"/>
              </w:rPr>
            </w:pPr>
            <w:r>
              <w:rPr>
                <w:rFonts w:eastAsia="Times New Roman"/>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pPr>
              <w:numPr>
                <w:ilvl w:val="1"/>
                <w:numId w:val="41"/>
              </w:numPr>
              <w:spacing w:before="72" w:after="72"/>
              <w:contextualSpacing/>
              <w:rPr>
                <w:rFonts w:eastAsia="Times New Roman"/>
                <w:szCs w:val="20"/>
              </w:rPr>
            </w:pPr>
            <w:r>
              <w:rPr>
                <w:rFonts w:eastAsia="Times New Roman"/>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pPr>
              <w:numPr>
                <w:ilvl w:val="0"/>
                <w:numId w:val="41"/>
              </w:numPr>
              <w:spacing w:before="72" w:after="72"/>
              <w:contextualSpacing/>
              <w:rPr>
                <w:rFonts w:eastAsia="Times New Roman"/>
                <w:szCs w:val="20"/>
              </w:rPr>
            </w:pPr>
            <w:r>
              <w:rPr>
                <w:rFonts w:eastAsia="Times New Roman"/>
                <w:szCs w:val="20"/>
              </w:rPr>
              <w:t xml:space="preserve">For the other cases, i.e., DL and UL signals/channels scheduled/triggered by DCI </w:t>
            </w:r>
          </w:p>
          <w:p>
            <w:pPr>
              <w:numPr>
                <w:ilvl w:val="1"/>
                <w:numId w:val="41"/>
              </w:numPr>
              <w:spacing w:before="72" w:after="72"/>
              <w:contextualSpacing/>
              <w:rPr>
                <w:rFonts w:eastAsia="Times New Roman"/>
                <w:szCs w:val="20"/>
              </w:rPr>
            </w:pPr>
            <w:r>
              <w:rPr>
                <w:rFonts w:eastAsia="等线"/>
                <w:szCs w:val="20"/>
              </w:rPr>
              <w:t>A</w:t>
            </w:r>
            <w:r>
              <w:rPr>
                <w:rFonts w:eastAsia="Times New Roman"/>
                <w:szCs w:val="20"/>
              </w:rPr>
              <w:t xml:space="preserve"> UE is not expected </w:t>
            </w:r>
            <w:r>
              <w:rPr>
                <w:rFonts w:eastAsia="等线"/>
                <w:szCs w:val="20"/>
              </w:rPr>
              <w:t xml:space="preserve">any </w:t>
            </w:r>
            <w:r>
              <w:rPr>
                <w:rFonts w:eastAsia="Times New Roman"/>
                <w:szCs w:val="20"/>
              </w:rPr>
              <w:t>schedul</w:t>
            </w:r>
            <w:r>
              <w:rPr>
                <w:rFonts w:eastAsia="等线"/>
                <w:szCs w:val="20"/>
              </w:rPr>
              <w:t>ing</w:t>
            </w:r>
            <w:r>
              <w:rPr>
                <w:rFonts w:eastAsia="Times New Roman"/>
                <w:szCs w:val="20"/>
              </w:rPr>
              <w:t>/trigge</w:t>
            </w:r>
            <w:r>
              <w:rPr>
                <w:rFonts w:eastAsia="等线"/>
                <w:szCs w:val="20"/>
              </w:rPr>
              <w:t>ring</w:t>
            </w:r>
            <w:r>
              <w:rPr>
                <w:rFonts w:eastAsia="Times New Roman"/>
                <w:szCs w:val="20"/>
              </w:rPr>
              <w:t xml:space="preserve"> </w:t>
            </w:r>
            <w:r>
              <w:rPr>
                <w:rFonts w:eastAsia="等线"/>
                <w:szCs w:val="20"/>
              </w:rPr>
              <w:t>from</w:t>
            </w:r>
            <w:r>
              <w:rPr>
                <w:rFonts w:eastAsia="Times New Roman"/>
                <w:szCs w:val="20"/>
              </w:rPr>
              <w:t xml:space="preserve"> network</w:t>
            </w:r>
            <w:r>
              <w:rPr>
                <w:rFonts w:eastAsia="等线"/>
                <w:szCs w:val="20"/>
              </w:rPr>
              <w:t xml:space="preserve"> that will lead to above collisions</w:t>
            </w:r>
            <w:r>
              <w:rPr>
                <w:rFonts w:eastAsia="Times New Roman"/>
                <w:szCs w:val="20"/>
              </w:rPr>
              <w:t xml:space="preserve"> </w:t>
            </w:r>
          </w:p>
          <w:p>
            <w:pPr>
              <w:numPr>
                <w:ilvl w:val="2"/>
                <w:numId w:val="41"/>
              </w:numPr>
              <w:spacing w:before="72" w:after="72"/>
              <w:contextualSpacing/>
              <w:rPr>
                <w:rFonts w:eastAsia="Times New Roman"/>
                <w:szCs w:val="20"/>
              </w:rPr>
            </w:pPr>
            <w:r>
              <w:rPr>
                <w:rFonts w:eastAsia="Times New Roman"/>
                <w:szCs w:val="20"/>
              </w:rPr>
              <w:t xml:space="preserve">Except that the PUSCH, PUCCH, PRACH, or SRS transmission that </w:t>
            </w:r>
            <w:r>
              <w:rPr>
                <w:rFonts w:eastAsia="等线"/>
                <w:szCs w:val="20"/>
              </w:rPr>
              <w:t>overlapped</w:t>
            </w:r>
            <w:r>
              <w:rPr>
                <w:rFonts w:eastAsia="Times New Roman"/>
                <w:szCs w:val="20"/>
              </w:rPr>
              <w:t xml:space="preserve"> with the switching gap on SDL carrier when the SDL carrier switches to FDD carrier is not considered as collision</w:t>
            </w:r>
          </w:p>
          <w:p>
            <w:pPr>
              <w:spacing w:before="72" w:after="72"/>
              <w:rPr>
                <w:color w:val="000000"/>
              </w:rPr>
            </w:pPr>
            <w:r>
              <w:rPr>
                <w:szCs w:val="20"/>
              </w:rPr>
              <w:t>UE expects that the switching gap configured by the NW for SDL carrier to FDD carrier switching covers at least the switching period as in RAN4 LS (</w:t>
            </w:r>
            <w:r>
              <w:fldChar w:fldCharType="begin"/>
            </w:r>
            <w:r>
              <w:instrText xml:space="preserve"> HYPERLINK "../Docs/R1-2501702.zip" </w:instrText>
            </w:r>
            <w:r>
              <w:fldChar w:fldCharType="separate"/>
            </w:r>
            <w:r>
              <w:rPr>
                <w:rStyle w:val="49"/>
                <w:szCs w:val="20"/>
              </w:rPr>
              <w:t>R1-2501702</w:t>
            </w:r>
            <w:r>
              <w:rPr>
                <w:rStyle w:val="49"/>
                <w:szCs w:val="20"/>
              </w:rPr>
              <w:fldChar w:fldCharType="end"/>
            </w:r>
            <w:r>
              <w:rPr>
                <w:szCs w:val="20"/>
              </w:rPr>
              <w:t>) and UL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spacing w:before="72" w:after="72"/>
              <w:rPr>
                <w:rFonts w:eastAsia="等线"/>
                <w:highlight w:val="green"/>
              </w:rPr>
            </w:pPr>
            <w:r>
              <w:rPr>
                <w:rFonts w:hint="eastAsia" w:eastAsia="等线"/>
                <w:highlight w:val="green"/>
              </w:rPr>
              <w:t>Agreement</w:t>
            </w:r>
          </w:p>
          <w:p>
            <w:pPr>
              <w:spacing w:before="72" w:after="72"/>
              <w:contextualSpacing/>
              <w:rPr>
                <w:rFonts w:eastAsia="Times New Roman"/>
                <w:szCs w:val="20"/>
              </w:rPr>
            </w:pPr>
            <w:r>
              <w:rPr>
                <w:rFonts w:eastAsia="Times New Roman"/>
                <w:szCs w:val="20"/>
              </w:rPr>
              <w:t>For Rel-19 low NR band carrier aggregation via switching, in terms of the collision handling of SSB, a UE does not receive the SSB that collides with the LB CA switching pattern.</w:t>
            </w:r>
          </w:p>
          <w:p>
            <w:pPr>
              <w:numPr>
                <w:ilvl w:val="0"/>
                <w:numId w:val="42"/>
              </w:numPr>
              <w:spacing w:before="72" w:after="72"/>
              <w:contextualSpacing/>
              <w:rPr>
                <w:rFonts w:eastAsia="Times New Roman"/>
                <w:szCs w:val="20"/>
              </w:rPr>
            </w:pPr>
            <w:r>
              <w:rPr>
                <w:rFonts w:eastAsia="Times New Roman"/>
                <w:szCs w:val="20"/>
              </w:rPr>
              <w:t>Note: a SSB collides with the LB CA switching pattern if</w:t>
            </w:r>
          </w:p>
          <w:p>
            <w:pPr>
              <w:numPr>
                <w:ilvl w:val="1"/>
                <w:numId w:val="42"/>
              </w:numPr>
              <w:spacing w:before="72" w:after="72"/>
              <w:contextualSpacing/>
              <w:rPr>
                <w:rFonts w:eastAsia="Times New Roman"/>
                <w:szCs w:val="20"/>
              </w:rPr>
            </w:pPr>
            <w:r>
              <w:rPr>
                <w:rFonts w:eastAsia="Times New Roman"/>
                <w:szCs w:val="20"/>
              </w:rPr>
              <w:t>For SSB in FDD carrier, one or multiple SSB symbols overlaps with symbols configured as either SDL carrier or switching gap.</w:t>
            </w:r>
          </w:p>
          <w:p>
            <w:pPr>
              <w:numPr>
                <w:ilvl w:val="1"/>
                <w:numId w:val="42"/>
              </w:numPr>
              <w:spacing w:before="72" w:after="72"/>
              <w:contextualSpacing/>
              <w:rPr>
                <w:rFonts w:eastAsia="Times New Roman"/>
                <w:szCs w:val="20"/>
              </w:rPr>
            </w:pPr>
            <w:r>
              <w:rPr>
                <w:rFonts w:eastAsia="Times New Roman"/>
                <w:szCs w:val="20"/>
              </w:rPr>
              <w:t>For SSB in SDL carrier, one or multiple SSB symbols overlaps with symbols configured as either FDD carrier or switching gap.</w:t>
            </w:r>
          </w:p>
          <w:p>
            <w:pPr>
              <w:spacing w:before="72" w:after="72"/>
              <w:rPr>
                <w:rFonts w:eastAsia="等线"/>
              </w:rPr>
            </w:pPr>
          </w:p>
          <w:p>
            <w:pPr>
              <w:spacing w:before="72" w:after="72"/>
              <w:rPr>
                <w:rFonts w:eastAsia="等线"/>
                <w:b/>
                <w:bCs/>
              </w:rPr>
            </w:pPr>
            <w:r>
              <w:rPr>
                <w:rFonts w:hint="eastAsia" w:eastAsia="等线"/>
                <w:b/>
                <w:bCs/>
              </w:rPr>
              <w:t>Conclusion</w:t>
            </w:r>
          </w:p>
          <w:p>
            <w:pPr>
              <w:spacing w:before="72" w:after="72"/>
              <w:contextualSpacing/>
              <w:rPr>
                <w:szCs w:val="20"/>
              </w:rPr>
            </w:pPr>
            <w:r>
              <w:rPr>
                <w:szCs w:val="20"/>
              </w:rPr>
              <w:t>For RRC configuration of semi-static switching pattern in Rel-19 low NR band carrier aggregation via switching, support the following restrictions for the semi-static switching pattern:</w:t>
            </w:r>
          </w:p>
          <w:p>
            <w:pPr>
              <w:numPr>
                <w:ilvl w:val="0"/>
                <w:numId w:val="43"/>
              </w:numPr>
              <w:spacing w:before="72" w:after="72"/>
              <w:contextualSpacing/>
              <w:rPr>
                <w:szCs w:val="20"/>
              </w:rPr>
            </w:pPr>
            <w:r>
              <w:rPr>
                <w:rFonts w:eastAsia="等线"/>
                <w:szCs w:val="20"/>
              </w:rPr>
              <w:t xml:space="preserve">It is RAN1 understanding </w:t>
            </w:r>
            <w:r>
              <w:rPr>
                <w:rFonts w:hint="eastAsia" w:eastAsia="等线"/>
                <w:szCs w:val="20"/>
              </w:rPr>
              <w:t xml:space="preserve">that </w:t>
            </w:r>
            <w:r>
              <w:rPr>
                <w:rFonts w:eastAsia="等线"/>
                <w:szCs w:val="20"/>
              </w:rPr>
              <w:t>at least one SSB in PCell is available every 160ms</w:t>
            </w:r>
            <w:r>
              <w:rPr>
                <w:rFonts w:hint="eastAsia" w:eastAsia="等线"/>
                <w:szCs w:val="20"/>
              </w:rPr>
              <w:t xml:space="preserve"> for meeting existing RAN4 requirements</w:t>
            </w:r>
            <w:r>
              <w:rPr>
                <w:rFonts w:eastAsia="等线"/>
                <w:szCs w:val="20"/>
              </w:rPr>
              <w:t>.</w:t>
            </w:r>
          </w:p>
          <w:p>
            <w:pPr>
              <w:numPr>
                <w:ilvl w:val="0"/>
                <w:numId w:val="43"/>
              </w:numPr>
              <w:spacing w:before="72" w:after="72"/>
              <w:contextualSpacing/>
              <w:rPr>
                <w:szCs w:val="20"/>
              </w:rPr>
            </w:pPr>
            <w:r>
              <w:rPr>
                <w:rFonts w:hint="eastAsia" w:eastAsia="等线"/>
                <w:szCs w:val="20"/>
              </w:rPr>
              <w:t>A</w:t>
            </w:r>
            <w:r>
              <w:rPr>
                <w:szCs w:val="20"/>
              </w:rPr>
              <w:t xml:space="preserve">t least </w:t>
            </w:r>
            <w:r>
              <w:rPr>
                <w:rFonts w:eastAsia="等线"/>
                <w:szCs w:val="20"/>
              </w:rPr>
              <w:t>one SSB in SCell is available every 160ms.</w:t>
            </w:r>
          </w:p>
          <w:p>
            <w:pPr>
              <w:spacing w:before="72" w:after="72"/>
              <w:rPr>
                <w:rFonts w:eastAsia="等线"/>
                <w:b/>
                <w:bCs/>
              </w:rPr>
            </w:pPr>
            <w:r>
              <w:rPr>
                <w:rFonts w:hint="eastAsia" w:eastAsia="等线"/>
                <w:b/>
                <w:bCs/>
              </w:rPr>
              <w:t>Conclusion</w:t>
            </w:r>
          </w:p>
          <w:p>
            <w:pPr>
              <w:spacing w:before="72" w:after="72"/>
              <w:contextualSpacing/>
              <w:rPr>
                <w:szCs w:val="20"/>
              </w:rPr>
            </w:pPr>
            <w:r>
              <w:rPr>
                <w:szCs w:val="20"/>
              </w:rPr>
              <w:t xml:space="preserve">For Rel-19 low NR band carrier aggregation via switching, </w:t>
            </w:r>
            <w:r>
              <w:rPr>
                <w:rFonts w:hint="eastAsia"/>
                <w:szCs w:val="20"/>
              </w:rPr>
              <w:t>if the switch pattern is applicable, it applies to the UE RACH procedure</w:t>
            </w:r>
          </w:p>
          <w:p>
            <w:pPr>
              <w:spacing w:before="72" w:after="72" w:line="240" w:lineRule="auto"/>
              <w:jc w:val="left"/>
              <w:rPr>
                <w:rFonts w:ascii="Times" w:hAnsi="Times"/>
                <w:color w:val="ED7D31" w:themeColor="accent2"/>
                <w14:textFill>
                  <w14:solidFill>
                    <w14:schemeClr w14:val="accent2"/>
                  </w14:solidFill>
                </w14:textFill>
              </w:rPr>
            </w:pPr>
          </w:p>
          <w:p>
            <w:pPr>
              <w:spacing w:before="72" w:after="72"/>
              <w:rPr>
                <w:rFonts w:eastAsia="等线"/>
                <w:b/>
                <w:bCs/>
              </w:rPr>
            </w:pPr>
            <w:r>
              <w:rPr>
                <w:rFonts w:hint="eastAsia" w:eastAsia="等线"/>
                <w:b/>
                <w:bCs/>
              </w:rPr>
              <w:t>Conclusion</w:t>
            </w:r>
          </w:p>
          <w:p>
            <w:pPr>
              <w:pStyle w:val="129"/>
              <w:spacing w:before="72" w:after="72"/>
              <w:ind w:firstLine="0" w:firstLineChars="0"/>
              <w:contextualSpacing/>
              <w:rPr>
                <w:szCs w:val="20"/>
              </w:rPr>
            </w:pPr>
            <w:r>
              <w:rPr>
                <w:szCs w:val="20"/>
              </w:rPr>
              <w:t>For Rel-19 low NR band carrier aggregation via switching, in RAN1, there is no consensus to support UE processing timeline relaxation for the following scenarios</w:t>
            </w:r>
          </w:p>
          <w:p>
            <w:pPr>
              <w:pStyle w:val="129"/>
              <w:numPr>
                <w:ilvl w:val="0"/>
                <w:numId w:val="44"/>
              </w:numPr>
              <w:spacing w:before="72" w:after="72"/>
              <w:ind w:left="0" w:firstLine="400"/>
              <w:contextualSpacing/>
              <w:rPr>
                <w:szCs w:val="20"/>
              </w:rPr>
            </w:pPr>
            <w:r>
              <w:rPr>
                <w:szCs w:val="20"/>
                <w:lang w:eastAsia="ko-KR"/>
              </w:rPr>
              <w:t>a PDCCH reception schedules a PUSCH transmission</w:t>
            </w:r>
          </w:p>
          <w:p>
            <w:pPr>
              <w:pStyle w:val="129"/>
              <w:numPr>
                <w:ilvl w:val="0"/>
                <w:numId w:val="44"/>
              </w:numPr>
              <w:spacing w:before="72" w:after="72"/>
              <w:ind w:left="0" w:firstLine="400"/>
              <w:contextualSpacing/>
              <w:rPr>
                <w:szCs w:val="20"/>
              </w:rPr>
            </w:pPr>
            <w:r>
              <w:rPr>
                <w:szCs w:val="20"/>
                <w:lang w:eastAsia="ko-KR"/>
              </w:rPr>
              <w:t>a PDCCH reception indicates SRS transmission</w:t>
            </w:r>
          </w:p>
          <w:p>
            <w:pPr>
              <w:pStyle w:val="129"/>
              <w:numPr>
                <w:ilvl w:val="0"/>
                <w:numId w:val="44"/>
              </w:numPr>
              <w:spacing w:before="72" w:after="72"/>
              <w:ind w:left="0" w:firstLine="400"/>
              <w:contextualSpacing/>
              <w:rPr>
                <w:szCs w:val="20"/>
                <w:lang w:eastAsia="ko-KR"/>
              </w:rPr>
            </w:pPr>
            <w:r>
              <w:rPr>
                <w:szCs w:val="20"/>
                <w:lang w:eastAsia="ko-KR"/>
              </w:rPr>
              <w:t>a RAR schedules a PUSCH transmission</w:t>
            </w:r>
          </w:p>
          <w:p>
            <w:pPr>
              <w:pStyle w:val="129"/>
              <w:numPr>
                <w:ilvl w:val="0"/>
                <w:numId w:val="44"/>
              </w:numPr>
              <w:spacing w:before="72" w:after="72"/>
              <w:ind w:left="0" w:firstLine="400"/>
              <w:contextualSpacing/>
              <w:rPr>
                <w:szCs w:val="20"/>
                <w:lang w:eastAsia="ko-KR"/>
              </w:rPr>
            </w:pPr>
            <w:r>
              <w:rPr>
                <w:szCs w:val="20"/>
                <w:lang w:eastAsia="ko-KR"/>
              </w:rPr>
              <w:t xml:space="preserve">a PUCCH transmission with HARQ-ACK for a PDSCH or PDCCH reception </w:t>
            </w:r>
          </w:p>
          <w:p>
            <w:pPr>
              <w:spacing w:before="72" w:after="72" w:line="240" w:lineRule="auto"/>
              <w:jc w:val="left"/>
              <w:rPr>
                <w:rFonts w:ascii="Times" w:hAnsi="Times"/>
                <w:color w:val="ED7D31" w:themeColor="accent2"/>
                <w14:textFill>
                  <w14:solidFill>
                    <w14:schemeClr w14:val="accent2"/>
                  </w14:solidFill>
                </w14:textFill>
              </w:rPr>
            </w:pPr>
          </w:p>
          <w:p>
            <w:pPr>
              <w:spacing w:before="72" w:after="72"/>
              <w:rPr>
                <w:rFonts w:eastAsia="等线"/>
                <w:b/>
                <w:bCs/>
              </w:rPr>
            </w:pPr>
            <w:r>
              <w:rPr>
                <w:rFonts w:hint="eastAsia" w:eastAsia="等线"/>
                <w:b/>
                <w:bCs/>
              </w:rPr>
              <w:t>Conclusion</w:t>
            </w:r>
          </w:p>
          <w:p>
            <w:pPr>
              <w:spacing w:before="72" w:after="72"/>
              <w:contextualSpacing/>
              <w:rPr>
                <w:b/>
                <w:bCs/>
                <w:szCs w:val="20"/>
              </w:rPr>
            </w:pPr>
            <w:r>
              <w:rPr>
                <w:szCs w:val="20"/>
              </w:rPr>
              <w:t xml:space="preserve">For Rel-19 low NR band carrier aggregation via switching, in RAN1, there is no consensus to support the following HARQ-ACK enhancement </w:t>
            </w:r>
          </w:p>
          <w:p>
            <w:pPr>
              <w:pStyle w:val="129"/>
              <w:numPr>
                <w:ilvl w:val="0"/>
                <w:numId w:val="44"/>
              </w:numPr>
              <w:spacing w:before="72" w:after="72"/>
              <w:ind w:left="0" w:firstLine="400"/>
              <w:contextualSpacing/>
              <w:rPr>
                <w:szCs w:val="20"/>
                <w:lang w:eastAsia="ko-KR"/>
              </w:rPr>
            </w:pPr>
            <w:r>
              <w:rPr>
                <w:szCs w:val="20"/>
                <w:lang w:eastAsia="ko-KR"/>
              </w:rPr>
              <w:t>For HARQ-ACK feedback timing, support more than 8 values in the K1 set with new values larger than 15</w:t>
            </w:r>
          </w:p>
          <w:p>
            <w:pPr>
              <w:pStyle w:val="129"/>
              <w:spacing w:before="72" w:after="72"/>
              <w:ind w:firstLine="0" w:firstLineChars="0"/>
              <w:contextualSpacing/>
              <w:rPr>
                <w:szCs w:val="20"/>
              </w:rPr>
            </w:pPr>
          </w:p>
        </w:tc>
      </w:tr>
    </w:tbl>
    <w:p>
      <w:pPr>
        <w:adjustRightInd/>
        <w:snapToGrid/>
        <w:spacing w:before="120" w:beforeLines="50" w:after="72"/>
      </w:pPr>
      <w:r>
        <w:rPr>
          <w:rFonts w:hint="eastAsia"/>
          <w:b/>
          <w:i/>
        </w:rPr>
        <w:t xml:space="preserve">Proposal </w:t>
      </w:r>
      <w:r>
        <w:rPr>
          <w:b/>
          <w:i/>
        </w:rPr>
        <w:t>5</w:t>
      </w:r>
      <w:r>
        <w:rPr>
          <w:rFonts w:hint="eastAsia"/>
          <w:b/>
          <w:i/>
        </w:rPr>
        <w:t>-</w:t>
      </w:r>
      <w:r>
        <w:rPr>
          <w:b/>
          <w:i/>
        </w:rPr>
        <w:t>1:</w:t>
      </w:r>
      <w:r>
        <w:rPr>
          <w:i/>
        </w:rPr>
        <w:t xml:space="preserve"> The</w:t>
      </w:r>
      <w:r>
        <w:rPr>
          <w:rFonts w:hint="eastAsia"/>
          <w:i/>
        </w:rPr>
        <w:t>re is no need to introduce RAN1 FG for Rel-19 LBCA based on the RAN1 agreements made up to RAN1#122bis meeting.</w:t>
      </w:r>
    </w:p>
    <w:p>
      <w:pPr>
        <w:spacing w:before="72" w:after="120" w:afterLines="50"/>
        <w:rPr>
          <w:rFonts w:eastAsia="微软雅黑"/>
          <w:szCs w:val="20"/>
        </w:rPr>
      </w:pPr>
    </w:p>
    <w:p>
      <w:pPr>
        <w:spacing w:before="72" w:after="120" w:afterLines="50"/>
        <w:rPr>
          <w:rFonts w:eastAsia="微软雅黑"/>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pacing w:before="72" w:after="72"/>
        <w:rPr>
          <w:rFonts w:eastAsia="微软雅黑"/>
          <w:szCs w:val="20"/>
        </w:rPr>
      </w:pPr>
      <w:r>
        <w:rPr>
          <w:rFonts w:hint="eastAsia" w:eastAsia="微软雅黑"/>
          <w:szCs w:val="20"/>
        </w:rPr>
        <w:t>I</w:t>
      </w:r>
      <w:r>
        <w:rPr>
          <w:rFonts w:eastAsia="微软雅黑"/>
          <w:szCs w:val="20"/>
        </w:rPr>
        <w:t xml:space="preserve">n this contribution, we </w:t>
      </w:r>
      <w:r>
        <w:rPr>
          <w:rFonts w:hint="eastAsia" w:eastAsia="微软雅黑"/>
          <w:szCs w:val="20"/>
        </w:rPr>
        <w:t>provide</w:t>
      </w:r>
      <w:r>
        <w:rPr>
          <w:rFonts w:eastAsia="微软雅黑"/>
          <w:szCs w:val="20"/>
        </w:rPr>
        <w:t xml:space="preserve"> our views on Rel-1</w:t>
      </w:r>
      <w:r>
        <w:rPr>
          <w:rFonts w:hint="eastAsia" w:eastAsia="微软雅黑"/>
          <w:szCs w:val="20"/>
        </w:rPr>
        <w:t>9</w:t>
      </w:r>
      <w:r>
        <w:rPr>
          <w:rFonts w:eastAsia="微软雅黑"/>
          <w:szCs w:val="20"/>
        </w:rPr>
        <w:t xml:space="preserve"> UE features Batch </w:t>
      </w:r>
      <w:r>
        <w:rPr>
          <w:rFonts w:hint="eastAsia" w:eastAsia="微软雅黑"/>
          <w:szCs w:val="20"/>
        </w:rPr>
        <w:t>B</w:t>
      </w:r>
      <w:r>
        <w:rPr>
          <w:rFonts w:eastAsia="微软雅黑"/>
          <w:szCs w:val="20"/>
        </w:rPr>
        <w:t>: NR_duplex_evo, NR_LPWUS, NR_MC_enh2, and NR_LBCA</w:t>
      </w:r>
      <w:r>
        <w:rPr>
          <w:rFonts w:hint="eastAsia" w:eastAsia="微软雅黑"/>
          <w:szCs w:val="20"/>
        </w:rPr>
        <w:t xml:space="preserve">. </w:t>
      </w:r>
      <w:r>
        <w:rPr>
          <w:rFonts w:eastAsia="微软雅黑"/>
          <w:szCs w:val="20"/>
        </w:rPr>
        <w:t xml:space="preserve">The detailed </w:t>
      </w:r>
      <w:r>
        <w:rPr>
          <w:rFonts w:hint="eastAsia" w:eastAsia="微软雅黑"/>
          <w:szCs w:val="20"/>
        </w:rPr>
        <w:t xml:space="preserve">proposals </w:t>
      </w:r>
      <w:r>
        <w:rPr>
          <w:rFonts w:eastAsia="微软雅黑"/>
          <w:szCs w:val="20"/>
        </w:rPr>
        <w:t xml:space="preserve">can be found in the corresponding sections. </w:t>
      </w:r>
    </w:p>
    <w:p>
      <w:pPr>
        <w:pStyle w:val="2"/>
        <w:spacing w:before="72" w:after="72"/>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91"/>
        <w:numPr>
          <w:ilvl w:val="0"/>
          <w:numId w:val="45"/>
        </w:numPr>
        <w:adjustRightInd w:val="0"/>
        <w:snapToGrid w:val="0"/>
        <w:spacing w:line="288" w:lineRule="auto"/>
        <w:jc w:val="both"/>
        <w:rPr>
          <w:bCs/>
          <w:sz w:val="20"/>
          <w:szCs w:val="20"/>
        </w:rPr>
      </w:pPr>
      <w:r>
        <w:rPr>
          <w:bCs/>
          <w:sz w:val="20"/>
          <w:szCs w:val="20"/>
        </w:rPr>
        <w:t xml:space="preserve">R1-2507979, </w:t>
      </w:r>
      <w:r>
        <w:rPr>
          <w:bCs/>
          <w:sz w:val="20"/>
          <w:szCs w:val="20"/>
          <w:lang w:eastAsia="en-US"/>
        </w:rPr>
        <w:t>Updated RAN1 UE features list for Rel-19 NR after RAN1 #122bis</w:t>
      </w:r>
      <w:r>
        <w:rPr>
          <w:rFonts w:hint="eastAsia"/>
          <w:bCs/>
          <w:sz w:val="20"/>
          <w:szCs w:val="20"/>
          <w:lang w:eastAsia="en-US"/>
        </w:rPr>
        <w:t xml:space="preserve">, </w:t>
      </w:r>
      <w:r>
        <w:rPr>
          <w:bCs/>
          <w:sz w:val="20"/>
          <w:szCs w:val="20"/>
          <w:lang w:eastAsia="en-US"/>
        </w:rPr>
        <w:t>Moderators (AT&amp;T, NTT DOCOMO, INC.)</w:t>
      </w:r>
    </w:p>
    <w:sectPr>
      <w:headerReference r:id="rId7" w:type="first"/>
      <w:footerReference r:id="rId10" w:type="first"/>
      <w:headerReference r:id="rId5" w:type="default"/>
      <w:footerReference r:id="rId8" w:type="default"/>
      <w:headerReference r:id="rId6" w:type="even"/>
      <w:footerReference r:id="rId9" w:type="even"/>
      <w:type w:val="continuous"/>
      <w:pgSz w:w="15840" w:h="12240" w:orient="landscape"/>
      <w:pgMar w:top="1440" w:right="810" w:bottom="1440" w:left="9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165">
    <w:altName w:val="Segoe Print"/>
    <w:panose1 w:val="00000000000000000000"/>
    <w:charset w:val="00"/>
    <w:family w:val="auto"/>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Light">
    <w:panose1 w:val="020F0302020204030204"/>
    <w:charset w:val="00"/>
    <w:family w:val="swiss"/>
    <w:pitch w:val="default"/>
    <w:sig w:usb0="E0002A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7B536"/>
    <w:multiLevelType w:val="multilevel"/>
    <w:tmpl w:val="A1A7B5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PGothic" w:hAnsi="MS PGothic"/>
      </w:rPr>
    </w:lvl>
    <w:lvl w:ilvl="2" w:tentative="0">
      <w:start w:val="1"/>
      <w:numFmt w:val="bullet"/>
      <w:lvlText w:val=""/>
      <w:lvlJc w:val="left"/>
      <w:pPr>
        <w:tabs>
          <w:tab w:val="left" w:pos="1260"/>
        </w:tabs>
        <w:ind w:left="1260" w:hanging="420"/>
      </w:pPr>
      <w:rPr>
        <w:rFonts w:hint="default" w:ascii="MS PGothic" w:hAnsi="MS PGothic"/>
      </w:rPr>
    </w:lvl>
    <w:lvl w:ilvl="3" w:tentative="0">
      <w:start w:val="1"/>
      <w:numFmt w:val="bullet"/>
      <w:lvlText w:val=""/>
      <w:lvlJc w:val="left"/>
      <w:pPr>
        <w:tabs>
          <w:tab w:val="left" w:pos="1680"/>
        </w:tabs>
        <w:ind w:left="1680" w:hanging="420"/>
      </w:pPr>
      <w:rPr>
        <w:rFonts w:hint="default" w:ascii="MS PGothic" w:hAnsi="MS PGothic"/>
      </w:rPr>
    </w:lvl>
    <w:lvl w:ilvl="4" w:tentative="0">
      <w:start w:val="1"/>
      <w:numFmt w:val="bullet"/>
      <w:lvlText w:val=""/>
      <w:lvlJc w:val="left"/>
      <w:pPr>
        <w:tabs>
          <w:tab w:val="left" w:pos="2100"/>
        </w:tabs>
        <w:ind w:left="2100" w:hanging="420"/>
      </w:pPr>
      <w:rPr>
        <w:rFonts w:hint="default" w:ascii="MS PGothic" w:hAnsi="MS PGothic"/>
      </w:rPr>
    </w:lvl>
    <w:lvl w:ilvl="5" w:tentative="0">
      <w:start w:val="1"/>
      <w:numFmt w:val="bullet"/>
      <w:lvlText w:val=""/>
      <w:lvlJc w:val="left"/>
      <w:pPr>
        <w:tabs>
          <w:tab w:val="left" w:pos="2520"/>
        </w:tabs>
        <w:ind w:left="2520" w:hanging="420"/>
      </w:pPr>
      <w:rPr>
        <w:rFonts w:hint="default" w:ascii="MS PGothic" w:hAnsi="MS PGothic"/>
      </w:rPr>
    </w:lvl>
    <w:lvl w:ilvl="6" w:tentative="0">
      <w:start w:val="1"/>
      <w:numFmt w:val="bullet"/>
      <w:lvlText w:val=""/>
      <w:lvlJc w:val="left"/>
      <w:pPr>
        <w:tabs>
          <w:tab w:val="left" w:pos="2940"/>
        </w:tabs>
        <w:ind w:left="2940" w:hanging="420"/>
      </w:pPr>
      <w:rPr>
        <w:rFonts w:hint="default" w:ascii="MS PGothic" w:hAnsi="MS PGothic"/>
      </w:rPr>
    </w:lvl>
    <w:lvl w:ilvl="7" w:tentative="0">
      <w:start w:val="1"/>
      <w:numFmt w:val="bullet"/>
      <w:lvlText w:val=""/>
      <w:lvlJc w:val="left"/>
      <w:pPr>
        <w:tabs>
          <w:tab w:val="left" w:pos="3360"/>
        </w:tabs>
        <w:ind w:left="3360" w:hanging="420"/>
      </w:pPr>
      <w:rPr>
        <w:rFonts w:hint="default" w:ascii="MS PGothic" w:hAnsi="MS PGothic"/>
      </w:rPr>
    </w:lvl>
    <w:lvl w:ilvl="8" w:tentative="0">
      <w:start w:val="1"/>
      <w:numFmt w:val="bullet"/>
      <w:lvlText w:val=""/>
      <w:lvlJc w:val="left"/>
      <w:pPr>
        <w:tabs>
          <w:tab w:val="left" w:pos="3780"/>
        </w:tabs>
        <w:ind w:left="3780" w:hanging="420"/>
      </w:pPr>
      <w:rPr>
        <w:rFonts w:hint="default" w:ascii="MS PGothic" w:hAnsi="MS PGothic"/>
      </w:rPr>
    </w:lvl>
  </w:abstractNum>
  <w:abstractNum w:abstractNumId="1">
    <w:nsid w:val="A96369B0"/>
    <w:multiLevelType w:val="singleLevel"/>
    <w:tmpl w:val="A96369B0"/>
    <w:lvl w:ilvl="0" w:tentative="0">
      <w:start w:val="1"/>
      <w:numFmt w:val="bullet"/>
      <w:lvlText w:val=""/>
      <w:lvlJc w:val="left"/>
      <w:pPr>
        <w:ind w:left="420" w:hanging="420"/>
      </w:pPr>
      <w:rPr>
        <w:rFonts w:hint="default" w:ascii="Wingdings" w:hAnsi="Wingdings"/>
      </w:rPr>
    </w:lvl>
  </w:abstractNum>
  <w:abstractNum w:abstractNumId="2">
    <w:nsid w:val="BD0CA652"/>
    <w:multiLevelType w:val="multilevel"/>
    <w:tmpl w:val="BD0CA652"/>
    <w:lvl w:ilvl="0" w:tentative="0">
      <w:start w:val="1"/>
      <w:numFmt w:val="decimal"/>
      <w:pStyle w:val="286"/>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8615B9C"/>
    <w:multiLevelType w:val="singleLevel"/>
    <w:tmpl w:val="C8615B9C"/>
    <w:lvl w:ilvl="0" w:tentative="0">
      <w:start w:val="1"/>
      <w:numFmt w:val="bullet"/>
      <w:lvlText w:val=""/>
      <w:lvlJc w:val="left"/>
      <w:pPr>
        <w:tabs>
          <w:tab w:val="left" w:pos="1680"/>
        </w:tabs>
        <w:ind w:left="2100" w:hanging="420"/>
      </w:pPr>
      <w:rPr>
        <w:rFonts w:hint="default" w:ascii="Wingdings" w:hAnsi="Wingdings"/>
      </w:rPr>
    </w:lvl>
  </w:abstractNum>
  <w:abstractNum w:abstractNumId="4">
    <w:nsid w:val="CFC69471"/>
    <w:multiLevelType w:val="singleLevel"/>
    <w:tmpl w:val="CFC69471"/>
    <w:lvl w:ilvl="0" w:tentative="0">
      <w:start w:val="1"/>
      <w:numFmt w:val="bullet"/>
      <w:lvlText w:val=""/>
      <w:lvlJc w:val="left"/>
      <w:pPr>
        <w:ind w:left="420" w:hanging="420"/>
      </w:pPr>
      <w:rPr>
        <w:rFonts w:hint="default" w:ascii="Wingdings" w:hAnsi="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60D3FFB"/>
    <w:multiLevelType w:val="multilevel"/>
    <w:tmpl w:val="060D3FFB"/>
    <w:lvl w:ilvl="0" w:tentative="0">
      <w:start w:val="1"/>
      <w:numFmt w:val="bullet"/>
      <w:pStyle w:val="9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D67560A"/>
    <w:multiLevelType w:val="multilevel"/>
    <w:tmpl w:val="0D67560A"/>
    <w:lvl w:ilvl="0" w:tentative="0">
      <w:start w:val="1"/>
      <w:numFmt w:val="decimal"/>
      <w:pStyle w:val="144"/>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10A13025"/>
    <w:multiLevelType w:val="multilevel"/>
    <w:tmpl w:val="10A130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16B73BA"/>
    <w:multiLevelType w:val="multilevel"/>
    <w:tmpl w:val="116B73BA"/>
    <w:lvl w:ilvl="0" w:tentative="0">
      <w:start w:val="1"/>
      <w:numFmt w:val="decimal"/>
      <w:pStyle w:val="2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1B0970D7"/>
    <w:multiLevelType w:val="multilevel"/>
    <w:tmpl w:val="1B0970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1FB63FB"/>
    <w:multiLevelType w:val="multilevel"/>
    <w:tmpl w:val="21FB63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22D21819"/>
    <w:multiLevelType w:val="multilevel"/>
    <w:tmpl w:val="22D21819"/>
    <w:lvl w:ilvl="0" w:tentative="0">
      <w:start w:val="1"/>
      <w:numFmt w:val="bullet"/>
      <w:pStyle w:val="2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24F17535"/>
    <w:multiLevelType w:val="multilevel"/>
    <w:tmpl w:val="24F17535"/>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4"/>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2B146025"/>
    <w:multiLevelType w:val="multilevel"/>
    <w:tmpl w:val="2B1460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4666237"/>
    <w:multiLevelType w:val="multilevel"/>
    <w:tmpl w:val="34666237"/>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7">
    <w:nsid w:val="34D5045A"/>
    <w:multiLevelType w:val="singleLevel"/>
    <w:tmpl w:val="34D5045A"/>
    <w:lvl w:ilvl="0" w:tentative="0">
      <w:start w:val="1"/>
      <w:numFmt w:val="bullet"/>
      <w:pStyle w:val="169"/>
      <w:lvlText w:val=""/>
      <w:lvlJc w:val="left"/>
      <w:pPr>
        <w:tabs>
          <w:tab w:val="left" w:pos="360"/>
        </w:tabs>
        <w:ind w:left="340" w:hanging="340"/>
      </w:pPr>
      <w:rPr>
        <w:rFonts w:hint="default" w:ascii="Symbol" w:hAnsi="Symbol" w:eastAsia="Times New Roman"/>
        <w:color w:val="auto"/>
      </w:rPr>
    </w:lvl>
  </w:abstractNum>
  <w:abstractNum w:abstractNumId="18">
    <w:nsid w:val="35750EB7"/>
    <w:multiLevelType w:val="multilevel"/>
    <w:tmpl w:val="35750E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77E2ADD"/>
    <w:multiLevelType w:val="multilevel"/>
    <w:tmpl w:val="377E2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9CE5DF3"/>
    <w:multiLevelType w:val="multilevel"/>
    <w:tmpl w:val="39CE5DF3"/>
    <w:lvl w:ilvl="0" w:tentative="0">
      <w:start w:val="1"/>
      <w:numFmt w:val="decimal"/>
      <w:pStyle w:val="271"/>
      <w:lvlText w:val="%1."/>
      <w:lvlJc w:val="left"/>
      <w:pPr>
        <w:ind w:left="420" w:hanging="42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21">
    <w:nsid w:val="3C2E5EEB"/>
    <w:multiLevelType w:val="multilevel"/>
    <w:tmpl w:val="3C2E5EE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3F002EE1"/>
    <w:multiLevelType w:val="multilevel"/>
    <w:tmpl w:val="3F002E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410F1BBE"/>
    <w:multiLevelType w:val="multilevel"/>
    <w:tmpl w:val="410F1BBE"/>
    <w:lvl w:ilvl="0" w:tentative="0">
      <w:start w:val="1"/>
      <w:numFmt w:val="decimal"/>
      <w:pStyle w:val="260"/>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4">
    <w:nsid w:val="417F6AFB"/>
    <w:multiLevelType w:val="multilevel"/>
    <w:tmpl w:val="417F6AFB"/>
    <w:lvl w:ilvl="0" w:tentative="0">
      <w:start w:val="1"/>
      <w:numFmt w:val="bullet"/>
      <w:pStyle w:val="237"/>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25">
    <w:nsid w:val="442163F9"/>
    <w:multiLevelType w:val="multilevel"/>
    <w:tmpl w:val="442163F9"/>
    <w:lvl w:ilvl="0" w:tentative="0">
      <w:start w:val="1"/>
      <w:numFmt w:val="bullet"/>
      <w:pStyle w:val="150"/>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6">
    <w:nsid w:val="482B2844"/>
    <w:multiLevelType w:val="singleLevel"/>
    <w:tmpl w:val="482B2844"/>
    <w:lvl w:ilvl="0" w:tentative="0">
      <w:start w:val="1"/>
      <w:numFmt w:val="bullet"/>
      <w:lvlText w:val=""/>
      <w:lvlJc w:val="left"/>
      <w:pPr>
        <w:ind w:left="420" w:hanging="420"/>
      </w:pPr>
      <w:rPr>
        <w:rFonts w:hint="default" w:ascii="Wingdings" w:hAnsi="Wingdings"/>
      </w:rPr>
    </w:lvl>
  </w:abstractNum>
  <w:abstractNum w:abstractNumId="27">
    <w:nsid w:val="4A55685D"/>
    <w:multiLevelType w:val="singleLevel"/>
    <w:tmpl w:val="4A55685D"/>
    <w:lvl w:ilvl="0" w:tentative="0">
      <w:start w:val="1"/>
      <w:numFmt w:val="bullet"/>
      <w:pStyle w:val="140"/>
      <w:lvlText w:val=""/>
      <w:lvlJc w:val="left"/>
      <w:pPr>
        <w:tabs>
          <w:tab w:val="left" w:pos="992"/>
        </w:tabs>
        <w:ind w:left="992" w:hanging="425"/>
      </w:pPr>
      <w:rPr>
        <w:rFonts w:hint="default" w:ascii="Symbol" w:hAnsi="Symbol"/>
      </w:rPr>
    </w:lvl>
  </w:abstractNum>
  <w:abstractNum w:abstractNumId="28">
    <w:nsid w:val="4DF87468"/>
    <w:multiLevelType w:val="multilevel"/>
    <w:tmpl w:val="4DF874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4EAD79F9"/>
    <w:multiLevelType w:val="multilevel"/>
    <w:tmpl w:val="4EAD79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574E1881"/>
    <w:multiLevelType w:val="multilevel"/>
    <w:tmpl w:val="574E1881"/>
    <w:lvl w:ilvl="0" w:tentative="0">
      <w:start w:val="8"/>
      <w:numFmt w:val="bullet"/>
      <w:lvlText w:val=""/>
      <w:lvlJc w:val="left"/>
      <w:pPr>
        <w:ind w:left="800" w:hanging="400"/>
      </w:pPr>
      <w:rPr>
        <w:rFonts w:hint="default" w:ascii="Wingdings" w:hAnsi="Wingdings" w:eastAsia="Batang"/>
        <w:lang w:val="en-GB"/>
      </w:rPr>
    </w:lvl>
    <w:lvl w:ilvl="1" w:tentative="0">
      <w:start w:val="1"/>
      <w:numFmt w:val="bullet"/>
      <w:lvlText w:val="o"/>
      <w:lvlJc w:val="left"/>
      <w:pPr>
        <w:ind w:left="1200" w:hanging="400"/>
      </w:pPr>
      <w:rPr>
        <w:rFonts w:hint="default" w:ascii="Courier New" w:hAnsi="Courier New" w:cs="Courier New"/>
        <w:lang w:val="en-GB"/>
      </w:rPr>
    </w:lvl>
    <w:lvl w:ilvl="2" w:tentative="0">
      <w:start w:val="8"/>
      <w:numFmt w:val="bullet"/>
      <w:pStyle w:val="276"/>
      <w:lvlText w:val="-"/>
      <w:lvlJc w:val="left"/>
      <w:pPr>
        <w:ind w:left="1600" w:hanging="400"/>
      </w:pPr>
      <w:rPr>
        <w:rFonts w:hint="default" w:ascii="Times New Roman" w:hAnsi="Times New Roman" w:eastAsia="MS Mincho" w:cs="Times New Roman"/>
        <w:lang w:val="en-GB"/>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1">
    <w:nsid w:val="5E7F772F"/>
    <w:multiLevelType w:val="multilevel"/>
    <w:tmpl w:val="5E7F77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5E93823A"/>
    <w:multiLevelType w:val="singleLevel"/>
    <w:tmpl w:val="5E93823A"/>
    <w:lvl w:ilvl="0" w:tentative="0">
      <w:start w:val="1"/>
      <w:numFmt w:val="decimal"/>
      <w:suff w:val="space"/>
      <w:lvlText w:val="[%1]"/>
      <w:lvlJc w:val="left"/>
    </w:lvl>
  </w:abstractNum>
  <w:abstractNum w:abstractNumId="33">
    <w:nsid w:val="5F1912B1"/>
    <w:multiLevelType w:val="multilevel"/>
    <w:tmpl w:val="5F1912B1"/>
    <w:lvl w:ilvl="0" w:tentative="0">
      <w:start w:val="1"/>
      <w:numFmt w:val="bullet"/>
      <w:pStyle w:val="227"/>
      <w:lvlText w:val=""/>
      <w:lvlJc w:val="left"/>
      <w:pPr>
        <w:ind w:left="720" w:hanging="360"/>
      </w:pPr>
      <w:rPr>
        <w:rFonts w:hint="default" w:ascii="Symbol" w:hAnsi="Symbol"/>
      </w:rPr>
    </w:lvl>
    <w:lvl w:ilvl="1" w:tentative="0">
      <w:start w:val="1"/>
      <w:numFmt w:val="bullet"/>
      <w:pStyle w:val="228"/>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69FDA09E"/>
    <w:multiLevelType w:val="singleLevel"/>
    <w:tmpl w:val="69FDA09E"/>
    <w:lvl w:ilvl="0" w:tentative="0">
      <w:start w:val="1"/>
      <w:numFmt w:val="bullet"/>
      <w:lvlText w:val=""/>
      <w:lvlJc w:val="left"/>
      <w:pPr>
        <w:ind w:left="420" w:hanging="420"/>
      </w:pPr>
      <w:rPr>
        <w:rFonts w:hint="default" w:ascii="Wingdings" w:hAnsi="Wingdings"/>
      </w:rPr>
    </w:lvl>
  </w:abstractNum>
  <w:abstractNum w:abstractNumId="35">
    <w:nsid w:val="6B1543C6"/>
    <w:multiLevelType w:val="multilevel"/>
    <w:tmpl w:val="6B1543C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6D74394F"/>
    <w:multiLevelType w:val="multilevel"/>
    <w:tmpl w:val="6D7439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6EE06023"/>
    <w:multiLevelType w:val="multilevel"/>
    <w:tmpl w:val="6EE06023"/>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8">
    <w:nsid w:val="70146DC0"/>
    <w:multiLevelType w:val="multilevel"/>
    <w:tmpl w:val="70146DC0"/>
    <w:lvl w:ilvl="0" w:tentative="0">
      <w:start w:val="1"/>
      <w:numFmt w:val="bullet"/>
      <w:pStyle w:val="1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9">
    <w:nsid w:val="73E06ED9"/>
    <w:multiLevelType w:val="multilevel"/>
    <w:tmpl w:val="73E06ED9"/>
    <w:lvl w:ilvl="0" w:tentative="0">
      <w:start w:val="1"/>
      <w:numFmt w:val="decimal"/>
      <w:pStyle w:val="4"/>
      <w:lvlText w:val="%1."/>
      <w:lvlJc w:val="left"/>
      <w:pPr>
        <w:ind w:left="432" w:hanging="432"/>
      </w:pPr>
      <w:rPr>
        <w:rFonts w:hint="default"/>
      </w:rPr>
    </w:lvl>
    <w:lvl w:ilvl="1" w:tentative="0">
      <w:start w:val="1"/>
      <w:numFmt w:val="decimal"/>
      <w:pStyle w:val="5"/>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4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7A250C6"/>
    <w:multiLevelType w:val="multilevel"/>
    <w:tmpl w:val="77A250C6"/>
    <w:lvl w:ilvl="0" w:tentative="0">
      <w:start w:val="4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B344DA8"/>
    <w:multiLevelType w:val="multilevel"/>
    <w:tmpl w:val="7B344D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4">
    <w:nsid w:val="7BC33C79"/>
    <w:multiLevelType w:val="multilevel"/>
    <w:tmpl w:val="7BC33C79"/>
    <w:lvl w:ilvl="0" w:tentative="0">
      <w:start w:val="0"/>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9"/>
  </w:num>
  <w:num w:numId="2">
    <w:abstractNumId w:val="9"/>
  </w:num>
  <w:num w:numId="3">
    <w:abstractNumId w:val="5"/>
  </w:num>
  <w:num w:numId="4">
    <w:abstractNumId w:val="40"/>
  </w:num>
  <w:num w:numId="5">
    <w:abstractNumId w:val="6"/>
  </w:num>
  <w:num w:numId="6">
    <w:abstractNumId w:val="38"/>
  </w:num>
  <w:num w:numId="7">
    <w:abstractNumId w:val="27"/>
  </w:num>
  <w:num w:numId="8">
    <w:abstractNumId w:val="7"/>
  </w:num>
  <w:num w:numId="9">
    <w:abstractNumId w:val="25"/>
  </w:num>
  <w:num w:numId="10">
    <w:abstractNumId w:val="17"/>
  </w:num>
  <w:num w:numId="11">
    <w:abstractNumId w:val="43"/>
  </w:num>
  <w:num w:numId="12">
    <w:abstractNumId w:val="12"/>
  </w:num>
  <w:num w:numId="13">
    <w:abstractNumId w:val="33"/>
  </w:num>
  <w:num w:numId="14">
    <w:abstractNumId w:val="24"/>
  </w:num>
  <w:num w:numId="15">
    <w:abstractNumId w:val="23"/>
  </w:num>
  <w:num w:numId="16">
    <w:abstractNumId w:val="20"/>
  </w:num>
  <w:num w:numId="17">
    <w:abstractNumId w:val="30"/>
  </w:num>
  <w:num w:numId="18">
    <w:abstractNumId w:val="2"/>
  </w:num>
  <w:num w:numId="19">
    <w:abstractNumId w:val="14"/>
  </w:num>
  <w:num w:numId="20">
    <w:abstractNumId w:val="41"/>
  </w:num>
  <w:num w:numId="21">
    <w:abstractNumId w:val="44"/>
  </w:num>
  <w:num w:numId="22">
    <w:abstractNumId w:val="16"/>
  </w:num>
  <w:num w:numId="23">
    <w:abstractNumId w:val="35"/>
  </w:num>
  <w:num w:numId="24">
    <w:abstractNumId w:val="42"/>
  </w:num>
  <w:num w:numId="25">
    <w:abstractNumId w:val="11"/>
  </w:num>
  <w:num w:numId="26">
    <w:abstractNumId w:val="21"/>
  </w:num>
  <w:num w:numId="27">
    <w:abstractNumId w:val="1"/>
  </w:num>
  <w:num w:numId="28">
    <w:abstractNumId w:val="0"/>
  </w:num>
  <w:num w:numId="29">
    <w:abstractNumId w:val="4"/>
  </w:num>
  <w:num w:numId="30">
    <w:abstractNumId w:val="34"/>
  </w:num>
  <w:num w:numId="31">
    <w:abstractNumId w:val="37"/>
  </w:num>
  <w:num w:numId="32">
    <w:abstractNumId w:val="3"/>
  </w:num>
  <w:num w:numId="33">
    <w:abstractNumId w:val="26"/>
  </w:num>
  <w:num w:numId="34">
    <w:abstractNumId w:val="36"/>
  </w:num>
  <w:num w:numId="35">
    <w:abstractNumId w:val="13"/>
  </w:num>
  <w:num w:numId="36">
    <w:abstractNumId w:val="22"/>
  </w:num>
  <w:num w:numId="37">
    <w:abstractNumId w:val="19"/>
  </w:num>
  <w:num w:numId="38">
    <w:abstractNumId w:val="8"/>
  </w:num>
  <w:num w:numId="39">
    <w:abstractNumId w:val="15"/>
  </w:num>
  <w:num w:numId="40">
    <w:abstractNumId w:val="28"/>
  </w:num>
  <w:num w:numId="41">
    <w:abstractNumId w:val="29"/>
  </w:num>
  <w:num w:numId="42">
    <w:abstractNumId w:val="31"/>
  </w:num>
  <w:num w:numId="43">
    <w:abstractNumId w:val="18"/>
  </w:num>
  <w:num w:numId="44">
    <w:abstractNumId w:val="10"/>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4AD"/>
    <w:rsid w:val="00007880"/>
    <w:rsid w:val="00007AC2"/>
    <w:rsid w:val="00007EEB"/>
    <w:rsid w:val="00010512"/>
    <w:rsid w:val="0001054F"/>
    <w:rsid w:val="00010969"/>
    <w:rsid w:val="00010A7B"/>
    <w:rsid w:val="00010AF9"/>
    <w:rsid w:val="00010D5E"/>
    <w:rsid w:val="00010F90"/>
    <w:rsid w:val="000114F8"/>
    <w:rsid w:val="00011890"/>
    <w:rsid w:val="000118E9"/>
    <w:rsid w:val="000118F7"/>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7D"/>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AEA"/>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58D6"/>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484"/>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792"/>
    <w:rsid w:val="000A5D96"/>
    <w:rsid w:val="000A61C7"/>
    <w:rsid w:val="000A624D"/>
    <w:rsid w:val="000A62EA"/>
    <w:rsid w:val="000A6303"/>
    <w:rsid w:val="000A654E"/>
    <w:rsid w:val="000A6CD9"/>
    <w:rsid w:val="000A777F"/>
    <w:rsid w:val="000A7A34"/>
    <w:rsid w:val="000B00E0"/>
    <w:rsid w:val="000B0383"/>
    <w:rsid w:val="000B0395"/>
    <w:rsid w:val="000B06CA"/>
    <w:rsid w:val="000B072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6D34"/>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B97"/>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4F6"/>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A62"/>
    <w:rsid w:val="00102ACE"/>
    <w:rsid w:val="00102C38"/>
    <w:rsid w:val="00103199"/>
    <w:rsid w:val="00103871"/>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8CE"/>
    <w:rsid w:val="00112C2B"/>
    <w:rsid w:val="00112E6C"/>
    <w:rsid w:val="00113195"/>
    <w:rsid w:val="00113610"/>
    <w:rsid w:val="00113731"/>
    <w:rsid w:val="00113749"/>
    <w:rsid w:val="0011377E"/>
    <w:rsid w:val="0011397A"/>
    <w:rsid w:val="00113FC5"/>
    <w:rsid w:val="0011409D"/>
    <w:rsid w:val="00114C04"/>
    <w:rsid w:val="00114D59"/>
    <w:rsid w:val="001151A8"/>
    <w:rsid w:val="001153F5"/>
    <w:rsid w:val="001154CD"/>
    <w:rsid w:val="001154E0"/>
    <w:rsid w:val="001157F5"/>
    <w:rsid w:val="0011584B"/>
    <w:rsid w:val="001166D4"/>
    <w:rsid w:val="00116B77"/>
    <w:rsid w:val="001174BB"/>
    <w:rsid w:val="0011795F"/>
    <w:rsid w:val="00117A4E"/>
    <w:rsid w:val="0012093B"/>
    <w:rsid w:val="00120B32"/>
    <w:rsid w:val="00120BE8"/>
    <w:rsid w:val="00120D94"/>
    <w:rsid w:val="00121167"/>
    <w:rsid w:val="00121729"/>
    <w:rsid w:val="001218EA"/>
    <w:rsid w:val="00121AF1"/>
    <w:rsid w:val="00121BC0"/>
    <w:rsid w:val="0012263D"/>
    <w:rsid w:val="001227B8"/>
    <w:rsid w:val="00122904"/>
    <w:rsid w:val="00122B56"/>
    <w:rsid w:val="00122EC0"/>
    <w:rsid w:val="00123244"/>
    <w:rsid w:val="00123496"/>
    <w:rsid w:val="0012379D"/>
    <w:rsid w:val="00123A54"/>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4BAC"/>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5E5A"/>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17D"/>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1E4"/>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6ED6"/>
    <w:rsid w:val="0021726F"/>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48AA"/>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DF0"/>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8C8"/>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159"/>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6ECF"/>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077"/>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5E5"/>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20F"/>
    <w:rsid w:val="002E037C"/>
    <w:rsid w:val="002E04D5"/>
    <w:rsid w:val="002E0C00"/>
    <w:rsid w:val="002E0D1B"/>
    <w:rsid w:val="002E0E44"/>
    <w:rsid w:val="002E13F9"/>
    <w:rsid w:val="002E15B2"/>
    <w:rsid w:val="002E1E31"/>
    <w:rsid w:val="002E2217"/>
    <w:rsid w:val="002E28EB"/>
    <w:rsid w:val="002E290F"/>
    <w:rsid w:val="002E29A7"/>
    <w:rsid w:val="002E2B6E"/>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298"/>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3C1"/>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38"/>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6D46"/>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E2"/>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3B3"/>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0BA0"/>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BEE"/>
    <w:rsid w:val="00392C29"/>
    <w:rsid w:val="00393A89"/>
    <w:rsid w:val="00393ADA"/>
    <w:rsid w:val="00394630"/>
    <w:rsid w:val="003956BA"/>
    <w:rsid w:val="003959B5"/>
    <w:rsid w:val="00395C29"/>
    <w:rsid w:val="00396876"/>
    <w:rsid w:val="003968EC"/>
    <w:rsid w:val="00396CDF"/>
    <w:rsid w:val="003972ED"/>
    <w:rsid w:val="003974C0"/>
    <w:rsid w:val="003977B8"/>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509"/>
    <w:rsid w:val="003B46E0"/>
    <w:rsid w:val="003B4856"/>
    <w:rsid w:val="003B4A18"/>
    <w:rsid w:val="003B5366"/>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0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0D0"/>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7F6"/>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4A2"/>
    <w:rsid w:val="00434701"/>
    <w:rsid w:val="00434B8E"/>
    <w:rsid w:val="00434C7C"/>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3F2C"/>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943"/>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CC2"/>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6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269"/>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D7B8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291"/>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4D4"/>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74D"/>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67C"/>
    <w:rsid w:val="005518F2"/>
    <w:rsid w:val="005519E2"/>
    <w:rsid w:val="005519F2"/>
    <w:rsid w:val="00551CD5"/>
    <w:rsid w:val="00552250"/>
    <w:rsid w:val="005523C8"/>
    <w:rsid w:val="00552585"/>
    <w:rsid w:val="005526CB"/>
    <w:rsid w:val="0055286D"/>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75"/>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6DF"/>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D7A55"/>
    <w:rsid w:val="005E0DD4"/>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472"/>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C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6E6"/>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4E32"/>
    <w:rsid w:val="0066524E"/>
    <w:rsid w:val="006656AC"/>
    <w:rsid w:val="006657FC"/>
    <w:rsid w:val="006659D8"/>
    <w:rsid w:val="006659E2"/>
    <w:rsid w:val="00665B3F"/>
    <w:rsid w:val="00665D3F"/>
    <w:rsid w:val="00665D87"/>
    <w:rsid w:val="00665DF1"/>
    <w:rsid w:val="00665F97"/>
    <w:rsid w:val="0066620E"/>
    <w:rsid w:val="00666220"/>
    <w:rsid w:val="006662F4"/>
    <w:rsid w:val="00666699"/>
    <w:rsid w:val="00667D2E"/>
    <w:rsid w:val="00667EA1"/>
    <w:rsid w:val="00670215"/>
    <w:rsid w:val="00670294"/>
    <w:rsid w:val="00670549"/>
    <w:rsid w:val="0067056F"/>
    <w:rsid w:val="006705D8"/>
    <w:rsid w:val="00670841"/>
    <w:rsid w:val="006708D6"/>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1CA"/>
    <w:rsid w:val="006C132D"/>
    <w:rsid w:val="006C164D"/>
    <w:rsid w:val="006C1C6C"/>
    <w:rsid w:val="006C220B"/>
    <w:rsid w:val="006C24A6"/>
    <w:rsid w:val="006C2627"/>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30"/>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78"/>
    <w:rsid w:val="006F3683"/>
    <w:rsid w:val="006F37D9"/>
    <w:rsid w:val="006F3B08"/>
    <w:rsid w:val="006F3F63"/>
    <w:rsid w:val="006F42ED"/>
    <w:rsid w:val="006F43AF"/>
    <w:rsid w:val="006F43EA"/>
    <w:rsid w:val="006F4C74"/>
    <w:rsid w:val="006F50C7"/>
    <w:rsid w:val="006F532D"/>
    <w:rsid w:val="006F558F"/>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ADB"/>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30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2E86"/>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6E6"/>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5E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9D"/>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5E86"/>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7CA"/>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CF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6D02"/>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5E36"/>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17E74"/>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134"/>
    <w:rsid w:val="00874B12"/>
    <w:rsid w:val="00874C1B"/>
    <w:rsid w:val="00874C80"/>
    <w:rsid w:val="00874F18"/>
    <w:rsid w:val="00874F8B"/>
    <w:rsid w:val="008750F3"/>
    <w:rsid w:val="00875538"/>
    <w:rsid w:val="008755E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CAC"/>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4F1C"/>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73C"/>
    <w:rsid w:val="008D3914"/>
    <w:rsid w:val="008D3D9C"/>
    <w:rsid w:val="008D45DD"/>
    <w:rsid w:val="008D501D"/>
    <w:rsid w:val="008D5323"/>
    <w:rsid w:val="008D5573"/>
    <w:rsid w:val="008D55AC"/>
    <w:rsid w:val="008D5810"/>
    <w:rsid w:val="008D5D0C"/>
    <w:rsid w:val="008D613E"/>
    <w:rsid w:val="008D6240"/>
    <w:rsid w:val="008D65C0"/>
    <w:rsid w:val="008D6C87"/>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3E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00"/>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39"/>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622"/>
    <w:rsid w:val="00940D42"/>
    <w:rsid w:val="00940F8E"/>
    <w:rsid w:val="009410F3"/>
    <w:rsid w:val="009415FE"/>
    <w:rsid w:val="0094171F"/>
    <w:rsid w:val="00941F12"/>
    <w:rsid w:val="009421AA"/>
    <w:rsid w:val="00942C74"/>
    <w:rsid w:val="00943011"/>
    <w:rsid w:val="00943075"/>
    <w:rsid w:val="0094326D"/>
    <w:rsid w:val="009432A0"/>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76E"/>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0DE"/>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673"/>
    <w:rsid w:val="00980A21"/>
    <w:rsid w:val="00980B92"/>
    <w:rsid w:val="0098163A"/>
    <w:rsid w:val="0098177D"/>
    <w:rsid w:val="009818DE"/>
    <w:rsid w:val="00981922"/>
    <w:rsid w:val="00981BE2"/>
    <w:rsid w:val="00982457"/>
    <w:rsid w:val="00982524"/>
    <w:rsid w:val="0098261F"/>
    <w:rsid w:val="00982784"/>
    <w:rsid w:val="00982A67"/>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1ED"/>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46E"/>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2D2"/>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1FAB"/>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6D82"/>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5BD"/>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4A3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5FAA"/>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8E7"/>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54F"/>
    <w:rsid w:val="00AE060C"/>
    <w:rsid w:val="00AE0C39"/>
    <w:rsid w:val="00AE0EF4"/>
    <w:rsid w:val="00AE0FD3"/>
    <w:rsid w:val="00AE17F6"/>
    <w:rsid w:val="00AE1944"/>
    <w:rsid w:val="00AE2483"/>
    <w:rsid w:val="00AE296B"/>
    <w:rsid w:val="00AE2AD8"/>
    <w:rsid w:val="00AE2CA0"/>
    <w:rsid w:val="00AE2FD2"/>
    <w:rsid w:val="00AE3232"/>
    <w:rsid w:val="00AE3408"/>
    <w:rsid w:val="00AE3521"/>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B2C"/>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75"/>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379"/>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12"/>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4B9"/>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0BE"/>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CFB"/>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0F"/>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47B"/>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DB2"/>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3F67"/>
    <w:rsid w:val="00C340FB"/>
    <w:rsid w:val="00C3426D"/>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588"/>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DA4"/>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CB0"/>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593"/>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A9A"/>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1F4"/>
    <w:rsid w:val="00D83208"/>
    <w:rsid w:val="00D837F3"/>
    <w:rsid w:val="00D83A6E"/>
    <w:rsid w:val="00D8432C"/>
    <w:rsid w:val="00D843F9"/>
    <w:rsid w:val="00D846BE"/>
    <w:rsid w:val="00D84979"/>
    <w:rsid w:val="00D84D15"/>
    <w:rsid w:val="00D851F4"/>
    <w:rsid w:val="00D85907"/>
    <w:rsid w:val="00D85BB3"/>
    <w:rsid w:val="00D85C67"/>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003"/>
    <w:rsid w:val="00D931FC"/>
    <w:rsid w:val="00D93255"/>
    <w:rsid w:val="00D93753"/>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499"/>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0F8"/>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30"/>
    <w:rsid w:val="00DB6E5F"/>
    <w:rsid w:val="00DB6FBD"/>
    <w:rsid w:val="00DB722E"/>
    <w:rsid w:val="00DB76A9"/>
    <w:rsid w:val="00DB77A9"/>
    <w:rsid w:val="00DB79AA"/>
    <w:rsid w:val="00DC03E8"/>
    <w:rsid w:val="00DC0483"/>
    <w:rsid w:val="00DC074A"/>
    <w:rsid w:val="00DC0837"/>
    <w:rsid w:val="00DC096A"/>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247"/>
    <w:rsid w:val="00DC4466"/>
    <w:rsid w:val="00DC4594"/>
    <w:rsid w:val="00DC46D3"/>
    <w:rsid w:val="00DC5439"/>
    <w:rsid w:val="00DC5794"/>
    <w:rsid w:val="00DC58D7"/>
    <w:rsid w:val="00DC592B"/>
    <w:rsid w:val="00DC5AB5"/>
    <w:rsid w:val="00DC5CA5"/>
    <w:rsid w:val="00DC5DB2"/>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315"/>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AA"/>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D48"/>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57DD0"/>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0F2"/>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42E"/>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0DFA"/>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9A0"/>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4A"/>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069"/>
    <w:rsid w:val="00EF7956"/>
    <w:rsid w:val="00EF7F60"/>
    <w:rsid w:val="00F00116"/>
    <w:rsid w:val="00F0034A"/>
    <w:rsid w:val="00F00669"/>
    <w:rsid w:val="00F00670"/>
    <w:rsid w:val="00F0069D"/>
    <w:rsid w:val="00F00A3A"/>
    <w:rsid w:val="00F00C08"/>
    <w:rsid w:val="00F0111D"/>
    <w:rsid w:val="00F014CF"/>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36C"/>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7F3"/>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8F3"/>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2E9"/>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4A0"/>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0FF7FC3"/>
    <w:rsid w:val="01120E66"/>
    <w:rsid w:val="0115454E"/>
    <w:rsid w:val="01242C11"/>
    <w:rsid w:val="012B0DF9"/>
    <w:rsid w:val="013B5510"/>
    <w:rsid w:val="013C4497"/>
    <w:rsid w:val="013D13C6"/>
    <w:rsid w:val="01422B07"/>
    <w:rsid w:val="0142740A"/>
    <w:rsid w:val="01462EFE"/>
    <w:rsid w:val="015E0BE9"/>
    <w:rsid w:val="016847E7"/>
    <w:rsid w:val="01726FEF"/>
    <w:rsid w:val="018F1416"/>
    <w:rsid w:val="01A25F0A"/>
    <w:rsid w:val="01AB094A"/>
    <w:rsid w:val="01AE21DC"/>
    <w:rsid w:val="01B306E4"/>
    <w:rsid w:val="01B37004"/>
    <w:rsid w:val="01C66A79"/>
    <w:rsid w:val="01CC40FE"/>
    <w:rsid w:val="01D27A5F"/>
    <w:rsid w:val="01D45D8F"/>
    <w:rsid w:val="01F37365"/>
    <w:rsid w:val="01F67C83"/>
    <w:rsid w:val="02004B2C"/>
    <w:rsid w:val="0201766A"/>
    <w:rsid w:val="02070284"/>
    <w:rsid w:val="02123F03"/>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106A5"/>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B54A0"/>
    <w:rsid w:val="03AE2B70"/>
    <w:rsid w:val="03C200B6"/>
    <w:rsid w:val="03D81924"/>
    <w:rsid w:val="03E9024B"/>
    <w:rsid w:val="03E925DE"/>
    <w:rsid w:val="03EE47FD"/>
    <w:rsid w:val="03EF321E"/>
    <w:rsid w:val="03F638B5"/>
    <w:rsid w:val="042B013C"/>
    <w:rsid w:val="042B188D"/>
    <w:rsid w:val="04314521"/>
    <w:rsid w:val="043A302C"/>
    <w:rsid w:val="043B4D0A"/>
    <w:rsid w:val="043F479D"/>
    <w:rsid w:val="04515159"/>
    <w:rsid w:val="04524601"/>
    <w:rsid w:val="045453B9"/>
    <w:rsid w:val="04694EAC"/>
    <w:rsid w:val="046A03D5"/>
    <w:rsid w:val="046C35A2"/>
    <w:rsid w:val="04747250"/>
    <w:rsid w:val="0492209E"/>
    <w:rsid w:val="04932CA3"/>
    <w:rsid w:val="049406C4"/>
    <w:rsid w:val="04A4005C"/>
    <w:rsid w:val="04B345F7"/>
    <w:rsid w:val="04BE7DD0"/>
    <w:rsid w:val="04C05AF4"/>
    <w:rsid w:val="04CB602F"/>
    <w:rsid w:val="04CD0148"/>
    <w:rsid w:val="04EB3650"/>
    <w:rsid w:val="050469BD"/>
    <w:rsid w:val="05056903"/>
    <w:rsid w:val="050D0125"/>
    <w:rsid w:val="05103D50"/>
    <w:rsid w:val="05210265"/>
    <w:rsid w:val="05215B76"/>
    <w:rsid w:val="0524626C"/>
    <w:rsid w:val="052B2B3D"/>
    <w:rsid w:val="054445DB"/>
    <w:rsid w:val="05481ED0"/>
    <w:rsid w:val="054A5E62"/>
    <w:rsid w:val="05562EFC"/>
    <w:rsid w:val="055A06C9"/>
    <w:rsid w:val="05644CA9"/>
    <w:rsid w:val="05684736"/>
    <w:rsid w:val="056B33A0"/>
    <w:rsid w:val="05702DF2"/>
    <w:rsid w:val="05733EFD"/>
    <w:rsid w:val="058A745F"/>
    <w:rsid w:val="058D2653"/>
    <w:rsid w:val="05907FF0"/>
    <w:rsid w:val="05930449"/>
    <w:rsid w:val="05A11E98"/>
    <w:rsid w:val="05A405C5"/>
    <w:rsid w:val="05A55FBC"/>
    <w:rsid w:val="05B41048"/>
    <w:rsid w:val="05B56F8C"/>
    <w:rsid w:val="05B71A11"/>
    <w:rsid w:val="05C06E8C"/>
    <w:rsid w:val="05CF1D27"/>
    <w:rsid w:val="05EA3121"/>
    <w:rsid w:val="05EB37CA"/>
    <w:rsid w:val="05EF39F0"/>
    <w:rsid w:val="05FD0636"/>
    <w:rsid w:val="0606270D"/>
    <w:rsid w:val="06065E86"/>
    <w:rsid w:val="06073C3A"/>
    <w:rsid w:val="06093003"/>
    <w:rsid w:val="060A73B9"/>
    <w:rsid w:val="060D79A1"/>
    <w:rsid w:val="060E00E0"/>
    <w:rsid w:val="06197729"/>
    <w:rsid w:val="06257099"/>
    <w:rsid w:val="062832F0"/>
    <w:rsid w:val="0632692A"/>
    <w:rsid w:val="064244D9"/>
    <w:rsid w:val="06511ACC"/>
    <w:rsid w:val="06564BA4"/>
    <w:rsid w:val="06615819"/>
    <w:rsid w:val="067751BD"/>
    <w:rsid w:val="068505A9"/>
    <w:rsid w:val="06965292"/>
    <w:rsid w:val="069B41B9"/>
    <w:rsid w:val="06A11B02"/>
    <w:rsid w:val="06B34C51"/>
    <w:rsid w:val="06BA6ABF"/>
    <w:rsid w:val="06C62058"/>
    <w:rsid w:val="06CF7159"/>
    <w:rsid w:val="06D13920"/>
    <w:rsid w:val="06D25A63"/>
    <w:rsid w:val="06D32D7E"/>
    <w:rsid w:val="06D97CB3"/>
    <w:rsid w:val="06E21138"/>
    <w:rsid w:val="06E64C63"/>
    <w:rsid w:val="06E808B3"/>
    <w:rsid w:val="06F24EF2"/>
    <w:rsid w:val="06F964F9"/>
    <w:rsid w:val="071720FD"/>
    <w:rsid w:val="072827D0"/>
    <w:rsid w:val="07357929"/>
    <w:rsid w:val="07375109"/>
    <w:rsid w:val="07391925"/>
    <w:rsid w:val="07454EC2"/>
    <w:rsid w:val="07466AA7"/>
    <w:rsid w:val="07470651"/>
    <w:rsid w:val="074F79E7"/>
    <w:rsid w:val="075815C4"/>
    <w:rsid w:val="075927EF"/>
    <w:rsid w:val="07934010"/>
    <w:rsid w:val="07973398"/>
    <w:rsid w:val="079D12CF"/>
    <w:rsid w:val="07A46BE4"/>
    <w:rsid w:val="07A5069A"/>
    <w:rsid w:val="07AE7932"/>
    <w:rsid w:val="07B01F49"/>
    <w:rsid w:val="07B814E5"/>
    <w:rsid w:val="07BB5010"/>
    <w:rsid w:val="07BF39D3"/>
    <w:rsid w:val="07CB438E"/>
    <w:rsid w:val="07D013A8"/>
    <w:rsid w:val="07D648D8"/>
    <w:rsid w:val="07E22A7A"/>
    <w:rsid w:val="07F32958"/>
    <w:rsid w:val="07F84DAF"/>
    <w:rsid w:val="07FD44E9"/>
    <w:rsid w:val="0805407D"/>
    <w:rsid w:val="08127126"/>
    <w:rsid w:val="08132E8B"/>
    <w:rsid w:val="081D706E"/>
    <w:rsid w:val="082B3EF9"/>
    <w:rsid w:val="084470AF"/>
    <w:rsid w:val="084E4524"/>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0241E"/>
    <w:rsid w:val="093A1D12"/>
    <w:rsid w:val="093A51B7"/>
    <w:rsid w:val="094B14E7"/>
    <w:rsid w:val="095017F1"/>
    <w:rsid w:val="095256C8"/>
    <w:rsid w:val="09664D4F"/>
    <w:rsid w:val="096F0CA8"/>
    <w:rsid w:val="0970282E"/>
    <w:rsid w:val="0974768F"/>
    <w:rsid w:val="09867F2E"/>
    <w:rsid w:val="09951C1E"/>
    <w:rsid w:val="09A530BF"/>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934843"/>
    <w:rsid w:val="0A980D85"/>
    <w:rsid w:val="0A9E4A8D"/>
    <w:rsid w:val="0A9F2012"/>
    <w:rsid w:val="0AAA6D9C"/>
    <w:rsid w:val="0AB15DD5"/>
    <w:rsid w:val="0AB53627"/>
    <w:rsid w:val="0AB6376C"/>
    <w:rsid w:val="0ABA47A2"/>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A46902"/>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9D0D63"/>
    <w:rsid w:val="0DA10A04"/>
    <w:rsid w:val="0DBC1A7E"/>
    <w:rsid w:val="0DD74FA9"/>
    <w:rsid w:val="0DF13B47"/>
    <w:rsid w:val="0DF73715"/>
    <w:rsid w:val="0E0A5187"/>
    <w:rsid w:val="0E1526B7"/>
    <w:rsid w:val="0E2B6B1A"/>
    <w:rsid w:val="0E332166"/>
    <w:rsid w:val="0E3917FF"/>
    <w:rsid w:val="0E466A24"/>
    <w:rsid w:val="0E613656"/>
    <w:rsid w:val="0E72787E"/>
    <w:rsid w:val="0E7E5797"/>
    <w:rsid w:val="0E86024B"/>
    <w:rsid w:val="0E874B54"/>
    <w:rsid w:val="0E983A75"/>
    <w:rsid w:val="0E9F5739"/>
    <w:rsid w:val="0EBF3583"/>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859BA"/>
    <w:rsid w:val="0FAC2C6D"/>
    <w:rsid w:val="0FB70395"/>
    <w:rsid w:val="0FBA4112"/>
    <w:rsid w:val="0FBB10D0"/>
    <w:rsid w:val="0FCE429E"/>
    <w:rsid w:val="0FCE4560"/>
    <w:rsid w:val="0FDA6A10"/>
    <w:rsid w:val="0FE32CA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470FE"/>
    <w:rsid w:val="10EE1A70"/>
    <w:rsid w:val="10EF5ED1"/>
    <w:rsid w:val="10F01DC4"/>
    <w:rsid w:val="10F31127"/>
    <w:rsid w:val="1110038B"/>
    <w:rsid w:val="11164934"/>
    <w:rsid w:val="111F2BA3"/>
    <w:rsid w:val="112A5200"/>
    <w:rsid w:val="112B7604"/>
    <w:rsid w:val="11306888"/>
    <w:rsid w:val="1168799E"/>
    <w:rsid w:val="118B5FDD"/>
    <w:rsid w:val="118E6A58"/>
    <w:rsid w:val="119F62C4"/>
    <w:rsid w:val="11A10C39"/>
    <w:rsid w:val="11A64DBC"/>
    <w:rsid w:val="11AD308B"/>
    <w:rsid w:val="11AF324A"/>
    <w:rsid w:val="11B31B1D"/>
    <w:rsid w:val="11B814E6"/>
    <w:rsid w:val="11C557B7"/>
    <w:rsid w:val="11CD5672"/>
    <w:rsid w:val="11DF775E"/>
    <w:rsid w:val="11F0059E"/>
    <w:rsid w:val="11F472CE"/>
    <w:rsid w:val="1228310E"/>
    <w:rsid w:val="122D60C8"/>
    <w:rsid w:val="12313D6F"/>
    <w:rsid w:val="12325B1D"/>
    <w:rsid w:val="123D5C3C"/>
    <w:rsid w:val="1244691E"/>
    <w:rsid w:val="1251591B"/>
    <w:rsid w:val="125E79EE"/>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73332"/>
    <w:rsid w:val="13596CEC"/>
    <w:rsid w:val="135C3AB9"/>
    <w:rsid w:val="135D5FC2"/>
    <w:rsid w:val="136B08B3"/>
    <w:rsid w:val="136C32A5"/>
    <w:rsid w:val="13793DCD"/>
    <w:rsid w:val="137A40BD"/>
    <w:rsid w:val="13880AE6"/>
    <w:rsid w:val="138F4ADA"/>
    <w:rsid w:val="13910B1E"/>
    <w:rsid w:val="13A94EA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AA70AC"/>
    <w:rsid w:val="14B0700C"/>
    <w:rsid w:val="14B1295E"/>
    <w:rsid w:val="14C02505"/>
    <w:rsid w:val="14C15298"/>
    <w:rsid w:val="14C34089"/>
    <w:rsid w:val="14CB4D49"/>
    <w:rsid w:val="14D35BD9"/>
    <w:rsid w:val="14DB208C"/>
    <w:rsid w:val="14DB33FC"/>
    <w:rsid w:val="14DE0AFC"/>
    <w:rsid w:val="14E7787F"/>
    <w:rsid w:val="14F44F2E"/>
    <w:rsid w:val="1516108C"/>
    <w:rsid w:val="15416178"/>
    <w:rsid w:val="1561603B"/>
    <w:rsid w:val="156326FF"/>
    <w:rsid w:val="15663C95"/>
    <w:rsid w:val="156852FA"/>
    <w:rsid w:val="15690DB0"/>
    <w:rsid w:val="157E6456"/>
    <w:rsid w:val="158F48E5"/>
    <w:rsid w:val="15993C90"/>
    <w:rsid w:val="15A53A73"/>
    <w:rsid w:val="15BF4E2C"/>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9D730C"/>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0B22A1"/>
    <w:rsid w:val="18117661"/>
    <w:rsid w:val="18414CA2"/>
    <w:rsid w:val="18523ADE"/>
    <w:rsid w:val="18582B11"/>
    <w:rsid w:val="18660CD4"/>
    <w:rsid w:val="1866694B"/>
    <w:rsid w:val="186C1ACE"/>
    <w:rsid w:val="186D267B"/>
    <w:rsid w:val="18805C5D"/>
    <w:rsid w:val="18890477"/>
    <w:rsid w:val="188C5B30"/>
    <w:rsid w:val="188C6C7D"/>
    <w:rsid w:val="18960812"/>
    <w:rsid w:val="189C7EF6"/>
    <w:rsid w:val="18B04B4D"/>
    <w:rsid w:val="18B7673D"/>
    <w:rsid w:val="18C5316D"/>
    <w:rsid w:val="18D25938"/>
    <w:rsid w:val="18DC3204"/>
    <w:rsid w:val="18E87E12"/>
    <w:rsid w:val="18F5052C"/>
    <w:rsid w:val="1900791E"/>
    <w:rsid w:val="191D14D9"/>
    <w:rsid w:val="191E3FF2"/>
    <w:rsid w:val="193A76A7"/>
    <w:rsid w:val="19645737"/>
    <w:rsid w:val="19693EEF"/>
    <w:rsid w:val="196B5F41"/>
    <w:rsid w:val="197A0C1F"/>
    <w:rsid w:val="197F6AA9"/>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474D8"/>
    <w:rsid w:val="1C8A23DA"/>
    <w:rsid w:val="1C8F2DA3"/>
    <w:rsid w:val="1CA11007"/>
    <w:rsid w:val="1CB45DCE"/>
    <w:rsid w:val="1CB701AA"/>
    <w:rsid w:val="1CC5776E"/>
    <w:rsid w:val="1CCA0F66"/>
    <w:rsid w:val="1CD67360"/>
    <w:rsid w:val="1CDB5591"/>
    <w:rsid w:val="1CDE446D"/>
    <w:rsid w:val="1CE20210"/>
    <w:rsid w:val="1CE55FB2"/>
    <w:rsid w:val="1CF609A3"/>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1030EF"/>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CE7C5E"/>
    <w:rsid w:val="1EDC2551"/>
    <w:rsid w:val="1EEA4C23"/>
    <w:rsid w:val="1EEE084B"/>
    <w:rsid w:val="1EF23920"/>
    <w:rsid w:val="1EF80396"/>
    <w:rsid w:val="1F032AB6"/>
    <w:rsid w:val="1F1C29EF"/>
    <w:rsid w:val="1F234826"/>
    <w:rsid w:val="1F31645A"/>
    <w:rsid w:val="1F4773C4"/>
    <w:rsid w:val="1F517BAC"/>
    <w:rsid w:val="1F5E0D38"/>
    <w:rsid w:val="1F5F4414"/>
    <w:rsid w:val="1F637F58"/>
    <w:rsid w:val="1F7B236F"/>
    <w:rsid w:val="1F7B42D9"/>
    <w:rsid w:val="1F826970"/>
    <w:rsid w:val="1F972A67"/>
    <w:rsid w:val="1FA317AB"/>
    <w:rsid w:val="1FA415FD"/>
    <w:rsid w:val="1FA60478"/>
    <w:rsid w:val="1FA9286D"/>
    <w:rsid w:val="1FAF4D5A"/>
    <w:rsid w:val="1FB66D49"/>
    <w:rsid w:val="1FC62D50"/>
    <w:rsid w:val="1FC72100"/>
    <w:rsid w:val="1FCB673D"/>
    <w:rsid w:val="1FD14CA3"/>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916684"/>
    <w:rsid w:val="20A13861"/>
    <w:rsid w:val="20BA708B"/>
    <w:rsid w:val="20BB0C31"/>
    <w:rsid w:val="20C56D5C"/>
    <w:rsid w:val="20C66D8E"/>
    <w:rsid w:val="20CF37FC"/>
    <w:rsid w:val="20D717F3"/>
    <w:rsid w:val="20E02D05"/>
    <w:rsid w:val="20E713C3"/>
    <w:rsid w:val="20F01565"/>
    <w:rsid w:val="20F12135"/>
    <w:rsid w:val="20F90AAC"/>
    <w:rsid w:val="20FA405B"/>
    <w:rsid w:val="210112AE"/>
    <w:rsid w:val="21046ED6"/>
    <w:rsid w:val="212B616E"/>
    <w:rsid w:val="213121BA"/>
    <w:rsid w:val="213E7EA2"/>
    <w:rsid w:val="214A2960"/>
    <w:rsid w:val="214E6349"/>
    <w:rsid w:val="215302B9"/>
    <w:rsid w:val="215670DE"/>
    <w:rsid w:val="215D6F1E"/>
    <w:rsid w:val="216C0EF5"/>
    <w:rsid w:val="2183462B"/>
    <w:rsid w:val="218E4A09"/>
    <w:rsid w:val="218E6399"/>
    <w:rsid w:val="219C6DDD"/>
    <w:rsid w:val="21B668C4"/>
    <w:rsid w:val="21DF3292"/>
    <w:rsid w:val="21DF71DE"/>
    <w:rsid w:val="21EC5DB7"/>
    <w:rsid w:val="21F04960"/>
    <w:rsid w:val="22111157"/>
    <w:rsid w:val="2229623B"/>
    <w:rsid w:val="22333EAB"/>
    <w:rsid w:val="22477192"/>
    <w:rsid w:val="224C2951"/>
    <w:rsid w:val="22521979"/>
    <w:rsid w:val="226C124A"/>
    <w:rsid w:val="227A54E3"/>
    <w:rsid w:val="227E23A5"/>
    <w:rsid w:val="22865CFC"/>
    <w:rsid w:val="22A15693"/>
    <w:rsid w:val="22BD3256"/>
    <w:rsid w:val="22BD4E7D"/>
    <w:rsid w:val="22C44C76"/>
    <w:rsid w:val="22CC3498"/>
    <w:rsid w:val="22D07449"/>
    <w:rsid w:val="22DD0D58"/>
    <w:rsid w:val="22E40F3D"/>
    <w:rsid w:val="22F66168"/>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DD0735"/>
    <w:rsid w:val="23E14E6C"/>
    <w:rsid w:val="23F12B0F"/>
    <w:rsid w:val="23F61F1B"/>
    <w:rsid w:val="23FA1D01"/>
    <w:rsid w:val="2404601A"/>
    <w:rsid w:val="240C7F46"/>
    <w:rsid w:val="2424465B"/>
    <w:rsid w:val="24351B4F"/>
    <w:rsid w:val="243647BB"/>
    <w:rsid w:val="243B244C"/>
    <w:rsid w:val="244E2D30"/>
    <w:rsid w:val="24501237"/>
    <w:rsid w:val="24576A62"/>
    <w:rsid w:val="245E385D"/>
    <w:rsid w:val="246E76BE"/>
    <w:rsid w:val="24762507"/>
    <w:rsid w:val="2477127B"/>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9A4A90"/>
    <w:rsid w:val="25A34065"/>
    <w:rsid w:val="25B35E6A"/>
    <w:rsid w:val="25BB0481"/>
    <w:rsid w:val="25BE6749"/>
    <w:rsid w:val="25C21832"/>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36BEB"/>
    <w:rsid w:val="2679079E"/>
    <w:rsid w:val="26805F58"/>
    <w:rsid w:val="268120E0"/>
    <w:rsid w:val="26853C59"/>
    <w:rsid w:val="268B4EFD"/>
    <w:rsid w:val="268E721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A4F22"/>
    <w:rsid w:val="27BB509A"/>
    <w:rsid w:val="27BF0D59"/>
    <w:rsid w:val="27CB335B"/>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018DF"/>
    <w:rsid w:val="28316877"/>
    <w:rsid w:val="28351459"/>
    <w:rsid w:val="283F2A39"/>
    <w:rsid w:val="28630E79"/>
    <w:rsid w:val="28660101"/>
    <w:rsid w:val="286B3F00"/>
    <w:rsid w:val="286E6DB7"/>
    <w:rsid w:val="28852FC8"/>
    <w:rsid w:val="288F386F"/>
    <w:rsid w:val="289B0856"/>
    <w:rsid w:val="289E6725"/>
    <w:rsid w:val="28B06FF1"/>
    <w:rsid w:val="28C0611A"/>
    <w:rsid w:val="28CC5191"/>
    <w:rsid w:val="28E2641E"/>
    <w:rsid w:val="28FE4168"/>
    <w:rsid w:val="29027AB4"/>
    <w:rsid w:val="29057EC1"/>
    <w:rsid w:val="290A50F0"/>
    <w:rsid w:val="290E28AF"/>
    <w:rsid w:val="290E2F09"/>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CF4149D"/>
    <w:rsid w:val="2D0842B4"/>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DFF5C06"/>
    <w:rsid w:val="2E0177B9"/>
    <w:rsid w:val="2E034F95"/>
    <w:rsid w:val="2E090F9F"/>
    <w:rsid w:val="2E0F53F1"/>
    <w:rsid w:val="2E1D2BF2"/>
    <w:rsid w:val="2E2336D4"/>
    <w:rsid w:val="2E285625"/>
    <w:rsid w:val="2E3B2A47"/>
    <w:rsid w:val="2E6003A4"/>
    <w:rsid w:val="2E69729D"/>
    <w:rsid w:val="2E6A2F38"/>
    <w:rsid w:val="2E7C6BFF"/>
    <w:rsid w:val="2E801F1F"/>
    <w:rsid w:val="2E8543E2"/>
    <w:rsid w:val="2E8C35B6"/>
    <w:rsid w:val="2E9045E4"/>
    <w:rsid w:val="2E9B575E"/>
    <w:rsid w:val="2EB50951"/>
    <w:rsid w:val="2EB673FD"/>
    <w:rsid w:val="2EB809B1"/>
    <w:rsid w:val="2EB81831"/>
    <w:rsid w:val="2EC1058E"/>
    <w:rsid w:val="2EC46055"/>
    <w:rsid w:val="2EC51D18"/>
    <w:rsid w:val="2ECF7A85"/>
    <w:rsid w:val="2ED14C03"/>
    <w:rsid w:val="2EE054B3"/>
    <w:rsid w:val="2EEB0155"/>
    <w:rsid w:val="2EF0405E"/>
    <w:rsid w:val="2EFA0186"/>
    <w:rsid w:val="2F0236C3"/>
    <w:rsid w:val="2F024885"/>
    <w:rsid w:val="2F082BB8"/>
    <w:rsid w:val="2F0A286A"/>
    <w:rsid w:val="2F0F048D"/>
    <w:rsid w:val="2F140F9B"/>
    <w:rsid w:val="2F2B5ABF"/>
    <w:rsid w:val="2F2E604D"/>
    <w:rsid w:val="2F417886"/>
    <w:rsid w:val="2F4B1A86"/>
    <w:rsid w:val="2F4D23F5"/>
    <w:rsid w:val="2F4D7B9D"/>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A4C95"/>
    <w:rsid w:val="307F14D6"/>
    <w:rsid w:val="3084357D"/>
    <w:rsid w:val="308640A9"/>
    <w:rsid w:val="30896C6B"/>
    <w:rsid w:val="30C4668F"/>
    <w:rsid w:val="30D01D79"/>
    <w:rsid w:val="30D0377D"/>
    <w:rsid w:val="30D1717F"/>
    <w:rsid w:val="30D2261F"/>
    <w:rsid w:val="30D5794A"/>
    <w:rsid w:val="30DE0226"/>
    <w:rsid w:val="30F50A2A"/>
    <w:rsid w:val="31007D5E"/>
    <w:rsid w:val="31017AB6"/>
    <w:rsid w:val="310A26A6"/>
    <w:rsid w:val="31115223"/>
    <w:rsid w:val="311165E3"/>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CD20C4"/>
    <w:rsid w:val="31D81EA9"/>
    <w:rsid w:val="31E65427"/>
    <w:rsid w:val="31EF3EC7"/>
    <w:rsid w:val="31F33BFC"/>
    <w:rsid w:val="31F43BF9"/>
    <w:rsid w:val="31F96A5C"/>
    <w:rsid w:val="31FB63BA"/>
    <w:rsid w:val="31FE3F69"/>
    <w:rsid w:val="32000C25"/>
    <w:rsid w:val="32006ED8"/>
    <w:rsid w:val="32057053"/>
    <w:rsid w:val="320733C3"/>
    <w:rsid w:val="321C18F4"/>
    <w:rsid w:val="321C2B52"/>
    <w:rsid w:val="321F61EC"/>
    <w:rsid w:val="323036BA"/>
    <w:rsid w:val="323977DC"/>
    <w:rsid w:val="323E46BF"/>
    <w:rsid w:val="324F04DB"/>
    <w:rsid w:val="32503DFA"/>
    <w:rsid w:val="325F0F6C"/>
    <w:rsid w:val="32702FC0"/>
    <w:rsid w:val="327144B7"/>
    <w:rsid w:val="32756A00"/>
    <w:rsid w:val="327A53F7"/>
    <w:rsid w:val="32914AD9"/>
    <w:rsid w:val="32927883"/>
    <w:rsid w:val="32CA65F9"/>
    <w:rsid w:val="32D942C8"/>
    <w:rsid w:val="33054854"/>
    <w:rsid w:val="33064DC6"/>
    <w:rsid w:val="330A16FB"/>
    <w:rsid w:val="33141FF7"/>
    <w:rsid w:val="331B0364"/>
    <w:rsid w:val="332D7BFC"/>
    <w:rsid w:val="333B776E"/>
    <w:rsid w:val="333E0092"/>
    <w:rsid w:val="33482976"/>
    <w:rsid w:val="33506C9F"/>
    <w:rsid w:val="335975FF"/>
    <w:rsid w:val="33650728"/>
    <w:rsid w:val="33751E52"/>
    <w:rsid w:val="33775E05"/>
    <w:rsid w:val="338574F9"/>
    <w:rsid w:val="339313B6"/>
    <w:rsid w:val="33A078AB"/>
    <w:rsid w:val="33A222F8"/>
    <w:rsid w:val="33B145B5"/>
    <w:rsid w:val="33B25B92"/>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CD25D4"/>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9871A4"/>
    <w:rsid w:val="37A77413"/>
    <w:rsid w:val="37A950E0"/>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A9519D"/>
    <w:rsid w:val="38B20894"/>
    <w:rsid w:val="38C16934"/>
    <w:rsid w:val="38C2712E"/>
    <w:rsid w:val="38C2768F"/>
    <w:rsid w:val="38CD62A3"/>
    <w:rsid w:val="38D06672"/>
    <w:rsid w:val="38D3118B"/>
    <w:rsid w:val="38D75A4F"/>
    <w:rsid w:val="38E23DE0"/>
    <w:rsid w:val="38E37461"/>
    <w:rsid w:val="38F13E14"/>
    <w:rsid w:val="38F418EC"/>
    <w:rsid w:val="39105A0A"/>
    <w:rsid w:val="39140A3F"/>
    <w:rsid w:val="391B76F1"/>
    <w:rsid w:val="391E2CD2"/>
    <w:rsid w:val="392245B5"/>
    <w:rsid w:val="39235BBC"/>
    <w:rsid w:val="39301935"/>
    <w:rsid w:val="39386A66"/>
    <w:rsid w:val="393D721A"/>
    <w:rsid w:val="393F0F59"/>
    <w:rsid w:val="39484B19"/>
    <w:rsid w:val="394A6B61"/>
    <w:rsid w:val="394F360B"/>
    <w:rsid w:val="39546622"/>
    <w:rsid w:val="39825EF1"/>
    <w:rsid w:val="398636A1"/>
    <w:rsid w:val="39897949"/>
    <w:rsid w:val="398D1EFD"/>
    <w:rsid w:val="398D7945"/>
    <w:rsid w:val="399C258A"/>
    <w:rsid w:val="399D7118"/>
    <w:rsid w:val="39BC5220"/>
    <w:rsid w:val="39C25E79"/>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268FE"/>
    <w:rsid w:val="3A337B0E"/>
    <w:rsid w:val="3A3871E3"/>
    <w:rsid w:val="3A3C3C45"/>
    <w:rsid w:val="3A441C1E"/>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56BB3"/>
    <w:rsid w:val="3B362C4D"/>
    <w:rsid w:val="3B3A6522"/>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3C4AC3"/>
    <w:rsid w:val="3C433E3D"/>
    <w:rsid w:val="3C4D127E"/>
    <w:rsid w:val="3C5A7EF6"/>
    <w:rsid w:val="3C5D6212"/>
    <w:rsid w:val="3C710B39"/>
    <w:rsid w:val="3C784842"/>
    <w:rsid w:val="3C804923"/>
    <w:rsid w:val="3C9A21AA"/>
    <w:rsid w:val="3C9C31C0"/>
    <w:rsid w:val="3C9D3765"/>
    <w:rsid w:val="3C9E0FAA"/>
    <w:rsid w:val="3CA30947"/>
    <w:rsid w:val="3CB85542"/>
    <w:rsid w:val="3CC000F8"/>
    <w:rsid w:val="3CC236C3"/>
    <w:rsid w:val="3CC579C5"/>
    <w:rsid w:val="3CDF2CAC"/>
    <w:rsid w:val="3CDF3D10"/>
    <w:rsid w:val="3CF95A7E"/>
    <w:rsid w:val="3D0154CA"/>
    <w:rsid w:val="3D0850F4"/>
    <w:rsid w:val="3D256A71"/>
    <w:rsid w:val="3D277613"/>
    <w:rsid w:val="3D2F2FAD"/>
    <w:rsid w:val="3D357B71"/>
    <w:rsid w:val="3D3765A0"/>
    <w:rsid w:val="3D3C5369"/>
    <w:rsid w:val="3D4F2201"/>
    <w:rsid w:val="3D61263F"/>
    <w:rsid w:val="3D66205D"/>
    <w:rsid w:val="3D6C68DD"/>
    <w:rsid w:val="3D6D5EA9"/>
    <w:rsid w:val="3D7004A1"/>
    <w:rsid w:val="3D7849C8"/>
    <w:rsid w:val="3D993FBA"/>
    <w:rsid w:val="3DA54021"/>
    <w:rsid w:val="3DBE2C75"/>
    <w:rsid w:val="3DC0045B"/>
    <w:rsid w:val="3DC60482"/>
    <w:rsid w:val="3DD171A7"/>
    <w:rsid w:val="3DD57260"/>
    <w:rsid w:val="3DD812CB"/>
    <w:rsid w:val="3DD863B3"/>
    <w:rsid w:val="3DDC1724"/>
    <w:rsid w:val="3DE22F03"/>
    <w:rsid w:val="3DEC1B94"/>
    <w:rsid w:val="3DEC75BC"/>
    <w:rsid w:val="3E010132"/>
    <w:rsid w:val="3E127B19"/>
    <w:rsid w:val="3E2653DC"/>
    <w:rsid w:val="3E2B50D7"/>
    <w:rsid w:val="3E2C0C21"/>
    <w:rsid w:val="3E30057D"/>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EFD196A"/>
    <w:rsid w:val="3F0401F1"/>
    <w:rsid w:val="3F0A785F"/>
    <w:rsid w:val="3F286186"/>
    <w:rsid w:val="3F2C1065"/>
    <w:rsid w:val="3F2F6BD0"/>
    <w:rsid w:val="3F3330FC"/>
    <w:rsid w:val="3F3401DF"/>
    <w:rsid w:val="3F397D57"/>
    <w:rsid w:val="3F446058"/>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EF0334"/>
    <w:rsid w:val="3FF019F4"/>
    <w:rsid w:val="3FF35E75"/>
    <w:rsid w:val="3FFB2707"/>
    <w:rsid w:val="3FFC13F7"/>
    <w:rsid w:val="400308B2"/>
    <w:rsid w:val="400479C3"/>
    <w:rsid w:val="40154FCA"/>
    <w:rsid w:val="403D550C"/>
    <w:rsid w:val="40404B79"/>
    <w:rsid w:val="404358BE"/>
    <w:rsid w:val="407335A4"/>
    <w:rsid w:val="40797278"/>
    <w:rsid w:val="4088490B"/>
    <w:rsid w:val="408E3720"/>
    <w:rsid w:val="40912007"/>
    <w:rsid w:val="409B357D"/>
    <w:rsid w:val="409F5F96"/>
    <w:rsid w:val="40B43BF9"/>
    <w:rsid w:val="40BA305B"/>
    <w:rsid w:val="40BC2DF7"/>
    <w:rsid w:val="40BD3421"/>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962B4"/>
    <w:rsid w:val="417C4EC1"/>
    <w:rsid w:val="41904377"/>
    <w:rsid w:val="419101A7"/>
    <w:rsid w:val="419C5D7F"/>
    <w:rsid w:val="41A213BA"/>
    <w:rsid w:val="41A664B7"/>
    <w:rsid w:val="41B601E7"/>
    <w:rsid w:val="41CF3C25"/>
    <w:rsid w:val="41D03EC6"/>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909BB"/>
    <w:rsid w:val="429B6E22"/>
    <w:rsid w:val="429C6B61"/>
    <w:rsid w:val="42B34A1F"/>
    <w:rsid w:val="42BF4C55"/>
    <w:rsid w:val="42C11913"/>
    <w:rsid w:val="42C845D8"/>
    <w:rsid w:val="42E42365"/>
    <w:rsid w:val="42E669E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597BEE"/>
    <w:rsid w:val="445A7AF0"/>
    <w:rsid w:val="447A4753"/>
    <w:rsid w:val="449E3321"/>
    <w:rsid w:val="44A70E24"/>
    <w:rsid w:val="44CD060C"/>
    <w:rsid w:val="44DD300E"/>
    <w:rsid w:val="44E2656D"/>
    <w:rsid w:val="44F11452"/>
    <w:rsid w:val="44F462AF"/>
    <w:rsid w:val="44FD319F"/>
    <w:rsid w:val="44FF451E"/>
    <w:rsid w:val="45177BA4"/>
    <w:rsid w:val="451C551F"/>
    <w:rsid w:val="451F3CCA"/>
    <w:rsid w:val="45316BB2"/>
    <w:rsid w:val="45341196"/>
    <w:rsid w:val="45354367"/>
    <w:rsid w:val="45493A4F"/>
    <w:rsid w:val="454E4188"/>
    <w:rsid w:val="45553167"/>
    <w:rsid w:val="45727755"/>
    <w:rsid w:val="45965757"/>
    <w:rsid w:val="459D5C9D"/>
    <w:rsid w:val="45B80268"/>
    <w:rsid w:val="45B91715"/>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3107E"/>
    <w:rsid w:val="46A82666"/>
    <w:rsid w:val="46AE42ED"/>
    <w:rsid w:val="46C861BE"/>
    <w:rsid w:val="46CE17A4"/>
    <w:rsid w:val="46D354BF"/>
    <w:rsid w:val="46D81406"/>
    <w:rsid w:val="46F319CE"/>
    <w:rsid w:val="46F83072"/>
    <w:rsid w:val="46F85E73"/>
    <w:rsid w:val="47022C42"/>
    <w:rsid w:val="47050296"/>
    <w:rsid w:val="47085220"/>
    <w:rsid w:val="470A5361"/>
    <w:rsid w:val="4713342D"/>
    <w:rsid w:val="47134EC8"/>
    <w:rsid w:val="471866FB"/>
    <w:rsid w:val="471D14E6"/>
    <w:rsid w:val="472022E1"/>
    <w:rsid w:val="472406DF"/>
    <w:rsid w:val="472D3683"/>
    <w:rsid w:val="473304F0"/>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627AD"/>
    <w:rsid w:val="47FE039B"/>
    <w:rsid w:val="480F1001"/>
    <w:rsid w:val="481D74A2"/>
    <w:rsid w:val="48334280"/>
    <w:rsid w:val="48367DA4"/>
    <w:rsid w:val="48386782"/>
    <w:rsid w:val="4839372F"/>
    <w:rsid w:val="48406A1E"/>
    <w:rsid w:val="48437C0E"/>
    <w:rsid w:val="48455013"/>
    <w:rsid w:val="484726A4"/>
    <w:rsid w:val="484B7369"/>
    <w:rsid w:val="486401D4"/>
    <w:rsid w:val="486A685A"/>
    <w:rsid w:val="487274B4"/>
    <w:rsid w:val="487F714C"/>
    <w:rsid w:val="48811612"/>
    <w:rsid w:val="488818E0"/>
    <w:rsid w:val="48A373A1"/>
    <w:rsid w:val="48AB74B1"/>
    <w:rsid w:val="48E06989"/>
    <w:rsid w:val="48E2763C"/>
    <w:rsid w:val="48E92C88"/>
    <w:rsid w:val="48EB1D85"/>
    <w:rsid w:val="48FD6728"/>
    <w:rsid w:val="49230652"/>
    <w:rsid w:val="49270F63"/>
    <w:rsid w:val="493E6DB4"/>
    <w:rsid w:val="494C141C"/>
    <w:rsid w:val="49513997"/>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4E3578"/>
    <w:rsid w:val="4A664EF8"/>
    <w:rsid w:val="4A863FBD"/>
    <w:rsid w:val="4A892CB4"/>
    <w:rsid w:val="4AA1777F"/>
    <w:rsid w:val="4AA927DF"/>
    <w:rsid w:val="4AB450E7"/>
    <w:rsid w:val="4ABD2CBE"/>
    <w:rsid w:val="4AC96623"/>
    <w:rsid w:val="4ACA49FA"/>
    <w:rsid w:val="4ACC15C6"/>
    <w:rsid w:val="4ACC17F6"/>
    <w:rsid w:val="4AE8469B"/>
    <w:rsid w:val="4AED30D2"/>
    <w:rsid w:val="4AF05435"/>
    <w:rsid w:val="4AFE1C1B"/>
    <w:rsid w:val="4B1D5F6A"/>
    <w:rsid w:val="4B237164"/>
    <w:rsid w:val="4B251EBF"/>
    <w:rsid w:val="4B503DE9"/>
    <w:rsid w:val="4B592E57"/>
    <w:rsid w:val="4B731311"/>
    <w:rsid w:val="4B8E4FF7"/>
    <w:rsid w:val="4B9A2375"/>
    <w:rsid w:val="4B9B047E"/>
    <w:rsid w:val="4BAD17E4"/>
    <w:rsid w:val="4BC42741"/>
    <w:rsid w:val="4BD37E23"/>
    <w:rsid w:val="4C0D0455"/>
    <w:rsid w:val="4C15406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10CF5"/>
    <w:rsid w:val="4D486759"/>
    <w:rsid w:val="4D566C49"/>
    <w:rsid w:val="4D6037A5"/>
    <w:rsid w:val="4D743AA4"/>
    <w:rsid w:val="4D834946"/>
    <w:rsid w:val="4D993267"/>
    <w:rsid w:val="4DA1355F"/>
    <w:rsid w:val="4DA5326F"/>
    <w:rsid w:val="4DA537BB"/>
    <w:rsid w:val="4DA53A8B"/>
    <w:rsid w:val="4DA62BFC"/>
    <w:rsid w:val="4DB7505C"/>
    <w:rsid w:val="4DBB336E"/>
    <w:rsid w:val="4DBE6815"/>
    <w:rsid w:val="4DC15F36"/>
    <w:rsid w:val="4DC9591F"/>
    <w:rsid w:val="4DCC2B7D"/>
    <w:rsid w:val="4DE554F7"/>
    <w:rsid w:val="4DF30DF0"/>
    <w:rsid w:val="4DF67531"/>
    <w:rsid w:val="4DF9062B"/>
    <w:rsid w:val="4E014EF8"/>
    <w:rsid w:val="4E04335E"/>
    <w:rsid w:val="4E066E93"/>
    <w:rsid w:val="4E075658"/>
    <w:rsid w:val="4E0D6F7B"/>
    <w:rsid w:val="4E1D7E77"/>
    <w:rsid w:val="4E20657C"/>
    <w:rsid w:val="4E236A05"/>
    <w:rsid w:val="4E4939FE"/>
    <w:rsid w:val="4E51451A"/>
    <w:rsid w:val="4E5407E3"/>
    <w:rsid w:val="4E7D60BC"/>
    <w:rsid w:val="4E882EF9"/>
    <w:rsid w:val="4E940D28"/>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30A2C"/>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685E7E"/>
    <w:rsid w:val="52825A68"/>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45BA9"/>
    <w:rsid w:val="533835E7"/>
    <w:rsid w:val="53396085"/>
    <w:rsid w:val="53404825"/>
    <w:rsid w:val="53404962"/>
    <w:rsid w:val="534268A7"/>
    <w:rsid w:val="534A7EEE"/>
    <w:rsid w:val="536301E1"/>
    <w:rsid w:val="53670639"/>
    <w:rsid w:val="53697E63"/>
    <w:rsid w:val="538E7871"/>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45BF1"/>
    <w:rsid w:val="54AA3CD9"/>
    <w:rsid w:val="54B76615"/>
    <w:rsid w:val="54C96C83"/>
    <w:rsid w:val="54D31B63"/>
    <w:rsid w:val="54D70AB9"/>
    <w:rsid w:val="54EA3219"/>
    <w:rsid w:val="54F113A4"/>
    <w:rsid w:val="54FC719B"/>
    <w:rsid w:val="550118A5"/>
    <w:rsid w:val="551D2AB1"/>
    <w:rsid w:val="551E21BE"/>
    <w:rsid w:val="55294751"/>
    <w:rsid w:val="554860F4"/>
    <w:rsid w:val="555078C3"/>
    <w:rsid w:val="55582F0D"/>
    <w:rsid w:val="557A16A0"/>
    <w:rsid w:val="558A1A02"/>
    <w:rsid w:val="558C6D0F"/>
    <w:rsid w:val="55944A92"/>
    <w:rsid w:val="559719B0"/>
    <w:rsid w:val="559A22C4"/>
    <w:rsid w:val="559C2F3F"/>
    <w:rsid w:val="559F228F"/>
    <w:rsid w:val="55A67EE8"/>
    <w:rsid w:val="55AA2DA6"/>
    <w:rsid w:val="55B54251"/>
    <w:rsid w:val="55C84B2E"/>
    <w:rsid w:val="55D00DC0"/>
    <w:rsid w:val="55E8090D"/>
    <w:rsid w:val="55EA1423"/>
    <w:rsid w:val="55F839F7"/>
    <w:rsid w:val="56060266"/>
    <w:rsid w:val="561818C2"/>
    <w:rsid w:val="561A2CEF"/>
    <w:rsid w:val="562A1609"/>
    <w:rsid w:val="563F74A4"/>
    <w:rsid w:val="564156AD"/>
    <w:rsid w:val="565C0FF8"/>
    <w:rsid w:val="566B53D2"/>
    <w:rsid w:val="566F5D9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B4C39"/>
    <w:rsid w:val="574D339C"/>
    <w:rsid w:val="57501031"/>
    <w:rsid w:val="5753468B"/>
    <w:rsid w:val="575B3101"/>
    <w:rsid w:val="5760479D"/>
    <w:rsid w:val="576D43D6"/>
    <w:rsid w:val="5779650A"/>
    <w:rsid w:val="57A03EDC"/>
    <w:rsid w:val="57B11185"/>
    <w:rsid w:val="57BA33E6"/>
    <w:rsid w:val="57C31AF7"/>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2429E"/>
    <w:rsid w:val="59F378E0"/>
    <w:rsid w:val="5A03208B"/>
    <w:rsid w:val="5A1B27B8"/>
    <w:rsid w:val="5A3312DA"/>
    <w:rsid w:val="5A41505E"/>
    <w:rsid w:val="5A513A05"/>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9F53E6"/>
    <w:rsid w:val="5BA652CD"/>
    <w:rsid w:val="5BA800EC"/>
    <w:rsid w:val="5BDA1A02"/>
    <w:rsid w:val="5BDA3815"/>
    <w:rsid w:val="5BDE5688"/>
    <w:rsid w:val="5C0A6081"/>
    <w:rsid w:val="5C0B7355"/>
    <w:rsid w:val="5C100E26"/>
    <w:rsid w:val="5C3C0418"/>
    <w:rsid w:val="5C4A6C30"/>
    <w:rsid w:val="5C4C3CC9"/>
    <w:rsid w:val="5C5A3793"/>
    <w:rsid w:val="5C5C01D7"/>
    <w:rsid w:val="5C5C59BB"/>
    <w:rsid w:val="5C6A1E8C"/>
    <w:rsid w:val="5C6D7DE5"/>
    <w:rsid w:val="5C6F3AA2"/>
    <w:rsid w:val="5C85298F"/>
    <w:rsid w:val="5C9E216D"/>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4D45F3"/>
    <w:rsid w:val="5D8B2FEA"/>
    <w:rsid w:val="5DCE771F"/>
    <w:rsid w:val="5DD3556C"/>
    <w:rsid w:val="5DD51469"/>
    <w:rsid w:val="5DD81E67"/>
    <w:rsid w:val="5DDF6716"/>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03DDB"/>
    <w:rsid w:val="5F173FD8"/>
    <w:rsid w:val="5F3037B1"/>
    <w:rsid w:val="5F3262F4"/>
    <w:rsid w:val="5F386996"/>
    <w:rsid w:val="5F4B0DBA"/>
    <w:rsid w:val="5F4D6EF1"/>
    <w:rsid w:val="5F5C27E5"/>
    <w:rsid w:val="5F6938A8"/>
    <w:rsid w:val="5F6A3C08"/>
    <w:rsid w:val="5F6E2815"/>
    <w:rsid w:val="5F703375"/>
    <w:rsid w:val="5F7C06D8"/>
    <w:rsid w:val="5F8145D7"/>
    <w:rsid w:val="5F9E02EC"/>
    <w:rsid w:val="5FA0779B"/>
    <w:rsid w:val="5FA1081C"/>
    <w:rsid w:val="5FA14522"/>
    <w:rsid w:val="5FA82AE5"/>
    <w:rsid w:val="5FAB3D96"/>
    <w:rsid w:val="5FBB5BDB"/>
    <w:rsid w:val="5FCF7032"/>
    <w:rsid w:val="5FD03182"/>
    <w:rsid w:val="5FD9462B"/>
    <w:rsid w:val="5FE061B9"/>
    <w:rsid w:val="5FEB5761"/>
    <w:rsid w:val="5FFB6305"/>
    <w:rsid w:val="60011320"/>
    <w:rsid w:val="601E603C"/>
    <w:rsid w:val="60267D5D"/>
    <w:rsid w:val="604100BA"/>
    <w:rsid w:val="605010E1"/>
    <w:rsid w:val="6055240A"/>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591C9F"/>
    <w:rsid w:val="616C655B"/>
    <w:rsid w:val="616E381D"/>
    <w:rsid w:val="617E2507"/>
    <w:rsid w:val="6183475E"/>
    <w:rsid w:val="619252B9"/>
    <w:rsid w:val="619E4078"/>
    <w:rsid w:val="61A21ED5"/>
    <w:rsid w:val="61A85B43"/>
    <w:rsid w:val="61BA5EFD"/>
    <w:rsid w:val="61BB2BE8"/>
    <w:rsid w:val="61C7660C"/>
    <w:rsid w:val="61D81BE2"/>
    <w:rsid w:val="61E93AD6"/>
    <w:rsid w:val="620100B1"/>
    <w:rsid w:val="62190F45"/>
    <w:rsid w:val="62193B80"/>
    <w:rsid w:val="621B4181"/>
    <w:rsid w:val="62216BE1"/>
    <w:rsid w:val="62353B47"/>
    <w:rsid w:val="623724E1"/>
    <w:rsid w:val="62387C82"/>
    <w:rsid w:val="624076D6"/>
    <w:rsid w:val="62511DE0"/>
    <w:rsid w:val="626536A1"/>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EB4194"/>
    <w:rsid w:val="63FF6AFB"/>
    <w:rsid w:val="640754EE"/>
    <w:rsid w:val="64142736"/>
    <w:rsid w:val="64214D73"/>
    <w:rsid w:val="642A2A58"/>
    <w:rsid w:val="64391A57"/>
    <w:rsid w:val="6448679A"/>
    <w:rsid w:val="64507727"/>
    <w:rsid w:val="64585109"/>
    <w:rsid w:val="645F3E5B"/>
    <w:rsid w:val="645F7031"/>
    <w:rsid w:val="64724584"/>
    <w:rsid w:val="64881679"/>
    <w:rsid w:val="649D6684"/>
    <w:rsid w:val="649F7EFD"/>
    <w:rsid w:val="64A67ACD"/>
    <w:rsid w:val="64A84422"/>
    <w:rsid w:val="64AB0D94"/>
    <w:rsid w:val="64B23DB4"/>
    <w:rsid w:val="64B55A95"/>
    <w:rsid w:val="64B64B66"/>
    <w:rsid w:val="64B86E2A"/>
    <w:rsid w:val="64BF6D54"/>
    <w:rsid w:val="64C12A40"/>
    <w:rsid w:val="64C15487"/>
    <w:rsid w:val="64C51685"/>
    <w:rsid w:val="64C82CB3"/>
    <w:rsid w:val="650B77B2"/>
    <w:rsid w:val="65137300"/>
    <w:rsid w:val="65157D3D"/>
    <w:rsid w:val="6526740F"/>
    <w:rsid w:val="65376826"/>
    <w:rsid w:val="6556674F"/>
    <w:rsid w:val="65572DD1"/>
    <w:rsid w:val="655F2B6C"/>
    <w:rsid w:val="656C0AFA"/>
    <w:rsid w:val="65862CD9"/>
    <w:rsid w:val="6588686F"/>
    <w:rsid w:val="659E46D8"/>
    <w:rsid w:val="65A50952"/>
    <w:rsid w:val="65A57048"/>
    <w:rsid w:val="65B50E5A"/>
    <w:rsid w:val="65B92C45"/>
    <w:rsid w:val="65D40A3C"/>
    <w:rsid w:val="65D54781"/>
    <w:rsid w:val="660867AF"/>
    <w:rsid w:val="662D27C6"/>
    <w:rsid w:val="66452970"/>
    <w:rsid w:val="66452FE9"/>
    <w:rsid w:val="665D35A9"/>
    <w:rsid w:val="666C24AB"/>
    <w:rsid w:val="668D7DF1"/>
    <w:rsid w:val="668E548F"/>
    <w:rsid w:val="66964197"/>
    <w:rsid w:val="66AB7EE5"/>
    <w:rsid w:val="66AC20EE"/>
    <w:rsid w:val="66B612EF"/>
    <w:rsid w:val="66C73D9C"/>
    <w:rsid w:val="66CB6AD0"/>
    <w:rsid w:val="66D04B5E"/>
    <w:rsid w:val="66D60DB1"/>
    <w:rsid w:val="66DF75CA"/>
    <w:rsid w:val="66E561D8"/>
    <w:rsid w:val="66F00AF0"/>
    <w:rsid w:val="6700750E"/>
    <w:rsid w:val="67190C6C"/>
    <w:rsid w:val="672F0459"/>
    <w:rsid w:val="67580868"/>
    <w:rsid w:val="67610EFA"/>
    <w:rsid w:val="6773071F"/>
    <w:rsid w:val="67790849"/>
    <w:rsid w:val="678D5B85"/>
    <w:rsid w:val="678F08D8"/>
    <w:rsid w:val="67904419"/>
    <w:rsid w:val="67995A29"/>
    <w:rsid w:val="679C7850"/>
    <w:rsid w:val="67A00193"/>
    <w:rsid w:val="67B468F9"/>
    <w:rsid w:val="67B55075"/>
    <w:rsid w:val="67B563BE"/>
    <w:rsid w:val="67DB41F5"/>
    <w:rsid w:val="67DC482A"/>
    <w:rsid w:val="67E55620"/>
    <w:rsid w:val="67EA5494"/>
    <w:rsid w:val="67EB3CE9"/>
    <w:rsid w:val="67EB5FE1"/>
    <w:rsid w:val="67EB6A05"/>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725496"/>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04494"/>
    <w:rsid w:val="68F25DFA"/>
    <w:rsid w:val="68FF6567"/>
    <w:rsid w:val="68FF71A1"/>
    <w:rsid w:val="693118AD"/>
    <w:rsid w:val="693A0D9D"/>
    <w:rsid w:val="69421674"/>
    <w:rsid w:val="6946010A"/>
    <w:rsid w:val="69603C4B"/>
    <w:rsid w:val="69612DEE"/>
    <w:rsid w:val="69614422"/>
    <w:rsid w:val="69683F1C"/>
    <w:rsid w:val="696D47F8"/>
    <w:rsid w:val="69734633"/>
    <w:rsid w:val="6986197E"/>
    <w:rsid w:val="698A3BBD"/>
    <w:rsid w:val="69930E11"/>
    <w:rsid w:val="699C0EF8"/>
    <w:rsid w:val="69A23095"/>
    <w:rsid w:val="69AB5DBB"/>
    <w:rsid w:val="69AE4487"/>
    <w:rsid w:val="69B06EFE"/>
    <w:rsid w:val="69B840F1"/>
    <w:rsid w:val="69B901C6"/>
    <w:rsid w:val="69C91948"/>
    <w:rsid w:val="69E81EFB"/>
    <w:rsid w:val="69F22996"/>
    <w:rsid w:val="69FD45AC"/>
    <w:rsid w:val="6A0C6539"/>
    <w:rsid w:val="6A2314C2"/>
    <w:rsid w:val="6A2826A1"/>
    <w:rsid w:val="6A3E125E"/>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2D6E1F"/>
    <w:rsid w:val="6B3529D0"/>
    <w:rsid w:val="6B3611E8"/>
    <w:rsid w:val="6B3C6A10"/>
    <w:rsid w:val="6B3D3D48"/>
    <w:rsid w:val="6B5B3158"/>
    <w:rsid w:val="6B726A7C"/>
    <w:rsid w:val="6B8833D8"/>
    <w:rsid w:val="6B8902B7"/>
    <w:rsid w:val="6B8F003B"/>
    <w:rsid w:val="6BA832B8"/>
    <w:rsid w:val="6BB54A7D"/>
    <w:rsid w:val="6BBA5C26"/>
    <w:rsid w:val="6BC644EC"/>
    <w:rsid w:val="6BDB04B6"/>
    <w:rsid w:val="6BDC61C9"/>
    <w:rsid w:val="6BE963BE"/>
    <w:rsid w:val="6BF24847"/>
    <w:rsid w:val="6BFC3E00"/>
    <w:rsid w:val="6C0600B6"/>
    <w:rsid w:val="6C0F365E"/>
    <w:rsid w:val="6C1B44B2"/>
    <w:rsid w:val="6C2E2CA9"/>
    <w:rsid w:val="6C33536D"/>
    <w:rsid w:val="6C3C728A"/>
    <w:rsid w:val="6C3E3641"/>
    <w:rsid w:val="6C517C19"/>
    <w:rsid w:val="6C547454"/>
    <w:rsid w:val="6C5648D5"/>
    <w:rsid w:val="6C740601"/>
    <w:rsid w:val="6C842DAB"/>
    <w:rsid w:val="6C8A5474"/>
    <w:rsid w:val="6C997524"/>
    <w:rsid w:val="6C9E7943"/>
    <w:rsid w:val="6CD85C69"/>
    <w:rsid w:val="6CEF1561"/>
    <w:rsid w:val="6CF22917"/>
    <w:rsid w:val="6D464DCC"/>
    <w:rsid w:val="6D5046E7"/>
    <w:rsid w:val="6D616216"/>
    <w:rsid w:val="6D8D1511"/>
    <w:rsid w:val="6D932C97"/>
    <w:rsid w:val="6D962A10"/>
    <w:rsid w:val="6D990033"/>
    <w:rsid w:val="6DA05AAF"/>
    <w:rsid w:val="6DA225C5"/>
    <w:rsid w:val="6DA359E1"/>
    <w:rsid w:val="6DAB4B14"/>
    <w:rsid w:val="6DB630F7"/>
    <w:rsid w:val="6DBF57D4"/>
    <w:rsid w:val="6DF05F6E"/>
    <w:rsid w:val="6E03170B"/>
    <w:rsid w:val="6E04099A"/>
    <w:rsid w:val="6E0E61FC"/>
    <w:rsid w:val="6E1048F5"/>
    <w:rsid w:val="6E1879C6"/>
    <w:rsid w:val="6E224DB3"/>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53BB5"/>
    <w:rsid w:val="6EDD75A0"/>
    <w:rsid w:val="6EE73EE7"/>
    <w:rsid w:val="6F0D2298"/>
    <w:rsid w:val="6F145E1F"/>
    <w:rsid w:val="6F24607A"/>
    <w:rsid w:val="6F276C23"/>
    <w:rsid w:val="6F2B1796"/>
    <w:rsid w:val="6F37324B"/>
    <w:rsid w:val="6F4B77AB"/>
    <w:rsid w:val="6F5161F4"/>
    <w:rsid w:val="6F59783E"/>
    <w:rsid w:val="6F5A407F"/>
    <w:rsid w:val="6F7F1EFD"/>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214709"/>
    <w:rsid w:val="70394E16"/>
    <w:rsid w:val="703B2856"/>
    <w:rsid w:val="70512274"/>
    <w:rsid w:val="70707286"/>
    <w:rsid w:val="707136A0"/>
    <w:rsid w:val="7071512F"/>
    <w:rsid w:val="70836044"/>
    <w:rsid w:val="70945DFE"/>
    <w:rsid w:val="70963635"/>
    <w:rsid w:val="709E757C"/>
    <w:rsid w:val="70A4031D"/>
    <w:rsid w:val="70A81FF7"/>
    <w:rsid w:val="70AB6982"/>
    <w:rsid w:val="70B64178"/>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8D3E5C"/>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5E40D0"/>
    <w:rsid w:val="726542C5"/>
    <w:rsid w:val="72713F85"/>
    <w:rsid w:val="72725AF0"/>
    <w:rsid w:val="727E25B6"/>
    <w:rsid w:val="72931EAF"/>
    <w:rsid w:val="72963B15"/>
    <w:rsid w:val="72982475"/>
    <w:rsid w:val="729B43C7"/>
    <w:rsid w:val="729B556A"/>
    <w:rsid w:val="72A264DB"/>
    <w:rsid w:val="72AA2B66"/>
    <w:rsid w:val="72BD48D1"/>
    <w:rsid w:val="72C175CD"/>
    <w:rsid w:val="72C53ED8"/>
    <w:rsid w:val="72C65D78"/>
    <w:rsid w:val="72C86D4C"/>
    <w:rsid w:val="72D7336E"/>
    <w:rsid w:val="72DE0066"/>
    <w:rsid w:val="72F21234"/>
    <w:rsid w:val="72F601DF"/>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5B0796"/>
    <w:rsid w:val="745F4062"/>
    <w:rsid w:val="74A30D4F"/>
    <w:rsid w:val="74DF558B"/>
    <w:rsid w:val="74EE1D1B"/>
    <w:rsid w:val="74F10289"/>
    <w:rsid w:val="74F826B3"/>
    <w:rsid w:val="75004B37"/>
    <w:rsid w:val="75014572"/>
    <w:rsid w:val="75067D82"/>
    <w:rsid w:val="75101474"/>
    <w:rsid w:val="75152359"/>
    <w:rsid w:val="7516500B"/>
    <w:rsid w:val="752153C7"/>
    <w:rsid w:val="75292EDB"/>
    <w:rsid w:val="752955C7"/>
    <w:rsid w:val="75473AB6"/>
    <w:rsid w:val="754D6BA5"/>
    <w:rsid w:val="75575F0B"/>
    <w:rsid w:val="755A639D"/>
    <w:rsid w:val="75612341"/>
    <w:rsid w:val="75882465"/>
    <w:rsid w:val="758849F8"/>
    <w:rsid w:val="7589081E"/>
    <w:rsid w:val="758A2419"/>
    <w:rsid w:val="75913AD5"/>
    <w:rsid w:val="75AB03F6"/>
    <w:rsid w:val="75AB29DA"/>
    <w:rsid w:val="75CA48E7"/>
    <w:rsid w:val="75D15E60"/>
    <w:rsid w:val="75E027FD"/>
    <w:rsid w:val="75E85E32"/>
    <w:rsid w:val="75EE7C07"/>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25EE3"/>
    <w:rsid w:val="76F307E8"/>
    <w:rsid w:val="76F433E8"/>
    <w:rsid w:val="76F51317"/>
    <w:rsid w:val="771946D8"/>
    <w:rsid w:val="772268FD"/>
    <w:rsid w:val="77474684"/>
    <w:rsid w:val="774B39B8"/>
    <w:rsid w:val="775666E2"/>
    <w:rsid w:val="776415D2"/>
    <w:rsid w:val="77653ACC"/>
    <w:rsid w:val="776722BC"/>
    <w:rsid w:val="77747DD3"/>
    <w:rsid w:val="777F7D00"/>
    <w:rsid w:val="778F61E5"/>
    <w:rsid w:val="77A82770"/>
    <w:rsid w:val="77BD4BE4"/>
    <w:rsid w:val="77BD7E72"/>
    <w:rsid w:val="77C9487D"/>
    <w:rsid w:val="77ED0386"/>
    <w:rsid w:val="77F72469"/>
    <w:rsid w:val="77F854D4"/>
    <w:rsid w:val="77FB6F8B"/>
    <w:rsid w:val="78065036"/>
    <w:rsid w:val="780D5CB6"/>
    <w:rsid w:val="78364152"/>
    <w:rsid w:val="78366B8C"/>
    <w:rsid w:val="783B287A"/>
    <w:rsid w:val="78482C69"/>
    <w:rsid w:val="78556192"/>
    <w:rsid w:val="785565B9"/>
    <w:rsid w:val="785E7689"/>
    <w:rsid w:val="786A7B13"/>
    <w:rsid w:val="787162E7"/>
    <w:rsid w:val="788249B9"/>
    <w:rsid w:val="788778CC"/>
    <w:rsid w:val="78886D15"/>
    <w:rsid w:val="78B2035E"/>
    <w:rsid w:val="78B43B82"/>
    <w:rsid w:val="78B57D9C"/>
    <w:rsid w:val="78BB76EA"/>
    <w:rsid w:val="78D12CCE"/>
    <w:rsid w:val="78D805CD"/>
    <w:rsid w:val="78E26C73"/>
    <w:rsid w:val="78E76B0F"/>
    <w:rsid w:val="78F65C61"/>
    <w:rsid w:val="78FA4B03"/>
    <w:rsid w:val="78FB1BD1"/>
    <w:rsid w:val="78FF1F76"/>
    <w:rsid w:val="79213328"/>
    <w:rsid w:val="794320DC"/>
    <w:rsid w:val="7964511F"/>
    <w:rsid w:val="79824E81"/>
    <w:rsid w:val="798A3F65"/>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275CC"/>
    <w:rsid w:val="7A765EEC"/>
    <w:rsid w:val="7A773B5D"/>
    <w:rsid w:val="7A790CA9"/>
    <w:rsid w:val="7A88201A"/>
    <w:rsid w:val="7A9A647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B5141A"/>
    <w:rsid w:val="7CC16C8E"/>
    <w:rsid w:val="7CC90590"/>
    <w:rsid w:val="7CD2382A"/>
    <w:rsid w:val="7CFA1E38"/>
    <w:rsid w:val="7D060A68"/>
    <w:rsid w:val="7D145441"/>
    <w:rsid w:val="7D2F6FF7"/>
    <w:rsid w:val="7D303FCF"/>
    <w:rsid w:val="7D332F6D"/>
    <w:rsid w:val="7D3446E3"/>
    <w:rsid w:val="7D3A1A33"/>
    <w:rsid w:val="7D3D587B"/>
    <w:rsid w:val="7D4435DF"/>
    <w:rsid w:val="7D4B267A"/>
    <w:rsid w:val="7D5C75F5"/>
    <w:rsid w:val="7D5E76D5"/>
    <w:rsid w:val="7D694213"/>
    <w:rsid w:val="7D6E6D2F"/>
    <w:rsid w:val="7D8C491B"/>
    <w:rsid w:val="7DA13DAB"/>
    <w:rsid w:val="7DB838C8"/>
    <w:rsid w:val="7DC23C3E"/>
    <w:rsid w:val="7DCA5633"/>
    <w:rsid w:val="7DF46E1B"/>
    <w:rsid w:val="7DF674F9"/>
    <w:rsid w:val="7DFF1F74"/>
    <w:rsid w:val="7E0464CE"/>
    <w:rsid w:val="7E202324"/>
    <w:rsid w:val="7E232181"/>
    <w:rsid w:val="7E2C1C35"/>
    <w:rsid w:val="7E2C2660"/>
    <w:rsid w:val="7E376B46"/>
    <w:rsid w:val="7E476D34"/>
    <w:rsid w:val="7E4B7BAE"/>
    <w:rsid w:val="7E547967"/>
    <w:rsid w:val="7E555A2D"/>
    <w:rsid w:val="7E573CFE"/>
    <w:rsid w:val="7E623A01"/>
    <w:rsid w:val="7E6D5E88"/>
    <w:rsid w:val="7E6D6DAE"/>
    <w:rsid w:val="7E6F3FB2"/>
    <w:rsid w:val="7E722C51"/>
    <w:rsid w:val="7E81324C"/>
    <w:rsid w:val="7E957586"/>
    <w:rsid w:val="7E9B11AA"/>
    <w:rsid w:val="7E9E1DEB"/>
    <w:rsid w:val="7EA32AD0"/>
    <w:rsid w:val="7EBF2216"/>
    <w:rsid w:val="7ECD4344"/>
    <w:rsid w:val="7ED55007"/>
    <w:rsid w:val="7ED5627B"/>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16FD5"/>
    <w:rsid w:val="7FA379C4"/>
    <w:rsid w:val="7FA51E6D"/>
    <w:rsid w:val="7FB34C72"/>
    <w:rsid w:val="7FC4611F"/>
    <w:rsid w:val="7FC76DE8"/>
    <w:rsid w:val="7FC85B26"/>
    <w:rsid w:val="7FD10373"/>
    <w:rsid w:val="7FD22A59"/>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39" w:semiHidden="0" w:name="toc 2"/>
    <w:lsdException w:uiPriority="39" w:name="toc 3"/>
    <w:lsdException w:uiPriority="39" w:name="toc 4"/>
    <w:lsdException w:qFormat="1" w:uiPriority="39" w:semiHidden="0" w:name="toc 5"/>
    <w:lsdException w:uiPriority="39" w:name="toc 6"/>
    <w:lsdException w:uiPriority="39"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99" w:semiHidden="0" w:name="List Bullet"/>
    <w:lsdException w:uiPriority="99" w:name="List Number"/>
    <w:lsdException w:qFormat="1" w:unhideWhenUsed="0" w:uiPriority="99" w:semiHidden="0" w:name="List 2"/>
    <w:lsdException w:qFormat="1" w:unhideWhenUsed="0" w:uiPriority="99" w:semiHidden="0" w:name="List 3"/>
    <w:lsdException w:uiPriority="99" w:name="List 4"/>
    <w:lsdException w:uiPriority="99" w:name="List 5"/>
    <w:lsdException w:qFormat="1" w:unhideWhenUsed="0" w:uiPriority="99" w:semiHidden="0"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qFormat="1" w:unhideWhenUsed="0"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4">
    <w:name w:val="heading 1"/>
    <w:basedOn w:val="1"/>
    <w:next w:val="1"/>
    <w:link w:val="52"/>
    <w:qFormat/>
    <w:uiPriority w:val="0"/>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5">
    <w:name w:val="heading 2"/>
    <w:basedOn w:val="4"/>
    <w:next w:val="1"/>
    <w:link w:val="157"/>
    <w:qFormat/>
    <w:uiPriority w:val="0"/>
    <w:pPr>
      <w:keepNext/>
      <w:keepLines/>
      <w:numPr>
        <w:ilvl w:val="1"/>
      </w:numPr>
      <w:spacing w:before="260" w:after="260" w:line="413" w:lineRule="auto"/>
      <w:outlineLvl w:val="1"/>
    </w:pPr>
    <w:rPr>
      <w:sz w:val="32"/>
    </w:rPr>
  </w:style>
  <w:style w:type="paragraph" w:styleId="6">
    <w:name w:val="heading 3"/>
    <w:basedOn w:val="5"/>
    <w:next w:val="1"/>
    <w:link w:val="53"/>
    <w:qFormat/>
    <w:uiPriority w:val="99"/>
    <w:pPr>
      <w:numPr>
        <w:ilvl w:val="2"/>
      </w:numPr>
      <w:tabs>
        <w:tab w:val="left" w:pos="720"/>
      </w:tabs>
      <w:spacing w:line="416" w:lineRule="auto"/>
      <w:outlineLvl w:val="2"/>
    </w:pPr>
    <w:rPr>
      <w:szCs w:val="32"/>
    </w:rPr>
  </w:style>
  <w:style w:type="paragraph" w:styleId="7">
    <w:name w:val="heading 4"/>
    <w:basedOn w:val="6"/>
    <w:next w:val="1"/>
    <w:link w:val="158"/>
    <w:qFormat/>
    <w:uiPriority w:val="0"/>
    <w:pPr>
      <w:numPr>
        <w:ilvl w:val="3"/>
      </w:numPr>
      <w:outlineLvl w:val="3"/>
    </w:pPr>
    <w:rPr>
      <w:sz w:val="24"/>
    </w:rPr>
  </w:style>
  <w:style w:type="paragraph" w:styleId="8">
    <w:name w:val="heading 5"/>
    <w:basedOn w:val="1"/>
    <w:next w:val="1"/>
    <w:link w:val="159"/>
    <w:qFormat/>
    <w:uiPriority w:val="0"/>
    <w:pPr>
      <w:numPr>
        <w:ilvl w:val="4"/>
        <w:numId w:val="1"/>
      </w:numPr>
      <w:spacing w:after="0"/>
      <w:outlineLvl w:val="4"/>
    </w:pPr>
    <w:rPr>
      <w:rFonts w:hint="eastAsia" w:ascii="宋体" w:hAnsi="宋体"/>
      <w:b/>
      <w:color w:val="666666"/>
      <w:szCs w:val="20"/>
    </w:rPr>
  </w:style>
  <w:style w:type="paragraph" w:styleId="9">
    <w:name w:val="heading 6"/>
    <w:basedOn w:val="1"/>
    <w:next w:val="1"/>
    <w:link w:val="160"/>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1"/>
    <w:link w:val="161"/>
    <w:unhideWhenUsed/>
    <w:qFormat/>
    <w:uiPriority w:val="9"/>
    <w:pPr>
      <w:keepNext/>
      <w:keepLines/>
      <w:numPr>
        <w:ilvl w:val="6"/>
        <w:numId w:val="1"/>
      </w:numPr>
      <w:spacing w:before="240" w:after="64" w:line="317" w:lineRule="auto"/>
      <w:outlineLvl w:val="6"/>
    </w:pPr>
    <w:rPr>
      <w:b/>
      <w:sz w:val="24"/>
    </w:rPr>
  </w:style>
  <w:style w:type="paragraph" w:styleId="11">
    <w:name w:val="heading 8"/>
    <w:basedOn w:val="1"/>
    <w:next w:val="1"/>
    <w:link w:val="162"/>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1"/>
    <w:link w:val="163"/>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9"/>
    <w:qFormat/>
    <w:uiPriority w:val="0"/>
    <w:pPr>
      <w:widowControl w:val="0"/>
      <w:spacing w:after="0" w:line="240" w:lineRule="auto"/>
    </w:pPr>
    <w:rPr>
      <w:color w:val="0000FF"/>
      <w:kern w:val="2"/>
      <w:sz w:val="21"/>
      <w:szCs w:val="20"/>
    </w:rPr>
  </w:style>
  <w:style w:type="paragraph" w:styleId="3">
    <w:name w:val="Title"/>
    <w:basedOn w:val="1"/>
    <w:next w:val="1"/>
    <w:link w:val="238"/>
    <w:qFormat/>
    <w:uiPriority w:val="99"/>
    <w:pPr>
      <w:spacing w:before="240" w:after="60"/>
      <w:jc w:val="center"/>
      <w:outlineLvl w:val="0"/>
    </w:pPr>
    <w:rPr>
      <w:rFonts w:ascii="Arial" w:hAnsi="Arial" w:eastAsia="MS Gothic"/>
      <w:b/>
      <w:sz w:val="24"/>
      <w:szCs w:val="20"/>
      <w:lang w:val="en-GB"/>
    </w:rPr>
  </w:style>
  <w:style w:type="paragraph" w:styleId="13">
    <w:name w:val="List 3"/>
    <w:basedOn w:val="1"/>
    <w:qFormat/>
    <w:uiPriority w:val="99"/>
    <w:pPr>
      <w:adjustRightInd/>
      <w:snapToGrid/>
      <w:spacing w:before="0" w:beforeLines="0" w:after="0" w:afterLines="0" w:line="240" w:lineRule="auto"/>
      <w:ind w:left="100" w:leftChars="400" w:hanging="200" w:hangingChars="200"/>
      <w:jc w:val="left"/>
    </w:pPr>
    <w:rPr>
      <w:rFonts w:eastAsia="MS Gothic"/>
      <w:sz w:val="24"/>
      <w:szCs w:val="20"/>
      <w:lang w:val="en-GB" w:eastAsia="ja-JP"/>
    </w:rPr>
  </w:style>
  <w:style w:type="paragraph" w:styleId="14">
    <w:name w:val="Note Heading"/>
    <w:basedOn w:val="1"/>
    <w:next w:val="1"/>
    <w:link w:val="197"/>
    <w:qFormat/>
    <w:uiPriority w:val="99"/>
    <w:pPr>
      <w:adjustRightInd/>
      <w:snapToGrid/>
      <w:spacing w:before="0" w:beforeLines="0" w:after="0" w:afterLines="0" w:line="240" w:lineRule="auto"/>
      <w:jc w:val="center"/>
    </w:pPr>
    <w:rPr>
      <w:rFonts w:eastAsia="MS Gothic"/>
      <w:b/>
      <w:color w:val="FF0000"/>
      <w:sz w:val="24"/>
      <w:szCs w:val="21"/>
      <w:lang w:eastAsia="ja-JP"/>
    </w:r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63"/>
    <w:qFormat/>
    <w:uiPriority w:val="0"/>
    <w:pPr>
      <w:tabs>
        <w:tab w:val="left" w:pos="1418"/>
      </w:tabs>
      <w:spacing w:before="120" w:after="120" w:line="240" w:lineRule="auto"/>
    </w:pPr>
    <w:rPr>
      <w:b/>
      <w:bCs/>
      <w:szCs w:val="20"/>
      <w:lang w:val="en-GB" w:eastAsia="sv-SE"/>
    </w:rPr>
  </w:style>
  <w:style w:type="paragraph" w:styleId="17">
    <w:name w:val="List Bullet"/>
    <w:basedOn w:val="1"/>
    <w:qFormat/>
    <w:uiPriority w:val="99"/>
    <w:pPr>
      <w:tabs>
        <w:tab w:val="left" w:pos="360"/>
      </w:tabs>
      <w:adjustRightInd/>
      <w:snapToGrid/>
      <w:spacing w:before="0" w:beforeLines="0" w:after="0" w:afterLines="0" w:line="240" w:lineRule="auto"/>
      <w:ind w:left="360" w:hanging="360"/>
      <w:jc w:val="left"/>
    </w:pPr>
    <w:rPr>
      <w:rFonts w:eastAsia="MS Gothic"/>
      <w:sz w:val="24"/>
      <w:szCs w:val="20"/>
      <w:lang w:val="en-GB" w:eastAsia="ja-JP"/>
    </w:rPr>
  </w:style>
  <w:style w:type="paragraph" w:styleId="18">
    <w:name w:val="Document Map"/>
    <w:basedOn w:val="1"/>
    <w:link w:val="76"/>
    <w:unhideWhenUsed/>
    <w:qFormat/>
    <w:uiPriority w:val="99"/>
    <w:rPr>
      <w:rFonts w:ascii="宋体"/>
      <w:sz w:val="18"/>
      <w:szCs w:val="18"/>
    </w:rPr>
  </w:style>
  <w:style w:type="paragraph" w:styleId="19">
    <w:name w:val="annotation text"/>
    <w:basedOn w:val="1"/>
    <w:link w:val="68"/>
    <w:unhideWhenUsed/>
    <w:qFormat/>
    <w:uiPriority w:val="99"/>
    <w:rPr>
      <w:szCs w:val="20"/>
    </w:rPr>
  </w:style>
  <w:style w:type="paragraph" w:styleId="20">
    <w:name w:val="Body Text 3"/>
    <w:basedOn w:val="1"/>
    <w:link w:val="174"/>
    <w:qFormat/>
    <w:uiPriority w:val="99"/>
    <w:pPr>
      <w:adjustRightInd/>
      <w:snapToGrid/>
      <w:spacing w:before="0" w:beforeLines="0" w:after="0" w:afterLines="0" w:line="240" w:lineRule="auto"/>
    </w:pPr>
    <w:rPr>
      <w:rFonts w:eastAsia="MS Gothic"/>
      <w:sz w:val="24"/>
      <w:szCs w:val="20"/>
      <w:lang w:val="en-GB" w:eastAsia="ja-JP"/>
    </w:rPr>
  </w:style>
  <w:style w:type="paragraph" w:styleId="21">
    <w:name w:val="Closing"/>
    <w:basedOn w:val="1"/>
    <w:link w:val="198"/>
    <w:qFormat/>
    <w:uiPriority w:val="99"/>
    <w:pPr>
      <w:adjustRightInd/>
      <w:snapToGrid/>
      <w:spacing w:before="0" w:beforeLines="0" w:after="0" w:afterLines="0" w:line="240" w:lineRule="auto"/>
      <w:jc w:val="right"/>
    </w:pPr>
    <w:rPr>
      <w:rFonts w:eastAsia="MS Gothic"/>
      <w:b/>
      <w:color w:val="FF0000"/>
      <w:sz w:val="24"/>
      <w:szCs w:val="21"/>
      <w:lang w:eastAsia="ja-JP"/>
    </w:rPr>
  </w:style>
  <w:style w:type="paragraph" w:styleId="22">
    <w:name w:val="Body Text Indent"/>
    <w:basedOn w:val="1"/>
    <w:link w:val="165"/>
    <w:qFormat/>
    <w:uiPriority w:val="99"/>
    <w:pPr>
      <w:adjustRightInd/>
      <w:snapToGrid/>
      <w:spacing w:before="0" w:beforeLines="0" w:after="0" w:afterLines="0" w:line="240" w:lineRule="auto"/>
      <w:ind w:left="360"/>
      <w:jc w:val="left"/>
    </w:pPr>
    <w:rPr>
      <w:rFonts w:eastAsia="MS Gothic"/>
      <w:sz w:val="24"/>
      <w:szCs w:val="20"/>
      <w:lang w:val="en-GB" w:eastAsia="ja-JP"/>
    </w:rPr>
  </w:style>
  <w:style w:type="paragraph" w:styleId="23">
    <w:name w:val="List Number 3"/>
    <w:basedOn w:val="1"/>
    <w:qFormat/>
    <w:uiPriority w:val="0"/>
    <w:pPr>
      <w:numPr>
        <w:ilvl w:val="0"/>
        <w:numId w:val="2"/>
      </w:numPr>
      <w:tabs>
        <w:tab w:val="left" w:pos="926"/>
      </w:tabs>
      <w:overflowPunct w:val="0"/>
      <w:autoSpaceDE w:val="0"/>
      <w:autoSpaceDN w:val="0"/>
      <w:snapToGrid/>
      <w:spacing w:before="0" w:beforeLines="0" w:after="180" w:afterLines="0" w:line="240" w:lineRule="auto"/>
      <w:ind w:left="926"/>
      <w:jc w:val="left"/>
      <w:textAlignment w:val="baseline"/>
    </w:pPr>
    <w:rPr>
      <w:rFonts w:eastAsia="MS Mincho"/>
      <w:szCs w:val="20"/>
      <w:lang w:val="en-GB" w:eastAsia="en-GB"/>
    </w:rPr>
  </w:style>
  <w:style w:type="paragraph" w:styleId="24">
    <w:name w:val="List 2"/>
    <w:basedOn w:val="25"/>
    <w:qFormat/>
    <w:uiPriority w:val="99"/>
    <w:pPr>
      <w:adjustRightInd/>
      <w:snapToGrid/>
      <w:spacing w:before="0" w:beforeLines="0" w:after="180" w:afterLines="0" w:line="240" w:lineRule="auto"/>
      <w:ind w:left="851" w:hanging="284" w:firstLineChars="0"/>
      <w:contextualSpacing w:val="0"/>
      <w:jc w:val="left"/>
    </w:pPr>
    <w:rPr>
      <w:rFonts w:eastAsia="MS Gothic"/>
      <w:sz w:val="24"/>
      <w:szCs w:val="20"/>
      <w:lang w:val="en-GB" w:eastAsia="ja-JP"/>
    </w:rPr>
  </w:style>
  <w:style w:type="paragraph" w:styleId="25">
    <w:name w:val="List"/>
    <w:basedOn w:val="1"/>
    <w:unhideWhenUsed/>
    <w:qFormat/>
    <w:uiPriority w:val="99"/>
    <w:pPr>
      <w:ind w:left="200" w:hanging="200" w:hangingChars="200"/>
      <w:contextualSpacing/>
    </w:pPr>
  </w:style>
  <w:style w:type="paragraph" w:styleId="26">
    <w:name w:val="List Bullet 2"/>
    <w:basedOn w:val="17"/>
    <w:qFormat/>
    <w:uiPriority w:val="99"/>
    <w:pPr>
      <w:tabs>
        <w:tab w:val="clear" w:pos="360"/>
      </w:tabs>
      <w:spacing w:after="60"/>
      <w:ind w:left="1080" w:hanging="357"/>
    </w:pPr>
    <w:rPr>
      <w:rFonts w:ascii="Arial" w:hAnsi="Arial"/>
    </w:rPr>
  </w:style>
  <w:style w:type="paragraph" w:styleId="27">
    <w:name w:val="toc 5"/>
    <w:basedOn w:val="1"/>
    <w:next w:val="1"/>
    <w:unhideWhenUsed/>
    <w:qFormat/>
    <w:uiPriority w:val="39"/>
    <w:pPr>
      <w:adjustRightInd/>
      <w:snapToGrid/>
      <w:spacing w:before="60" w:beforeLines="0" w:after="120" w:afterLines="0" w:line="240" w:lineRule="auto"/>
      <w:ind w:left="800"/>
    </w:pPr>
    <w:rPr>
      <w:rFonts w:ascii="Arial" w:hAnsi="Arial" w:eastAsia="Times New Roman"/>
      <w:szCs w:val="20"/>
      <w:lang w:eastAsia="en-US"/>
    </w:rPr>
  </w:style>
  <w:style w:type="paragraph" w:styleId="28">
    <w:name w:val="Plain Text"/>
    <w:basedOn w:val="1"/>
    <w:link w:val="166"/>
    <w:qFormat/>
    <w:uiPriority w:val="99"/>
    <w:pPr>
      <w:adjustRightInd/>
      <w:snapToGrid/>
      <w:spacing w:before="0" w:beforeLines="0" w:after="0" w:afterLines="0" w:line="240" w:lineRule="auto"/>
      <w:jc w:val="left"/>
    </w:pPr>
    <w:rPr>
      <w:rFonts w:ascii="Courier New" w:hAnsi="Courier New" w:eastAsia="MS Gothic"/>
      <w:sz w:val="24"/>
      <w:szCs w:val="20"/>
      <w:lang w:val="en-GB" w:eastAsia="ja-JP"/>
    </w:rPr>
  </w:style>
  <w:style w:type="paragraph" w:styleId="29">
    <w:name w:val="toc 8"/>
    <w:basedOn w:val="30"/>
    <w:next w:val="1"/>
    <w:qFormat/>
    <w:uiPriority w:val="39"/>
    <w:pPr>
      <w:keepNext/>
      <w:keepLines/>
      <w:widowControl w:val="0"/>
      <w:tabs>
        <w:tab w:val="right" w:leader="dot" w:pos="9639"/>
      </w:tabs>
      <w:spacing w:before="180"/>
      <w:ind w:left="2693" w:right="425" w:hanging="2693"/>
    </w:pPr>
    <w:rPr>
      <w:rFonts w:eastAsiaTheme="minorEastAsia"/>
      <w:b/>
      <w:color w:val="auto"/>
      <w:sz w:val="22"/>
      <w:szCs w:val="20"/>
      <w:lang w:eastAsia="en-US"/>
    </w:rPr>
  </w:style>
  <w:style w:type="paragraph" w:styleId="30">
    <w:name w:val="toc 1"/>
    <w:basedOn w:val="1"/>
    <w:next w:val="1"/>
    <w:qFormat/>
    <w:uiPriority w:val="99"/>
    <w:pPr>
      <w:adjustRightInd/>
      <w:snapToGrid/>
      <w:spacing w:before="0" w:beforeLines="0" w:after="0" w:afterLines="0" w:line="240" w:lineRule="auto"/>
      <w:jc w:val="left"/>
    </w:pPr>
    <w:rPr>
      <w:rFonts w:eastAsia="MS Gothic"/>
      <w:color w:val="FF0000"/>
      <w:sz w:val="18"/>
      <w:szCs w:val="18"/>
      <w:lang w:val="en-GB" w:eastAsia="ja-JP"/>
    </w:rPr>
  </w:style>
  <w:style w:type="paragraph" w:styleId="31">
    <w:name w:val="Body Text Indent 2"/>
    <w:basedOn w:val="1"/>
    <w:link w:val="170"/>
    <w:qFormat/>
    <w:uiPriority w:val="99"/>
    <w:pPr>
      <w:widowControl w:val="0"/>
      <w:autoSpaceDE w:val="0"/>
      <w:autoSpaceDN w:val="0"/>
      <w:snapToGrid/>
      <w:spacing w:before="0" w:beforeLines="0" w:after="0" w:afterLines="0" w:line="240" w:lineRule="auto"/>
      <w:ind w:left="1656"/>
      <w:textAlignment w:val="baseline"/>
    </w:pPr>
    <w:rPr>
      <w:rFonts w:eastAsia="MS Gothic"/>
      <w:kern w:val="2"/>
      <w:sz w:val="24"/>
      <w:szCs w:val="20"/>
      <w:lang w:val="en-GB" w:eastAsia="ja-JP"/>
    </w:rPr>
  </w:style>
  <w:style w:type="paragraph" w:styleId="32">
    <w:name w:val="Balloon Text"/>
    <w:basedOn w:val="1"/>
    <w:link w:val="72"/>
    <w:unhideWhenUsed/>
    <w:qFormat/>
    <w:uiPriority w:val="99"/>
    <w:pPr>
      <w:spacing w:after="0" w:line="240" w:lineRule="auto"/>
    </w:pPr>
    <w:rPr>
      <w:rFonts w:ascii="Tahoma" w:hAnsi="Tahoma"/>
      <w:sz w:val="16"/>
      <w:szCs w:val="16"/>
    </w:rPr>
  </w:style>
  <w:style w:type="paragraph" w:styleId="33">
    <w:name w:val="footer"/>
    <w:basedOn w:val="1"/>
    <w:link w:val="172"/>
    <w:qFormat/>
    <w:uiPriority w:val="99"/>
    <w:pPr>
      <w:tabs>
        <w:tab w:val="center" w:pos="4153"/>
        <w:tab w:val="right" w:pos="8306"/>
      </w:tabs>
      <w:spacing w:line="240" w:lineRule="auto"/>
    </w:pPr>
    <w:rPr>
      <w:sz w:val="18"/>
      <w:szCs w:val="18"/>
    </w:rPr>
  </w:style>
  <w:style w:type="paragraph" w:styleId="34">
    <w:name w:val="header"/>
    <w:basedOn w:val="1"/>
    <w:link w:val="54"/>
    <w:qFormat/>
    <w:uiPriority w:val="99"/>
    <w:pPr>
      <w:tabs>
        <w:tab w:val="center" w:pos="4536"/>
        <w:tab w:val="right" w:pos="9072"/>
      </w:tabs>
      <w:spacing w:after="0" w:line="240" w:lineRule="auto"/>
    </w:pPr>
    <w:rPr>
      <w:rFonts w:ascii="Arial" w:hAnsi="Arial" w:eastAsia="MS Mincho"/>
      <w:b/>
      <w:szCs w:val="24"/>
      <w:lang w:eastAsia="en-US"/>
    </w:rPr>
  </w:style>
  <w:style w:type="paragraph" w:styleId="35">
    <w:name w:val="footnote text"/>
    <w:basedOn w:val="1"/>
    <w:link w:val="56"/>
    <w:qFormat/>
    <w:uiPriority w:val="0"/>
    <w:pPr>
      <w:spacing w:after="0" w:line="240" w:lineRule="auto"/>
    </w:pPr>
    <w:rPr>
      <w:rFonts w:ascii="Times" w:hAnsi="Times" w:eastAsia="Batang"/>
      <w:szCs w:val="20"/>
      <w:lang w:eastAsia="en-US"/>
    </w:rPr>
  </w:style>
  <w:style w:type="paragraph" w:styleId="36">
    <w:name w:val="table of figures"/>
    <w:basedOn w:val="30"/>
    <w:next w:val="1"/>
    <w:semiHidden/>
    <w:qFormat/>
    <w:uiPriority w:val="99"/>
    <w:pPr>
      <w:tabs>
        <w:tab w:val="right" w:leader="dot" w:pos="9360"/>
      </w:tabs>
      <w:spacing w:before="120" w:after="120"/>
    </w:pPr>
    <w:rPr>
      <w:caps/>
      <w:color w:val="auto"/>
      <w:sz w:val="24"/>
      <w:szCs w:val="20"/>
    </w:rPr>
  </w:style>
  <w:style w:type="paragraph" w:styleId="37">
    <w:name w:val="toc 2"/>
    <w:basedOn w:val="30"/>
    <w:next w:val="1"/>
    <w:qFormat/>
    <w:uiPriority w:val="39"/>
    <w:pPr>
      <w:keepLines/>
      <w:widowControl w:val="0"/>
      <w:tabs>
        <w:tab w:val="right" w:leader="dot" w:pos="9639"/>
      </w:tabs>
      <w:ind w:left="851" w:right="425" w:hanging="851"/>
    </w:pPr>
    <w:rPr>
      <w:rFonts w:eastAsiaTheme="minorEastAsia"/>
      <w:color w:val="auto"/>
      <w:sz w:val="20"/>
      <w:szCs w:val="20"/>
      <w:lang w:eastAsia="en-US"/>
    </w:rPr>
  </w:style>
  <w:style w:type="paragraph" w:styleId="38">
    <w:name w:val="toc 9"/>
    <w:basedOn w:val="29"/>
    <w:next w:val="1"/>
    <w:qFormat/>
    <w:uiPriority w:val="39"/>
    <w:pPr>
      <w:ind w:left="1418" w:hanging="1418"/>
    </w:pPr>
  </w:style>
  <w:style w:type="paragraph" w:styleId="39">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40">
    <w:name w:val="annotation subject"/>
    <w:basedOn w:val="19"/>
    <w:next w:val="19"/>
    <w:link w:val="55"/>
    <w:unhideWhenUsed/>
    <w:qFormat/>
    <w:uiPriority w:val="0"/>
    <w:rPr>
      <w:b/>
      <w:bCs/>
    </w:rPr>
  </w:style>
  <w:style w:type="table" w:styleId="42">
    <w:name w:val="Table Grid"/>
    <w:basedOn w:val="4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3">
    <w:name w:val="Medium Grid 1 Accent 2"/>
    <w:basedOn w:val="41"/>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5">
    <w:name w:val="Strong"/>
    <w:basedOn w:val="44"/>
    <w:qFormat/>
    <w:uiPriority w:val="22"/>
    <w:rPr>
      <w:b/>
    </w:rPr>
  </w:style>
  <w:style w:type="character" w:styleId="46">
    <w:name w:val="page number"/>
    <w:basedOn w:val="44"/>
    <w:qFormat/>
    <w:uiPriority w:val="0"/>
  </w:style>
  <w:style w:type="character" w:styleId="47">
    <w:name w:val="FollowedHyperlink"/>
    <w:unhideWhenUsed/>
    <w:qFormat/>
    <w:uiPriority w:val="0"/>
    <w:rPr>
      <w:color w:val="2779B6"/>
      <w:u w:val="single"/>
    </w:rPr>
  </w:style>
  <w:style w:type="character" w:styleId="48">
    <w:name w:val="Emphasis"/>
    <w:basedOn w:val="44"/>
    <w:qFormat/>
    <w:uiPriority w:val="20"/>
    <w:rPr>
      <w:i/>
    </w:rPr>
  </w:style>
  <w:style w:type="character" w:styleId="49">
    <w:name w:val="Hyperlink"/>
    <w:unhideWhenUsed/>
    <w:qFormat/>
    <w:uiPriority w:val="99"/>
    <w:rPr>
      <w:color w:val="2779B6"/>
      <w:u w:val="single"/>
    </w:rPr>
  </w:style>
  <w:style w:type="character" w:styleId="50">
    <w:name w:val="annotation reference"/>
    <w:basedOn w:val="44"/>
    <w:unhideWhenUsed/>
    <w:qFormat/>
    <w:uiPriority w:val="99"/>
    <w:rPr>
      <w:sz w:val="16"/>
      <w:szCs w:val="16"/>
    </w:rPr>
  </w:style>
  <w:style w:type="character" w:styleId="51">
    <w:name w:val="footnote reference"/>
    <w:qFormat/>
    <w:uiPriority w:val="0"/>
    <w:rPr>
      <w:b/>
      <w:position w:val="6"/>
      <w:sz w:val="16"/>
    </w:rPr>
  </w:style>
  <w:style w:type="character" w:customStyle="1" w:styleId="52">
    <w:name w:val="标题 1 字符"/>
    <w:link w:val="4"/>
    <w:qFormat/>
    <w:uiPriority w:val="0"/>
    <w:rPr>
      <w:rFonts w:ascii="Arial" w:hAnsi="Arial" w:eastAsia="黑体" w:cs="Times New Roman"/>
      <w:b/>
      <w:bCs/>
      <w:sz w:val="22"/>
      <w:szCs w:val="30"/>
      <w:lang w:val="zh-CN"/>
    </w:rPr>
  </w:style>
  <w:style w:type="character" w:customStyle="1" w:styleId="53">
    <w:name w:val="标题 3 字符"/>
    <w:link w:val="6"/>
    <w:qFormat/>
    <w:uiPriority w:val="99"/>
    <w:rPr>
      <w:rFonts w:ascii="Arial" w:hAnsi="Arial" w:eastAsia="黑体" w:cs="Times New Roman"/>
      <w:b/>
      <w:bCs/>
      <w:sz w:val="32"/>
      <w:szCs w:val="32"/>
      <w:lang w:val="zh-CN"/>
    </w:rPr>
  </w:style>
  <w:style w:type="character" w:customStyle="1" w:styleId="54">
    <w:name w:val="页眉 字符"/>
    <w:link w:val="34"/>
    <w:qFormat/>
    <w:uiPriority w:val="99"/>
    <w:rPr>
      <w:rFonts w:ascii="Arial" w:hAnsi="Arial" w:eastAsia="MS Mincho"/>
      <w:b/>
      <w:szCs w:val="24"/>
      <w:lang w:eastAsia="en-US"/>
    </w:rPr>
  </w:style>
  <w:style w:type="character" w:customStyle="1" w:styleId="55">
    <w:name w:val="批注主题 字符"/>
    <w:link w:val="40"/>
    <w:qFormat/>
    <w:uiPriority w:val="0"/>
    <w:rPr>
      <w:b/>
      <w:bCs/>
    </w:rPr>
  </w:style>
  <w:style w:type="character" w:customStyle="1" w:styleId="56">
    <w:name w:val="脚注文本 字符"/>
    <w:link w:val="35"/>
    <w:qFormat/>
    <w:uiPriority w:val="0"/>
    <w:rPr>
      <w:rFonts w:ascii="Times" w:hAnsi="Times" w:eastAsia="Batang"/>
      <w:lang w:eastAsia="en-US"/>
    </w:rPr>
  </w:style>
  <w:style w:type="character" w:customStyle="1" w:styleId="57">
    <w:name w:val="TH Char"/>
    <w:link w:val="58"/>
    <w:qFormat/>
    <w:uiPriority w:val="0"/>
    <w:rPr>
      <w:rFonts w:ascii="Arial" w:hAnsi="Arial"/>
      <w:b/>
      <w:lang w:val="en-GB" w:eastAsia="en-US"/>
    </w:rPr>
  </w:style>
  <w:style w:type="paragraph" w:customStyle="1" w:styleId="58">
    <w:name w:val="TH"/>
    <w:basedOn w:val="1"/>
    <w:link w:val="57"/>
    <w:qFormat/>
    <w:uiPriority w:val="0"/>
    <w:pPr>
      <w:keepNext/>
      <w:keepLines/>
      <w:spacing w:before="60" w:after="180" w:line="240" w:lineRule="auto"/>
      <w:jc w:val="center"/>
    </w:pPr>
    <w:rPr>
      <w:rFonts w:ascii="Arial" w:hAnsi="Arial"/>
      <w:b/>
      <w:szCs w:val="20"/>
      <w:lang w:val="en-GB" w:eastAsia="en-US"/>
    </w:rPr>
  </w:style>
  <w:style w:type="character" w:customStyle="1" w:styleId="59">
    <w:name w:val="TAC Char"/>
    <w:link w:val="60"/>
    <w:qFormat/>
    <w:uiPriority w:val="0"/>
    <w:rPr>
      <w:rFonts w:ascii="Arial" w:hAnsi="Arial" w:eastAsia="Times New Roman"/>
      <w:sz w:val="18"/>
      <w:lang w:val="en-GB" w:eastAsia="en-GB"/>
    </w:rPr>
  </w:style>
  <w:style w:type="paragraph" w:customStyle="1" w:styleId="60">
    <w:name w:val="TAC"/>
    <w:basedOn w:val="61"/>
    <w:link w:val="59"/>
    <w:qFormat/>
    <w:uiPriority w:val="0"/>
    <w:pPr>
      <w:overflowPunct w:val="0"/>
      <w:autoSpaceDE w:val="0"/>
      <w:autoSpaceDN w:val="0"/>
      <w:jc w:val="center"/>
      <w:textAlignment w:val="baseline"/>
    </w:pPr>
    <w:rPr>
      <w:rFonts w:eastAsia="Times New Roman"/>
      <w:lang w:eastAsia="en-GB"/>
    </w:rPr>
  </w:style>
  <w:style w:type="paragraph" w:customStyle="1" w:styleId="61">
    <w:name w:val="TAL"/>
    <w:basedOn w:val="1"/>
    <w:link w:val="146"/>
    <w:qFormat/>
    <w:uiPriority w:val="0"/>
    <w:pPr>
      <w:keepNext/>
      <w:keepLines/>
      <w:spacing w:after="0" w:line="240" w:lineRule="auto"/>
    </w:pPr>
    <w:rPr>
      <w:rFonts w:ascii="Arial" w:hAnsi="Arial"/>
      <w:sz w:val="18"/>
      <w:szCs w:val="20"/>
      <w:lang w:val="en-GB" w:eastAsia="en-US"/>
    </w:rPr>
  </w:style>
  <w:style w:type="character" w:customStyle="1" w:styleId="62">
    <w:name w:val="apple-converted-space"/>
    <w:basedOn w:val="44"/>
    <w:qFormat/>
    <w:uiPriority w:val="0"/>
  </w:style>
  <w:style w:type="character" w:customStyle="1" w:styleId="63">
    <w:name w:val="题注 字符"/>
    <w:link w:val="16"/>
    <w:qFormat/>
    <w:uiPriority w:val="0"/>
    <w:rPr>
      <w:rFonts w:ascii="Times New Roman" w:hAnsi="Times New Roman"/>
      <w:b/>
      <w:bCs/>
      <w:lang w:val="en-GB" w:eastAsia="sv-SE"/>
    </w:rPr>
  </w:style>
  <w:style w:type="character" w:customStyle="1" w:styleId="64">
    <w:name w:val="B1 (文字)"/>
    <w:link w:val="65"/>
    <w:qFormat/>
    <w:locked/>
    <w:uiPriority w:val="0"/>
    <w:rPr>
      <w:rFonts w:ascii="Times New Roman" w:hAnsi="Times New Roman" w:eastAsia="宋体"/>
      <w:lang w:val="en-GB" w:eastAsia="en-US"/>
    </w:rPr>
  </w:style>
  <w:style w:type="paragraph" w:customStyle="1" w:styleId="65">
    <w:name w:val="B1"/>
    <w:basedOn w:val="25"/>
    <w:link w:val="64"/>
    <w:qFormat/>
    <w:uiPriority w:val="0"/>
    <w:pPr>
      <w:spacing w:after="180" w:line="240" w:lineRule="auto"/>
      <w:ind w:left="568" w:hanging="284" w:firstLineChars="0"/>
    </w:pPr>
    <w:rPr>
      <w:szCs w:val="20"/>
      <w:lang w:val="en-GB" w:eastAsia="en-US"/>
    </w:rPr>
  </w:style>
  <w:style w:type="character" w:customStyle="1" w:styleId="66">
    <w:name w:val="main text Char"/>
    <w:link w:val="67"/>
    <w:qFormat/>
    <w:uiPriority w:val="0"/>
    <w:rPr>
      <w:rFonts w:ascii="Times New Roman" w:hAnsi="Times New Roman" w:eastAsia="Malgun Gothic"/>
      <w:lang w:val="en-GB" w:eastAsia="ko-KR"/>
    </w:rPr>
  </w:style>
  <w:style w:type="paragraph" w:customStyle="1" w:styleId="67">
    <w:name w:val="main text"/>
    <w:basedOn w:val="1"/>
    <w:link w:val="66"/>
    <w:qFormat/>
    <w:uiPriority w:val="0"/>
    <w:pPr>
      <w:spacing w:before="60" w:after="60"/>
      <w:ind w:firstLine="200" w:firstLineChars="200"/>
    </w:pPr>
    <w:rPr>
      <w:rFonts w:eastAsia="Malgun Gothic"/>
      <w:szCs w:val="20"/>
      <w:lang w:val="en-GB" w:eastAsia="ko-KR"/>
    </w:rPr>
  </w:style>
  <w:style w:type="character" w:customStyle="1" w:styleId="68">
    <w:name w:val="批注文字 字符"/>
    <w:basedOn w:val="44"/>
    <w:link w:val="19"/>
    <w:qFormat/>
    <w:uiPriority w:val="99"/>
  </w:style>
  <w:style w:type="character" w:customStyle="1" w:styleId="69">
    <w:name w:val="正文文本 字符"/>
    <w:link w:val="2"/>
    <w:qFormat/>
    <w:uiPriority w:val="0"/>
    <w:rPr>
      <w:rFonts w:ascii="Times New Roman" w:hAnsi="Times New Roman"/>
      <w:color w:val="0000FF"/>
      <w:kern w:val="2"/>
      <w:sz w:val="21"/>
    </w:rPr>
  </w:style>
  <w:style w:type="character" w:customStyle="1" w:styleId="70">
    <w:name w:val="def"/>
    <w:basedOn w:val="44"/>
    <w:qFormat/>
    <w:uiPriority w:val="0"/>
  </w:style>
  <w:style w:type="character" w:customStyle="1" w:styleId="71">
    <w:name w:val="中等深浅网格 1 - 强调文字颜色 2 Char"/>
    <w:qFormat/>
    <w:locked/>
    <w:uiPriority w:val="34"/>
    <w:rPr>
      <w:rFonts w:ascii="Times New Roman" w:hAnsi="Times New Roman"/>
      <w:kern w:val="2"/>
      <w:sz w:val="21"/>
      <w:szCs w:val="24"/>
    </w:rPr>
  </w:style>
  <w:style w:type="character" w:customStyle="1" w:styleId="72">
    <w:name w:val="批注框文本 字符"/>
    <w:link w:val="32"/>
    <w:qFormat/>
    <w:uiPriority w:val="99"/>
    <w:rPr>
      <w:rFonts w:ascii="Tahoma" w:hAnsi="Tahoma" w:cs="Tahoma"/>
      <w:sz w:val="16"/>
      <w:szCs w:val="16"/>
    </w:rPr>
  </w:style>
  <w:style w:type="character" w:customStyle="1" w:styleId="73">
    <w:name w:val="Normal with indent Char"/>
    <w:link w:val="74"/>
    <w:qFormat/>
    <w:uiPriority w:val="0"/>
    <w:rPr>
      <w:rFonts w:ascii="Times New Roman" w:hAnsi="Times New Roman" w:eastAsia="Malgun Gothic"/>
      <w:lang w:val="en-GB" w:eastAsia="ko-KR"/>
    </w:rPr>
  </w:style>
  <w:style w:type="paragraph" w:customStyle="1" w:styleId="74">
    <w:name w:val="Normal with indent"/>
    <w:basedOn w:val="1"/>
    <w:link w:val="73"/>
    <w:qFormat/>
    <w:uiPriority w:val="0"/>
    <w:pPr>
      <w:spacing w:before="120" w:after="120" w:line="336" w:lineRule="auto"/>
      <w:ind w:firstLine="397"/>
    </w:pPr>
    <w:rPr>
      <w:rFonts w:eastAsia="Malgun Gothic"/>
      <w:szCs w:val="20"/>
      <w:lang w:val="en-GB" w:eastAsia="ko-KR"/>
    </w:rPr>
  </w:style>
  <w:style w:type="character" w:customStyle="1" w:styleId="75">
    <w:name w:val="word"/>
    <w:basedOn w:val="44"/>
    <w:qFormat/>
    <w:uiPriority w:val="0"/>
  </w:style>
  <w:style w:type="character" w:customStyle="1" w:styleId="76">
    <w:name w:val="文档结构图 字符"/>
    <w:link w:val="18"/>
    <w:qFormat/>
    <w:uiPriority w:val="99"/>
    <w:rPr>
      <w:rFonts w:ascii="宋体"/>
      <w:sz w:val="18"/>
      <w:szCs w:val="18"/>
    </w:rPr>
  </w:style>
  <w:style w:type="character" w:customStyle="1" w:styleId="77">
    <w:name w:val="high-light"/>
    <w:basedOn w:val="44"/>
    <w:qFormat/>
    <w:uiPriority w:val="0"/>
  </w:style>
  <w:style w:type="character" w:customStyle="1" w:styleId="78">
    <w:name w:val="pos"/>
    <w:basedOn w:val="44"/>
    <w:qFormat/>
    <w:uiPriority w:val="0"/>
  </w:style>
  <w:style w:type="character" w:customStyle="1" w:styleId="79">
    <w:name w:val="apple-style-span"/>
    <w:basedOn w:val="44"/>
    <w:qFormat/>
    <w:uiPriority w:val="0"/>
  </w:style>
  <w:style w:type="character" w:customStyle="1" w:styleId="80">
    <w:name w:val="ZGSM"/>
    <w:qFormat/>
    <w:uiPriority w:val="0"/>
  </w:style>
  <w:style w:type="paragraph" w:customStyle="1" w:styleId="81">
    <w:name w:val="TAH"/>
    <w:basedOn w:val="60"/>
    <w:link w:val="108"/>
    <w:qFormat/>
    <w:uiPriority w:val="0"/>
    <w:rPr>
      <w:b/>
    </w:rPr>
  </w:style>
  <w:style w:type="paragraph" w:customStyle="1" w:styleId="82">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3">
    <w:name w:val="RAN1 bullet2"/>
    <w:basedOn w:val="1"/>
    <w:qFormat/>
    <w:uiPriority w:val="0"/>
    <w:pPr>
      <w:numPr>
        <w:ilvl w:val="1"/>
        <w:numId w:val="3"/>
      </w:numPr>
    </w:pPr>
    <w:rPr>
      <w:szCs w:val="20"/>
    </w:rPr>
  </w:style>
  <w:style w:type="paragraph" w:customStyle="1" w:styleId="84">
    <w:name w:val="PaperTableCell"/>
    <w:basedOn w:val="1"/>
    <w:qFormat/>
    <w:uiPriority w:val="0"/>
    <w:pPr>
      <w:spacing w:after="0" w:line="240" w:lineRule="auto"/>
    </w:pPr>
    <w:rPr>
      <w:rFonts w:eastAsia="Times New Roman"/>
      <w:sz w:val="16"/>
      <w:szCs w:val="24"/>
      <w:lang w:eastAsia="en-US"/>
    </w:rPr>
  </w:style>
  <w:style w:type="paragraph" w:customStyle="1" w:styleId="85">
    <w:name w:val="CR Cover Page"/>
    <w:qFormat/>
    <w:uiPriority w:val="0"/>
    <w:pPr>
      <w:spacing w:after="120" w:line="259" w:lineRule="auto"/>
    </w:pPr>
    <w:rPr>
      <w:rFonts w:ascii="Arial" w:hAnsi="Arial" w:eastAsia="MS Mincho" w:cs="Times New Roman"/>
      <w:lang w:val="en-GB" w:eastAsia="en-US" w:bidi="ar-SA"/>
    </w:rPr>
  </w:style>
  <w:style w:type="paragraph" w:customStyle="1" w:styleId="86">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87">
    <w:name w:val="EQ"/>
    <w:basedOn w:val="1"/>
    <w:next w:val="1"/>
    <w:qFormat/>
    <w:uiPriority w:val="99"/>
    <w:pPr>
      <w:keepLines/>
      <w:tabs>
        <w:tab w:val="center" w:pos="4536"/>
        <w:tab w:val="right" w:pos="9072"/>
      </w:tabs>
      <w:spacing w:after="180" w:line="240" w:lineRule="auto"/>
    </w:pPr>
    <w:rPr>
      <w:szCs w:val="20"/>
      <w:lang w:val="en-GB" w:eastAsia="en-US"/>
    </w:rPr>
  </w:style>
  <w:style w:type="paragraph" w:customStyle="1" w:styleId="88">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89">
    <w:name w:val="RAN1 bullet3"/>
    <w:basedOn w:val="83"/>
    <w:qFormat/>
    <w:uiPriority w:val="0"/>
    <w:pPr>
      <w:numPr>
        <w:ilvl w:val="2"/>
        <w:numId w:val="4"/>
      </w:numPr>
    </w:pPr>
  </w:style>
  <w:style w:type="paragraph" w:customStyle="1" w:styleId="90">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2">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1"/>
    <w:basedOn w:val="1"/>
    <w:link w:val="110"/>
    <w:qFormat/>
    <w:uiPriority w:val="0"/>
    <w:pPr>
      <w:numPr>
        <w:ilvl w:val="0"/>
        <w:numId w:val="5"/>
      </w:numPr>
    </w:pPr>
  </w:style>
  <w:style w:type="paragraph" w:customStyle="1" w:styleId="94">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5">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6">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97">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98">
    <w:name w:val="ZT"/>
    <w:qFormat/>
    <w:uiPriority w:val="99"/>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9">
    <w:name w:val="RAN1 text"/>
    <w:basedOn w:val="2"/>
    <w:link w:val="109"/>
    <w:qFormat/>
    <w:uiPriority w:val="0"/>
    <w:rPr>
      <w:rFonts w:eastAsia="MS Mincho"/>
    </w:rPr>
  </w:style>
  <w:style w:type="paragraph" w:customStyle="1" w:styleId="100">
    <w:name w:val="TF"/>
    <w:basedOn w:val="58"/>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101">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10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3">
    <w:name w:val="List Paragraph1"/>
    <w:basedOn w:val="1"/>
    <w:qFormat/>
    <w:uiPriority w:val="34"/>
    <w:pPr>
      <w:widowControl w:val="0"/>
      <w:spacing w:after="0" w:line="240" w:lineRule="auto"/>
      <w:ind w:firstLine="420" w:firstLineChars="200"/>
    </w:pPr>
    <w:rPr>
      <w:kern w:val="2"/>
      <w:sz w:val="21"/>
    </w:rPr>
  </w:style>
  <w:style w:type="table" w:customStyle="1" w:styleId="104">
    <w:name w:val="网格型1"/>
    <w:basedOn w:val="41"/>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05">
    <w:name w:val="B1 Zchn"/>
    <w:qFormat/>
    <w:uiPriority w:val="0"/>
    <w:rPr>
      <w:lang w:val="en-GB" w:eastAsia="en-US"/>
    </w:rPr>
  </w:style>
  <w:style w:type="paragraph" w:customStyle="1" w:styleId="106">
    <w:name w:val="text"/>
    <w:basedOn w:val="1"/>
    <w:link w:val="107"/>
    <w:qFormat/>
    <w:uiPriority w:val="99"/>
    <w:pPr>
      <w:widowControl w:val="0"/>
      <w:overflowPunct w:val="0"/>
      <w:autoSpaceDE w:val="0"/>
      <w:autoSpaceDN w:val="0"/>
      <w:spacing w:after="240" w:line="240" w:lineRule="auto"/>
      <w:textAlignment w:val="baseline"/>
    </w:pPr>
    <w:rPr>
      <w:sz w:val="24"/>
      <w:szCs w:val="20"/>
      <w:lang w:val="en-AU" w:eastAsia="en-GB"/>
    </w:rPr>
  </w:style>
  <w:style w:type="character" w:customStyle="1" w:styleId="107">
    <w:name w:val="text Char"/>
    <w:link w:val="106"/>
    <w:qFormat/>
    <w:uiPriority w:val="99"/>
    <w:rPr>
      <w:sz w:val="24"/>
      <w:lang w:val="en-AU" w:eastAsia="en-GB"/>
    </w:rPr>
  </w:style>
  <w:style w:type="character" w:customStyle="1" w:styleId="108">
    <w:name w:val="TAH Car"/>
    <w:link w:val="81"/>
    <w:qFormat/>
    <w:uiPriority w:val="0"/>
    <w:rPr>
      <w:rFonts w:ascii="Arial" w:hAnsi="Arial" w:eastAsia="Times New Roman"/>
      <w:b/>
      <w:sz w:val="18"/>
      <w:lang w:val="en-GB" w:eastAsia="en-GB"/>
    </w:rPr>
  </w:style>
  <w:style w:type="character" w:customStyle="1" w:styleId="109">
    <w:name w:val="RAN1 text Char"/>
    <w:link w:val="99"/>
    <w:qFormat/>
    <w:uiPriority w:val="0"/>
    <w:rPr>
      <w:rFonts w:eastAsia="MS Mincho"/>
      <w:color w:val="0000FF"/>
      <w:kern w:val="2"/>
      <w:sz w:val="21"/>
    </w:rPr>
  </w:style>
  <w:style w:type="character" w:customStyle="1" w:styleId="110">
    <w:name w:val="RAN1 bullet1 Char"/>
    <w:link w:val="93"/>
    <w:qFormat/>
    <w:uiPriority w:val="0"/>
    <w:rPr>
      <w:rFonts w:ascii="Times New Roman" w:hAnsi="Times New Roman" w:cs="Times New Roman" w:eastAsiaTheme="minorEastAsia"/>
      <w:szCs w:val="22"/>
    </w:rPr>
  </w:style>
  <w:style w:type="character" w:customStyle="1" w:styleId="111">
    <w:name w:val="列出段落 Char"/>
    <w:link w:val="112"/>
    <w:qFormat/>
    <w:locked/>
    <w:uiPriority w:val="34"/>
    <w:rPr>
      <w:rFonts w:ascii="Times" w:hAnsi="Times" w:cs="Times"/>
      <w:szCs w:val="24"/>
      <w:lang w:val="en-GB" w:eastAsia="zh-CN"/>
    </w:rPr>
  </w:style>
  <w:style w:type="paragraph" w:customStyle="1" w:styleId="112">
    <w:name w:val="列出段落1"/>
    <w:basedOn w:val="1"/>
    <w:link w:val="111"/>
    <w:qFormat/>
    <w:uiPriority w:val="34"/>
    <w:pPr>
      <w:spacing w:after="0" w:line="240" w:lineRule="auto"/>
      <w:ind w:left="840" w:leftChars="400" w:hanging="720"/>
    </w:pPr>
    <w:rPr>
      <w:rFonts w:ascii="Times" w:hAnsi="Times" w:cs="Times"/>
      <w:szCs w:val="24"/>
      <w:lang w:val="en-GB"/>
    </w:rPr>
  </w:style>
  <w:style w:type="paragraph" w:customStyle="1" w:styleId="113">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14">
    <w:name w:val="占位符文本1"/>
    <w:basedOn w:val="44"/>
    <w:unhideWhenUsed/>
    <w:qFormat/>
    <w:uiPriority w:val="99"/>
    <w:rPr>
      <w:color w:val="808080"/>
    </w:rPr>
  </w:style>
  <w:style w:type="paragraph" w:customStyle="1" w:styleId="115">
    <w:name w:val="正文1"/>
    <w:qFormat/>
    <w:uiPriority w:val="99"/>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16">
    <w:name w:val="Placeholder Text1"/>
    <w:basedOn w:val="44"/>
    <w:semiHidden/>
    <w:qFormat/>
    <w:uiPriority w:val="99"/>
    <w:rPr>
      <w:color w:val="808080"/>
    </w:rPr>
  </w:style>
  <w:style w:type="paragraph" w:customStyle="1" w:styleId="117">
    <w:name w:val="List Paragraph2"/>
    <w:basedOn w:val="1"/>
    <w:qFormat/>
    <w:uiPriority w:val="34"/>
    <w:pPr>
      <w:ind w:firstLine="420" w:firstLineChars="200"/>
    </w:pPr>
  </w:style>
  <w:style w:type="paragraph" w:customStyle="1" w:styleId="118">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19">
    <w:name w:val="样式1"/>
    <w:basedOn w:val="1"/>
    <w:link w:val="120"/>
    <w:qFormat/>
    <w:uiPriority w:val="0"/>
    <w:pPr>
      <w:spacing w:before="120" w:after="120" w:afterLines="50" w:line="240" w:lineRule="auto"/>
    </w:pPr>
    <w:rPr>
      <w:rFonts w:eastAsia="微软雅黑"/>
      <w:b/>
    </w:rPr>
  </w:style>
  <w:style w:type="character" w:customStyle="1" w:styleId="120">
    <w:name w:val="样式1 Char"/>
    <w:basedOn w:val="44"/>
    <w:link w:val="119"/>
    <w:qFormat/>
    <w:uiPriority w:val="0"/>
    <w:rPr>
      <w:rFonts w:eastAsia="微软雅黑"/>
      <w:b/>
      <w:sz w:val="22"/>
      <w:szCs w:val="22"/>
    </w:rPr>
  </w:style>
  <w:style w:type="paragraph" w:customStyle="1" w:styleId="121">
    <w:name w:val="Style1"/>
    <w:basedOn w:val="1"/>
    <w:link w:val="122"/>
    <w:qFormat/>
    <w:uiPriority w:val="0"/>
    <w:pPr>
      <w:spacing w:after="180"/>
      <w:ind w:firstLine="360"/>
    </w:pPr>
    <w:rPr>
      <w:rFonts w:eastAsia="Malgun Gothic" w:cs="Batang"/>
      <w:szCs w:val="20"/>
      <w:lang w:val="en-GB" w:eastAsia="en-US"/>
    </w:rPr>
  </w:style>
  <w:style w:type="character" w:customStyle="1" w:styleId="122">
    <w:name w:val="Style1 Char"/>
    <w:link w:val="121"/>
    <w:qFormat/>
    <w:uiPriority w:val="0"/>
    <w:rPr>
      <w:rFonts w:eastAsia="Malgun Gothic" w:cs="Batang"/>
      <w:lang w:val="en-GB" w:eastAsia="en-US"/>
    </w:rPr>
  </w:style>
  <w:style w:type="paragraph" w:customStyle="1" w:styleId="123">
    <w:name w:val="0 Main text"/>
    <w:basedOn w:val="67"/>
    <w:qFormat/>
    <w:uiPriority w:val="0"/>
    <w:pPr>
      <w:spacing w:before="0" w:after="100" w:afterAutospacing="1"/>
      <w:ind w:firstLine="360" w:firstLineChars="0"/>
    </w:pPr>
    <w:rPr>
      <w:rFonts w:cs="Batang"/>
      <w:lang w:eastAsia="en-US"/>
    </w:rPr>
  </w:style>
  <w:style w:type="paragraph" w:customStyle="1" w:styleId="124">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25">
    <w:name w:val="03_Proposal"/>
    <w:basedOn w:val="126"/>
    <w:qFormat/>
    <w:uiPriority w:val="0"/>
    <w:rPr>
      <w:b/>
      <w:i w:val="0"/>
      <w:iCs w:val="0"/>
    </w:rPr>
  </w:style>
  <w:style w:type="paragraph" w:customStyle="1" w:styleId="126">
    <w:name w:val="04_Proposal1"/>
    <w:basedOn w:val="1"/>
    <w:qFormat/>
    <w:uiPriority w:val="0"/>
    <w:rPr>
      <w:bCs/>
      <w:i/>
      <w:iCs/>
    </w:rPr>
  </w:style>
  <w:style w:type="paragraph" w:customStyle="1" w:styleId="127">
    <w:name w:val="列出段落2"/>
    <w:basedOn w:val="1"/>
    <w:link w:val="128"/>
    <w:qFormat/>
    <w:uiPriority w:val="34"/>
    <w:pPr>
      <w:ind w:firstLine="420" w:firstLineChars="200"/>
    </w:pPr>
  </w:style>
  <w:style w:type="character" w:customStyle="1" w:styleId="128">
    <w:name w:val="List Paragraph Char"/>
    <w:basedOn w:val="44"/>
    <w:link w:val="127"/>
    <w:qFormat/>
    <w:locked/>
    <w:uiPriority w:val="34"/>
    <w:rPr>
      <w:rFonts w:eastAsia="t"/>
      <w:szCs w:val="22"/>
    </w:rPr>
  </w:style>
  <w:style w:type="paragraph" w:styleId="129">
    <w:name w:val="List Paragraph"/>
    <w:basedOn w:val="1"/>
    <w:link w:val="193"/>
    <w:qFormat/>
    <w:uiPriority w:val="34"/>
    <w:pPr>
      <w:ind w:firstLine="420" w:firstLineChars="200"/>
    </w:pPr>
  </w:style>
  <w:style w:type="paragraph" w:customStyle="1" w:styleId="130">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3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32">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33">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34">
    <w:name w:val="msoins"/>
    <w:qFormat/>
    <w:uiPriority w:val="0"/>
  </w:style>
  <w:style w:type="paragraph" w:customStyle="1" w:styleId="135">
    <w:name w:val="Agreement"/>
    <w:basedOn w:val="1"/>
    <w:next w:val="136"/>
    <w:qFormat/>
    <w:uiPriority w:val="99"/>
    <w:pPr>
      <w:numPr>
        <w:ilvl w:val="0"/>
        <w:numId w:val="6"/>
      </w:numPr>
      <w:spacing w:before="60" w:after="0"/>
    </w:pPr>
    <w:rPr>
      <w:rFonts w:ascii="Arial" w:hAnsi="Arial"/>
      <w:b/>
      <w:szCs w:val="24"/>
      <w:lang w:eastAsia="en-GB"/>
    </w:rPr>
  </w:style>
  <w:style w:type="paragraph" w:customStyle="1" w:styleId="136">
    <w:name w:val="Doc-text2"/>
    <w:basedOn w:val="1"/>
    <w:link w:val="191"/>
    <w:qFormat/>
    <w:uiPriority w:val="99"/>
    <w:pPr>
      <w:tabs>
        <w:tab w:val="left" w:pos="1622"/>
      </w:tabs>
      <w:spacing w:after="0"/>
      <w:ind w:left="1622" w:hanging="363"/>
    </w:pPr>
    <w:rPr>
      <w:rFonts w:ascii="Arial" w:hAnsi="Arial"/>
      <w:szCs w:val="24"/>
      <w:lang w:eastAsia="en-GB"/>
    </w:rPr>
  </w:style>
  <w:style w:type="paragraph" w:customStyle="1" w:styleId="137">
    <w:name w:val="B2"/>
    <w:basedOn w:val="24"/>
    <w:link w:val="138"/>
    <w:qFormat/>
    <w:uiPriority w:val="99"/>
    <w:rPr>
      <w:rFonts w:eastAsia="Times New Roman"/>
      <w:lang w:val="zh-CN" w:eastAsia="en-US"/>
    </w:rPr>
  </w:style>
  <w:style w:type="character" w:customStyle="1" w:styleId="138">
    <w:name w:val="B2 Char"/>
    <w:link w:val="137"/>
    <w:qFormat/>
    <w:uiPriority w:val="99"/>
    <w:rPr>
      <w:rFonts w:eastAsia="Times New Roman"/>
      <w:lang w:val="zh-CN" w:eastAsia="en-US"/>
    </w:rPr>
  </w:style>
  <w:style w:type="character" w:customStyle="1" w:styleId="139">
    <w:name w:val="x_xxapple-converted-space"/>
    <w:basedOn w:val="44"/>
    <w:qFormat/>
    <w:uiPriority w:val="0"/>
  </w:style>
  <w:style w:type="paragraph" w:customStyle="1" w:styleId="140">
    <w:name w:val="text intend 1"/>
    <w:basedOn w:val="106"/>
    <w:qFormat/>
    <w:uiPriority w:val="99"/>
    <w:pPr>
      <w:widowControl/>
      <w:numPr>
        <w:ilvl w:val="0"/>
        <w:numId w:val="7"/>
      </w:numPr>
      <w:spacing w:after="120"/>
    </w:pPr>
    <w:rPr>
      <w:rFonts w:eastAsia="MS Mincho"/>
      <w:lang w:val="en-US"/>
    </w:rPr>
  </w:style>
  <w:style w:type="paragraph" w:customStyle="1" w:styleId="141">
    <w:name w:val="x_xxmsonormal"/>
    <w:basedOn w:val="1"/>
    <w:qFormat/>
    <w:uiPriority w:val="99"/>
    <w:rPr>
      <w:rFonts w:eastAsia="Malgun Gothic"/>
      <w:sz w:val="24"/>
      <w:lang w:eastAsia="ko-KR"/>
    </w:rPr>
  </w:style>
  <w:style w:type="paragraph" w:customStyle="1" w:styleId="142">
    <w:name w:val="PL"/>
    <w:link w:val="22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43">
    <w:name w:val="Pat Appl"/>
    <w:basedOn w:val="144"/>
    <w:qFormat/>
    <w:uiPriority w:val="0"/>
    <w:pPr>
      <w:tabs>
        <w:tab w:val="left" w:pos="1080"/>
      </w:tabs>
      <w:spacing w:before="0" w:after="0"/>
    </w:pPr>
  </w:style>
  <w:style w:type="paragraph" w:customStyle="1" w:styleId="144">
    <w:name w:val="PatApp Body"/>
    <w:basedOn w:val="1"/>
    <w:qFormat/>
    <w:uiPriority w:val="0"/>
    <w:pPr>
      <w:numPr>
        <w:ilvl w:val="0"/>
        <w:numId w:val="8"/>
      </w:numPr>
    </w:pPr>
  </w:style>
  <w:style w:type="paragraph" w:customStyle="1" w:styleId="145">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46">
    <w:name w:val="TAL Car"/>
    <w:basedOn w:val="44"/>
    <w:link w:val="61"/>
    <w:qFormat/>
    <w:locked/>
    <w:uiPriority w:val="0"/>
    <w:rPr>
      <w:rFonts w:ascii="Arial" w:hAnsi="Arial" w:eastAsiaTheme="minorEastAsia"/>
      <w:sz w:val="18"/>
      <w:lang w:val="en-GB" w:eastAsia="en-US"/>
    </w:rPr>
  </w:style>
  <w:style w:type="paragraph" w:customStyle="1" w:styleId="147">
    <w:name w:val="mc-p___"/>
    <w:basedOn w:val="1"/>
    <w:qFormat/>
    <w:uiPriority w:val="99"/>
    <w:pPr>
      <w:adjustRightInd/>
      <w:snapToGrid/>
      <w:spacing w:before="100" w:beforeLines="0" w:beforeAutospacing="1" w:after="100" w:afterLines="0" w:afterAutospacing="1" w:line="240" w:lineRule="auto"/>
      <w:jc w:val="left"/>
    </w:pPr>
    <w:rPr>
      <w:rFonts w:ascii="Gulim" w:eastAsia="Gulim" w:cs="Calibri"/>
      <w:sz w:val="24"/>
      <w:szCs w:val="24"/>
      <w:lang w:eastAsia="en-US"/>
    </w:rPr>
  </w:style>
  <w:style w:type="character" w:customStyle="1" w:styleId="148">
    <w:name w:val="Caption Char1"/>
    <w:qFormat/>
    <w:uiPriority w:val="99"/>
    <w:rPr>
      <w:rFonts w:ascii="Times New Roman" w:hAnsi="Times New Roman" w:eastAsia="Times New Roman"/>
      <w:b/>
      <w:lang w:val="en-GB" w:eastAsia="ar-SA"/>
    </w:rPr>
  </w:style>
  <w:style w:type="paragraph" w:customStyle="1" w:styleId="149">
    <w:name w:val="x_msonormal"/>
    <w:basedOn w:val="1"/>
    <w:qFormat/>
    <w:uiPriority w:val="0"/>
    <w:pPr>
      <w:adjustRightInd/>
      <w:snapToGrid/>
      <w:spacing w:before="0" w:beforeLines="0" w:after="0" w:afterLines="0" w:line="240" w:lineRule="auto"/>
      <w:jc w:val="left"/>
    </w:pPr>
    <w:rPr>
      <w:rFonts w:ascii="Calibri" w:hAnsi="Calibri" w:eastAsia="Calibri" w:cs="Calibri"/>
      <w:sz w:val="22"/>
      <w:lang w:eastAsia="en-US"/>
    </w:rPr>
  </w:style>
  <w:style w:type="paragraph" w:customStyle="1" w:styleId="150">
    <w:name w:val="bullet1"/>
    <w:basedOn w:val="129"/>
    <w:qFormat/>
    <w:uiPriority w:val="0"/>
    <w:pPr>
      <w:numPr>
        <w:ilvl w:val="0"/>
        <w:numId w:val="9"/>
      </w:numPr>
      <w:spacing w:line="276" w:lineRule="auto"/>
      <w:ind w:left="0"/>
      <w:contextualSpacing/>
    </w:pPr>
    <w:rPr>
      <w:rFonts w:eastAsia="等线" w:cs="Calibri"/>
      <w:iCs/>
      <w:sz w:val="22"/>
      <w:szCs w:val="20"/>
    </w:rPr>
  </w:style>
  <w:style w:type="character" w:customStyle="1" w:styleId="151">
    <w:name w:val="fontstyle01"/>
    <w:basedOn w:val="44"/>
    <w:qFormat/>
    <w:uiPriority w:val="0"/>
    <w:rPr>
      <w:rFonts w:ascii="T165" w:hAnsi="T165" w:eastAsia="T165" w:cs="T165"/>
      <w:color w:val="000000"/>
      <w:sz w:val="20"/>
      <w:szCs w:val="20"/>
    </w:rPr>
  </w:style>
  <w:style w:type="paragraph" w:customStyle="1" w:styleId="152">
    <w:name w:val="TAN"/>
    <w:basedOn w:val="61"/>
    <w:link w:val="154"/>
    <w:qFormat/>
    <w:uiPriority w:val="0"/>
    <w:pPr>
      <w:adjustRightInd/>
      <w:ind w:left="851" w:hanging="851"/>
    </w:pPr>
    <w:rPr>
      <w:rFonts w:cs="Arial"/>
    </w:rPr>
  </w:style>
  <w:style w:type="paragraph" w:customStyle="1" w:styleId="153">
    <w:name w:val="bodytext"/>
    <w:basedOn w:val="1"/>
    <w:qFormat/>
    <w:uiPriority w:val="99"/>
    <w:pPr>
      <w:spacing w:before="100" w:beforeAutospacing="1" w:after="100" w:afterAutospacing="1"/>
      <w:jc w:val="left"/>
    </w:pPr>
    <w:rPr>
      <w:rFonts w:ascii="Gulim" w:hAnsi="Gulim" w:eastAsia="Gulim"/>
      <w:sz w:val="24"/>
      <w:szCs w:val="24"/>
      <w:lang w:eastAsia="ko-KR"/>
    </w:rPr>
  </w:style>
  <w:style w:type="character" w:customStyle="1" w:styleId="154">
    <w:name w:val="TAN Char"/>
    <w:link w:val="152"/>
    <w:qFormat/>
    <w:locked/>
    <w:uiPriority w:val="0"/>
    <w:rPr>
      <w:rFonts w:ascii="Arial" w:hAnsi="Arial" w:cs="Arial" w:eastAsiaTheme="minorEastAsia"/>
      <w:sz w:val="18"/>
      <w:lang w:val="en-GB" w:eastAsia="en-US"/>
    </w:rPr>
  </w:style>
  <w:style w:type="paragraph" w:customStyle="1" w:styleId="155">
    <w:name w:val="正文5"/>
    <w:qFormat/>
    <w:uiPriority w:val="0"/>
    <w:rPr>
      <w:rFonts w:ascii="Times New Roman" w:hAnsi="Times New Roman" w:eastAsia="MS Gothic" w:cs="Times New Roman"/>
      <w:sz w:val="24"/>
      <w:szCs w:val="24"/>
      <w:lang w:val="en-US" w:eastAsia="zh-CN" w:bidi="ar-SA"/>
    </w:rPr>
  </w:style>
  <w:style w:type="paragraph" w:customStyle="1" w:styleId="156">
    <w:name w:val="xxxmsonormal"/>
    <w:basedOn w:val="1"/>
    <w:qFormat/>
    <w:uiPriority w:val="99"/>
    <w:pPr>
      <w:adjustRightInd/>
      <w:snapToGrid/>
      <w:spacing w:before="100" w:beforeLines="0" w:beforeAutospacing="1" w:after="100" w:afterLines="0" w:afterAutospacing="1" w:line="276" w:lineRule="auto"/>
    </w:pPr>
    <w:rPr>
      <w:rFonts w:ascii="Calibri" w:hAnsi="Calibri" w:eastAsia="Malgun Gothic" w:cs="Calibri"/>
      <w:sz w:val="22"/>
      <w:lang w:eastAsia="ko-KR"/>
    </w:rPr>
  </w:style>
  <w:style w:type="character" w:customStyle="1" w:styleId="157">
    <w:name w:val="标题 2 字符"/>
    <w:basedOn w:val="44"/>
    <w:link w:val="5"/>
    <w:qFormat/>
    <w:uiPriority w:val="0"/>
    <w:rPr>
      <w:rFonts w:ascii="Arial" w:hAnsi="Arial" w:eastAsia="黑体"/>
      <w:b/>
      <w:bCs/>
      <w:sz w:val="32"/>
      <w:szCs w:val="30"/>
      <w:lang w:val="zh-CN"/>
    </w:rPr>
  </w:style>
  <w:style w:type="character" w:customStyle="1" w:styleId="158">
    <w:name w:val="标题 4 字符"/>
    <w:basedOn w:val="44"/>
    <w:link w:val="7"/>
    <w:qFormat/>
    <w:uiPriority w:val="0"/>
    <w:rPr>
      <w:rFonts w:ascii="Arial" w:hAnsi="Arial" w:eastAsia="黑体"/>
      <w:b/>
      <w:bCs/>
      <w:sz w:val="24"/>
      <w:szCs w:val="32"/>
      <w:lang w:val="zh-CN"/>
    </w:rPr>
  </w:style>
  <w:style w:type="character" w:customStyle="1" w:styleId="159">
    <w:name w:val="标题 5 字符"/>
    <w:basedOn w:val="44"/>
    <w:link w:val="8"/>
    <w:qFormat/>
    <w:uiPriority w:val="0"/>
    <w:rPr>
      <w:rFonts w:ascii="宋体" w:hAnsi="宋体" w:eastAsiaTheme="minorEastAsia"/>
      <w:b/>
      <w:color w:val="666666"/>
    </w:rPr>
  </w:style>
  <w:style w:type="character" w:customStyle="1" w:styleId="160">
    <w:name w:val="标题 6 字符"/>
    <w:basedOn w:val="44"/>
    <w:link w:val="9"/>
    <w:qFormat/>
    <w:uiPriority w:val="9"/>
    <w:rPr>
      <w:rFonts w:ascii="Arial" w:hAnsi="Arial" w:eastAsia="黑体"/>
      <w:b/>
      <w:sz w:val="24"/>
      <w:szCs w:val="22"/>
    </w:rPr>
  </w:style>
  <w:style w:type="character" w:customStyle="1" w:styleId="161">
    <w:name w:val="标题 7 字符"/>
    <w:basedOn w:val="44"/>
    <w:link w:val="10"/>
    <w:qFormat/>
    <w:uiPriority w:val="9"/>
    <w:rPr>
      <w:rFonts w:eastAsiaTheme="minorEastAsia"/>
      <w:b/>
      <w:sz w:val="24"/>
      <w:szCs w:val="22"/>
    </w:rPr>
  </w:style>
  <w:style w:type="character" w:customStyle="1" w:styleId="162">
    <w:name w:val="标题 8 字符"/>
    <w:basedOn w:val="44"/>
    <w:link w:val="11"/>
    <w:qFormat/>
    <w:uiPriority w:val="9"/>
    <w:rPr>
      <w:rFonts w:ascii="Arial" w:hAnsi="Arial" w:eastAsia="黑体"/>
      <w:sz w:val="24"/>
      <w:szCs w:val="22"/>
    </w:rPr>
  </w:style>
  <w:style w:type="character" w:customStyle="1" w:styleId="163">
    <w:name w:val="标题 9 字符"/>
    <w:basedOn w:val="44"/>
    <w:link w:val="12"/>
    <w:qFormat/>
    <w:uiPriority w:val="9"/>
    <w:rPr>
      <w:rFonts w:ascii="Arial" w:hAnsi="Arial" w:eastAsia="黑体"/>
      <w:sz w:val="21"/>
      <w:szCs w:val="22"/>
    </w:rPr>
  </w:style>
  <w:style w:type="paragraph" w:customStyle="1" w:styleId="164">
    <w:name w:val="Heading 1 unnumbered"/>
    <w:basedOn w:val="4"/>
    <w:next w:val="2"/>
    <w:qFormat/>
    <w:uiPriority w:val="99"/>
    <w:pPr>
      <w:keepNext/>
      <w:widowControl/>
      <w:numPr>
        <w:numId w:val="0"/>
      </w:numPr>
      <w:tabs>
        <w:tab w:val="left" w:pos="0"/>
        <w:tab w:val="left" w:pos="360"/>
        <w:tab w:val="clear" w:pos="432"/>
      </w:tabs>
      <w:autoSpaceDE/>
      <w:autoSpaceDN/>
      <w:adjustRightInd/>
      <w:snapToGrid/>
      <w:spacing w:before="360" w:beforeLines="0" w:after="240" w:afterLines="0" w:line="240" w:lineRule="auto"/>
      <w:ind w:left="360" w:hanging="360"/>
      <w:jc w:val="left"/>
      <w:outlineLvl w:val="9"/>
    </w:pPr>
    <w:rPr>
      <w:rFonts w:ascii="Times New Roman" w:hAnsi="Times New Roman" w:eastAsia="MS Gothic"/>
      <w:b w:val="0"/>
      <w:bCs w:val="0"/>
      <w:kern w:val="28"/>
      <w:sz w:val="32"/>
      <w:szCs w:val="20"/>
      <w:lang w:val="en-GB" w:eastAsia="ja-JP"/>
    </w:rPr>
  </w:style>
  <w:style w:type="character" w:customStyle="1" w:styleId="165">
    <w:name w:val="正文文本缩进 字符"/>
    <w:basedOn w:val="44"/>
    <w:link w:val="22"/>
    <w:qFormat/>
    <w:uiPriority w:val="99"/>
    <w:rPr>
      <w:rFonts w:eastAsia="MS Gothic"/>
      <w:sz w:val="24"/>
      <w:lang w:val="en-GB" w:eastAsia="ja-JP"/>
    </w:rPr>
  </w:style>
  <w:style w:type="character" w:customStyle="1" w:styleId="166">
    <w:name w:val="纯文本 字符"/>
    <w:basedOn w:val="44"/>
    <w:link w:val="28"/>
    <w:qFormat/>
    <w:uiPriority w:val="99"/>
    <w:rPr>
      <w:rFonts w:ascii="Courier New" w:hAnsi="Courier New" w:eastAsia="MS Gothic"/>
      <w:sz w:val="24"/>
      <w:lang w:val="en-GB" w:eastAsia="ja-JP"/>
    </w:rPr>
  </w:style>
  <w:style w:type="character" w:customStyle="1" w:styleId="167">
    <w:name w:val="B1 Char"/>
    <w:qFormat/>
    <w:uiPriority w:val="0"/>
    <w:rPr>
      <w:rFonts w:ascii="Times New Roman" w:hAnsi="Times New Roman" w:eastAsia="MS Gothic"/>
      <w:sz w:val="24"/>
      <w:lang w:val="en-GB"/>
    </w:rPr>
  </w:style>
  <w:style w:type="paragraph" w:customStyle="1" w:styleId="168">
    <w:name w:val="lˆptext"/>
    <w:basedOn w:val="1"/>
    <w:qFormat/>
    <w:uiPriority w:val="99"/>
    <w:pPr>
      <w:adjustRightInd/>
      <w:snapToGrid/>
      <w:spacing w:before="100" w:beforeLines="0" w:after="100" w:afterLines="0" w:line="240" w:lineRule="auto"/>
      <w:ind w:left="860"/>
      <w:jc w:val="left"/>
    </w:pPr>
    <w:rPr>
      <w:rFonts w:ascii="Times" w:hAnsi="Times" w:eastAsia="MS Gothic"/>
      <w:sz w:val="24"/>
      <w:szCs w:val="20"/>
      <w:lang w:val="en-GB" w:eastAsia="ja-JP"/>
    </w:rPr>
  </w:style>
  <w:style w:type="paragraph" w:customStyle="1" w:styleId="169">
    <w:name w:val="佐藤２"/>
    <w:basedOn w:val="1"/>
    <w:qFormat/>
    <w:uiPriority w:val="99"/>
    <w:pPr>
      <w:numPr>
        <w:ilvl w:val="0"/>
        <w:numId w:val="10"/>
      </w:numPr>
      <w:adjustRightInd/>
      <w:snapToGrid/>
      <w:spacing w:before="0" w:beforeLines="0" w:after="180" w:afterLines="0" w:line="240" w:lineRule="auto"/>
      <w:jc w:val="left"/>
    </w:pPr>
    <w:rPr>
      <w:rFonts w:eastAsia="MS Gothic"/>
      <w:sz w:val="24"/>
      <w:szCs w:val="20"/>
      <w:lang w:val="en-GB" w:eastAsia="ja-JP"/>
    </w:rPr>
  </w:style>
  <w:style w:type="character" w:customStyle="1" w:styleId="170">
    <w:name w:val="正文文本缩进 2 字符"/>
    <w:basedOn w:val="44"/>
    <w:link w:val="31"/>
    <w:qFormat/>
    <w:uiPriority w:val="99"/>
    <w:rPr>
      <w:rFonts w:eastAsia="MS Gothic"/>
      <w:kern w:val="2"/>
      <w:sz w:val="24"/>
      <w:lang w:val="en-GB" w:eastAsia="ja-JP"/>
    </w:rPr>
  </w:style>
  <w:style w:type="paragraph" w:customStyle="1" w:styleId="171">
    <w:name w:val="List Bullet Last"/>
    <w:basedOn w:val="17"/>
    <w:next w:val="2"/>
    <w:qFormat/>
    <w:uiPriority w:val="99"/>
    <w:pPr>
      <w:tabs>
        <w:tab w:val="clear" w:pos="360"/>
      </w:tabs>
      <w:spacing w:after="240"/>
      <w:ind w:left="714" w:hanging="357"/>
    </w:pPr>
    <w:rPr>
      <w:rFonts w:ascii="Arial" w:hAnsi="Arial"/>
    </w:rPr>
  </w:style>
  <w:style w:type="character" w:customStyle="1" w:styleId="172">
    <w:name w:val="页脚 字符"/>
    <w:basedOn w:val="44"/>
    <w:link w:val="33"/>
    <w:qFormat/>
    <w:uiPriority w:val="99"/>
    <w:rPr>
      <w:rFonts w:eastAsiaTheme="minorEastAsia"/>
      <w:sz w:val="18"/>
      <w:szCs w:val="18"/>
    </w:rPr>
  </w:style>
  <w:style w:type="paragraph" w:customStyle="1" w:styleId="173">
    <w:name w:val="Title Text"/>
    <w:basedOn w:val="1"/>
    <w:next w:val="1"/>
    <w:qFormat/>
    <w:uiPriority w:val="99"/>
    <w:pPr>
      <w:adjustRightInd/>
      <w:snapToGrid/>
      <w:spacing w:before="0" w:beforeLines="0" w:after="220" w:afterLines="0" w:line="240" w:lineRule="auto"/>
      <w:jc w:val="left"/>
    </w:pPr>
    <w:rPr>
      <w:rFonts w:ascii="Arial" w:hAnsi="Arial" w:eastAsia="MS Gothic"/>
      <w:b/>
      <w:sz w:val="22"/>
      <w:szCs w:val="20"/>
      <w:lang w:val="en-GB" w:eastAsia="ja-JP"/>
    </w:rPr>
  </w:style>
  <w:style w:type="character" w:customStyle="1" w:styleId="174">
    <w:name w:val="正文文本 3 字符"/>
    <w:basedOn w:val="44"/>
    <w:link w:val="20"/>
    <w:qFormat/>
    <w:uiPriority w:val="99"/>
    <w:rPr>
      <w:rFonts w:eastAsia="MS Gothic"/>
      <w:sz w:val="24"/>
      <w:lang w:val="en-GB" w:eastAsia="ja-JP"/>
    </w:rPr>
  </w:style>
  <w:style w:type="paragraph" w:customStyle="1" w:styleId="175">
    <w:name w:val="Table_Text"/>
    <w:basedOn w:val="1"/>
    <w:qFormat/>
    <w:uiPriority w:val="99"/>
    <w:pPr>
      <w:keepNext/>
      <w:tabs>
        <w:tab w:val="left" w:pos="794"/>
        <w:tab w:val="left" w:pos="1191"/>
        <w:tab w:val="left" w:pos="1588"/>
        <w:tab w:val="left" w:pos="1985"/>
      </w:tabs>
      <w:adjustRightInd/>
      <w:snapToGrid/>
      <w:spacing w:before="100" w:beforeLines="0" w:after="100" w:afterLines="0" w:line="190" w:lineRule="exact"/>
    </w:pPr>
    <w:rPr>
      <w:rFonts w:eastAsia="MS Gothic"/>
      <w:sz w:val="18"/>
      <w:szCs w:val="20"/>
      <w:lang w:val="en-GB" w:eastAsia="ja-JP"/>
    </w:rPr>
  </w:style>
  <w:style w:type="paragraph" w:customStyle="1" w:styleId="176">
    <w:name w:val="shortcode"/>
    <w:basedOn w:val="2"/>
    <w:qFormat/>
    <w:uiPriority w:val="99"/>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snapToGrid/>
      <w:spacing w:before="0" w:beforeLines="0" w:afterLines="0" w:line="480" w:lineRule="auto"/>
      <w:jc w:val="left"/>
      <w:textAlignment w:val="baseline"/>
    </w:pPr>
    <w:rPr>
      <w:rFonts w:ascii="Times" w:hAnsi="Times" w:eastAsia="Mincho"/>
      <w:color w:val="auto"/>
      <w:kern w:val="0"/>
      <w:sz w:val="24"/>
      <w:lang w:val="en-GB" w:eastAsia="ja-JP"/>
    </w:rPr>
  </w:style>
  <w:style w:type="paragraph" w:customStyle="1" w:styleId="177">
    <w:name w:val="B3"/>
    <w:basedOn w:val="13"/>
    <w:qFormat/>
    <w:uiPriority w:val="0"/>
    <w:pPr>
      <w:overflowPunct w:val="0"/>
      <w:autoSpaceDE w:val="0"/>
      <w:autoSpaceDN w:val="0"/>
      <w:adjustRightInd w:val="0"/>
      <w:spacing w:after="180"/>
      <w:ind w:left="1135" w:leftChars="0" w:hanging="284" w:firstLineChars="0"/>
      <w:textAlignment w:val="baseline"/>
    </w:pPr>
  </w:style>
  <w:style w:type="paragraph" w:customStyle="1" w:styleId="178">
    <w:name w:val="Rec_CCITT_#"/>
    <w:basedOn w:val="1"/>
    <w:qFormat/>
    <w:uiPriority w:val="99"/>
    <w:pPr>
      <w:keepNext/>
      <w:keepLines/>
      <w:adjustRightInd/>
      <w:snapToGrid/>
      <w:spacing w:before="0" w:beforeLines="0" w:after="180" w:afterLines="0" w:line="240" w:lineRule="auto"/>
      <w:jc w:val="left"/>
    </w:pPr>
    <w:rPr>
      <w:rFonts w:eastAsia="MS Gothic"/>
      <w:b/>
      <w:sz w:val="24"/>
      <w:szCs w:val="20"/>
      <w:lang w:val="en-GB" w:eastAsia="ja-JP"/>
    </w:rPr>
  </w:style>
  <w:style w:type="paragraph" w:customStyle="1" w:styleId="179">
    <w:name w:val="Reference"/>
    <w:basedOn w:val="1"/>
    <w:qFormat/>
    <w:uiPriority w:val="0"/>
    <w:pPr>
      <w:widowControl w:val="0"/>
      <w:adjustRightInd/>
      <w:snapToGrid/>
      <w:spacing w:before="0" w:beforeLines="0" w:after="0" w:afterLines="0" w:line="240" w:lineRule="auto"/>
      <w:ind w:left="283" w:hanging="283"/>
    </w:pPr>
    <w:rPr>
      <w:rFonts w:ascii="Arial" w:hAnsi="Arial" w:eastAsia="MS Mincho"/>
      <w:kern w:val="2"/>
      <w:sz w:val="21"/>
      <w:szCs w:val="20"/>
      <w:lang w:val="de-DE" w:eastAsia="ja-JP"/>
    </w:rPr>
  </w:style>
  <w:style w:type="paragraph" w:customStyle="1" w:styleId="180">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character" w:customStyle="1" w:styleId="181">
    <w:name w:val="図表番号 (文字)"/>
    <w:qFormat/>
    <w:uiPriority w:val="0"/>
    <w:rPr>
      <w:rFonts w:eastAsia="MS Gothic"/>
      <w:b/>
      <w:kern w:val="2"/>
      <w:sz w:val="24"/>
      <w:lang w:val="en-GB"/>
    </w:rPr>
  </w:style>
  <w:style w:type="paragraph" w:customStyle="1" w:styleId="182">
    <w:name w:val="Normal1 Char Char"/>
    <w:qFormat/>
    <w:uiPriority w:val="99"/>
    <w:pPr>
      <w:keepNext/>
      <w:numPr>
        <w:ilvl w:val="0"/>
        <w:numId w:val="11"/>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83">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84">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5">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6">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7">
    <w:name w:val="表 (赤)  81"/>
    <w:basedOn w:val="1"/>
    <w:qFormat/>
    <w:uiPriority w:val="34"/>
    <w:pPr>
      <w:adjustRightInd/>
      <w:snapToGrid/>
      <w:spacing w:before="0" w:beforeLines="0" w:after="0" w:afterLines="0" w:line="240" w:lineRule="auto"/>
      <w:ind w:left="840" w:leftChars="400"/>
      <w:jc w:val="left"/>
    </w:pPr>
    <w:rPr>
      <w:rFonts w:ascii="MS PGothic" w:hAnsi="MS PGothic" w:eastAsia="MS PGothic" w:cs="MS PGothic"/>
      <w:sz w:val="24"/>
      <w:szCs w:val="24"/>
      <w:lang w:eastAsia="ja-JP"/>
    </w:rPr>
  </w:style>
  <w:style w:type="paragraph" w:customStyle="1" w:styleId="188">
    <w:name w:val="表 (赤)  71"/>
    <w:hidden/>
    <w:semiHidden/>
    <w:qFormat/>
    <w:uiPriority w:val="99"/>
    <w:rPr>
      <w:rFonts w:ascii="Times New Roman" w:hAnsi="Times New Roman" w:eastAsia="MS Gothic" w:cs="Times New Roman"/>
      <w:sz w:val="24"/>
      <w:lang w:val="en-GB" w:eastAsia="ja-JP" w:bidi="ar-SA"/>
    </w:rPr>
  </w:style>
  <w:style w:type="paragraph" w:customStyle="1" w:styleId="189">
    <w:name w:val="修订2"/>
    <w:hidden/>
    <w:semiHidden/>
    <w:qFormat/>
    <w:uiPriority w:val="99"/>
    <w:rPr>
      <w:rFonts w:ascii="Times New Roman" w:hAnsi="Times New Roman" w:eastAsia="MS Gothic" w:cs="Times New Roman"/>
      <w:sz w:val="24"/>
      <w:lang w:val="en-GB" w:eastAsia="ja-JP" w:bidi="ar-SA"/>
    </w:rPr>
  </w:style>
  <w:style w:type="paragraph" w:customStyle="1" w:styleId="190">
    <w:name w:val="Doc-title"/>
    <w:basedOn w:val="1"/>
    <w:next w:val="136"/>
    <w:link w:val="192"/>
    <w:qFormat/>
    <w:uiPriority w:val="0"/>
    <w:pPr>
      <w:adjustRightInd/>
      <w:snapToGrid/>
      <w:spacing w:before="0" w:beforeLines="0" w:after="0" w:afterLines="0" w:line="240" w:lineRule="auto"/>
      <w:ind w:left="1260" w:hanging="1260"/>
      <w:jc w:val="left"/>
    </w:pPr>
    <w:rPr>
      <w:rFonts w:ascii="Arial" w:hAnsi="Arial" w:eastAsia="MS Mincho"/>
      <w:szCs w:val="24"/>
      <w:lang w:val="en-GB" w:eastAsia="en-GB"/>
    </w:rPr>
  </w:style>
  <w:style w:type="character" w:customStyle="1" w:styleId="191">
    <w:name w:val="Doc-text2 Char"/>
    <w:link w:val="136"/>
    <w:qFormat/>
    <w:uiPriority w:val="99"/>
    <w:rPr>
      <w:rFonts w:ascii="Arial" w:hAnsi="Arial" w:eastAsiaTheme="minorEastAsia"/>
      <w:szCs w:val="24"/>
      <w:lang w:eastAsia="en-GB"/>
    </w:rPr>
  </w:style>
  <w:style w:type="character" w:customStyle="1" w:styleId="192">
    <w:name w:val="Doc-title Char"/>
    <w:link w:val="190"/>
    <w:qFormat/>
    <w:uiPriority w:val="0"/>
    <w:rPr>
      <w:rFonts w:ascii="Arial" w:hAnsi="Arial" w:eastAsia="MS Mincho"/>
      <w:szCs w:val="24"/>
      <w:lang w:val="en-GB" w:eastAsia="en-GB"/>
    </w:rPr>
  </w:style>
  <w:style w:type="character" w:customStyle="1" w:styleId="193">
    <w:name w:val="列表段落 字符"/>
    <w:link w:val="129"/>
    <w:qFormat/>
    <w:locked/>
    <w:uiPriority w:val="34"/>
    <w:rPr>
      <w:rFonts w:eastAsiaTheme="minorEastAsia"/>
      <w:szCs w:val="22"/>
    </w:rPr>
  </w:style>
  <w:style w:type="paragraph" w:customStyle="1" w:styleId="194">
    <w:name w:val="TAR"/>
    <w:basedOn w:val="1"/>
    <w:qFormat/>
    <w:uiPriority w:val="99"/>
    <w:pPr>
      <w:keepNext/>
      <w:keepLines/>
      <w:adjustRightInd/>
      <w:snapToGrid/>
      <w:spacing w:before="0" w:beforeLines="0" w:after="0" w:afterLines="0" w:line="240" w:lineRule="auto"/>
      <w:jc w:val="right"/>
    </w:pPr>
    <w:rPr>
      <w:rFonts w:ascii="Arial" w:hAnsi="Arial"/>
      <w:sz w:val="18"/>
      <w:szCs w:val="20"/>
      <w:lang w:val="en-GB" w:eastAsia="en-US"/>
    </w:rPr>
  </w:style>
  <w:style w:type="paragraph" w:customStyle="1" w:styleId="195">
    <w:name w:val="Comments"/>
    <w:basedOn w:val="1"/>
    <w:link w:val="196"/>
    <w:qFormat/>
    <w:uiPriority w:val="0"/>
    <w:pPr>
      <w:adjustRightInd/>
      <w:snapToGrid/>
      <w:spacing w:before="40" w:beforeLines="0" w:after="0" w:afterLines="0" w:line="240" w:lineRule="auto"/>
      <w:jc w:val="left"/>
    </w:pPr>
    <w:rPr>
      <w:rFonts w:ascii="Arial" w:hAnsi="Arial" w:eastAsia="MS Mincho"/>
      <w:i/>
      <w:sz w:val="18"/>
      <w:szCs w:val="24"/>
      <w:lang w:val="en-GB" w:eastAsia="en-GB"/>
    </w:rPr>
  </w:style>
  <w:style w:type="character" w:customStyle="1" w:styleId="196">
    <w:name w:val="Comments Char"/>
    <w:link w:val="195"/>
    <w:qFormat/>
    <w:uiPriority w:val="0"/>
    <w:rPr>
      <w:rFonts w:ascii="Arial" w:hAnsi="Arial" w:eastAsia="MS Mincho"/>
      <w:i/>
      <w:sz w:val="18"/>
      <w:szCs w:val="24"/>
      <w:lang w:val="en-GB" w:eastAsia="en-GB"/>
    </w:rPr>
  </w:style>
  <w:style w:type="character" w:customStyle="1" w:styleId="197">
    <w:name w:val="注释标题 字符"/>
    <w:basedOn w:val="44"/>
    <w:link w:val="14"/>
    <w:qFormat/>
    <w:uiPriority w:val="99"/>
    <w:rPr>
      <w:rFonts w:eastAsia="MS Gothic"/>
      <w:b/>
      <w:color w:val="FF0000"/>
      <w:sz w:val="24"/>
      <w:szCs w:val="21"/>
      <w:lang w:eastAsia="ja-JP"/>
    </w:rPr>
  </w:style>
  <w:style w:type="character" w:customStyle="1" w:styleId="198">
    <w:name w:val="结束语 字符"/>
    <w:basedOn w:val="44"/>
    <w:link w:val="21"/>
    <w:qFormat/>
    <w:uiPriority w:val="99"/>
    <w:rPr>
      <w:rFonts w:eastAsia="MS Gothic"/>
      <w:b/>
      <w:color w:val="FF0000"/>
      <w:sz w:val="24"/>
      <w:szCs w:val="21"/>
      <w:lang w:eastAsia="ja-JP"/>
    </w:rPr>
  </w:style>
  <w:style w:type="paragraph" w:customStyle="1" w:styleId="199">
    <w:name w:val="3GPP Normal Text"/>
    <w:basedOn w:val="2"/>
    <w:link w:val="200"/>
    <w:qFormat/>
    <w:uiPriority w:val="0"/>
    <w:pPr>
      <w:widowControl/>
      <w:adjustRightInd/>
      <w:snapToGrid/>
      <w:spacing w:before="0" w:beforeLines="0" w:after="120" w:afterLines="0"/>
      <w:ind w:left="720" w:hanging="720"/>
    </w:pPr>
    <w:rPr>
      <w:rFonts w:eastAsia="MS Mincho"/>
      <w:color w:val="auto"/>
      <w:kern w:val="0"/>
      <w:sz w:val="22"/>
      <w:szCs w:val="24"/>
      <w:lang w:val="en-GB" w:eastAsia="ja-JP"/>
    </w:rPr>
  </w:style>
  <w:style w:type="character" w:customStyle="1" w:styleId="200">
    <w:name w:val="3GPP Normal Text Char"/>
    <w:link w:val="199"/>
    <w:qFormat/>
    <w:uiPriority w:val="0"/>
    <w:rPr>
      <w:rFonts w:eastAsia="MS Mincho"/>
      <w:sz w:val="22"/>
      <w:szCs w:val="24"/>
      <w:lang w:val="en-GB" w:eastAsia="ja-JP"/>
    </w:rPr>
  </w:style>
  <w:style w:type="character" w:styleId="201">
    <w:name w:val="Placeholder Text"/>
    <w:basedOn w:val="44"/>
    <w:semiHidden/>
    <w:qFormat/>
    <w:uiPriority w:val="99"/>
    <w:rPr>
      <w:color w:val="808080"/>
    </w:rPr>
  </w:style>
  <w:style w:type="paragraph" w:customStyle="1" w:styleId="202">
    <w:name w:val="H6"/>
    <w:basedOn w:val="8"/>
    <w:next w:val="1"/>
    <w:qFormat/>
    <w:uiPriority w:val="99"/>
    <w:pPr>
      <w:keepNext/>
      <w:keepLines/>
      <w:numPr>
        <w:ilvl w:val="0"/>
        <w:numId w:val="0"/>
      </w:numPr>
      <w:adjustRightInd/>
      <w:snapToGrid/>
      <w:spacing w:before="120" w:beforeLines="0" w:after="180" w:afterLines="0" w:line="240" w:lineRule="auto"/>
      <w:ind w:left="1985" w:hanging="1985"/>
      <w:jc w:val="left"/>
      <w:outlineLvl w:val="9"/>
    </w:pPr>
    <w:rPr>
      <w:rFonts w:hint="default" w:ascii="Arial" w:hAnsi="Arial"/>
      <w:b w:val="0"/>
      <w:color w:val="auto"/>
      <w:lang w:val="en-GB" w:eastAsia="en-US"/>
    </w:rPr>
  </w:style>
  <w:style w:type="paragraph" w:customStyle="1" w:styleId="2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04">
    <w:name w:val="TT"/>
    <w:basedOn w:val="4"/>
    <w:next w:val="1"/>
    <w:qFormat/>
    <w:uiPriority w:val="99"/>
    <w:pPr>
      <w:keepNext/>
      <w:keepLines/>
      <w:widowControl/>
      <w:numPr>
        <w:numId w:val="0"/>
      </w:numPr>
      <w:pBdr>
        <w:top w:val="single" w:color="auto" w:sz="12" w:space="3"/>
      </w:pBdr>
      <w:tabs>
        <w:tab w:val="clear" w:pos="432"/>
      </w:tabs>
      <w:autoSpaceDE/>
      <w:autoSpaceDN/>
      <w:adjustRightInd/>
      <w:snapToGrid/>
      <w:spacing w:before="240" w:beforeLines="0" w:after="180" w:afterLines="0" w:line="240" w:lineRule="auto"/>
      <w:ind w:left="1134" w:hanging="1134"/>
      <w:jc w:val="left"/>
      <w:outlineLvl w:val="9"/>
    </w:pPr>
    <w:rPr>
      <w:rFonts w:eastAsiaTheme="minorEastAsia"/>
      <w:b w:val="0"/>
      <w:bCs w:val="0"/>
      <w:sz w:val="36"/>
      <w:szCs w:val="20"/>
      <w:lang w:val="en-GB" w:eastAsia="en-US"/>
    </w:rPr>
  </w:style>
  <w:style w:type="paragraph" w:customStyle="1" w:styleId="205">
    <w:name w:val="NF"/>
    <w:basedOn w:val="206"/>
    <w:qFormat/>
    <w:uiPriority w:val="0"/>
    <w:pPr>
      <w:keepNext/>
      <w:spacing w:after="0"/>
    </w:pPr>
    <w:rPr>
      <w:rFonts w:ascii="Arial" w:hAnsi="Arial"/>
      <w:sz w:val="18"/>
    </w:rPr>
  </w:style>
  <w:style w:type="paragraph" w:customStyle="1" w:styleId="206">
    <w:name w:val="NO"/>
    <w:basedOn w:val="1"/>
    <w:qFormat/>
    <w:uiPriority w:val="99"/>
    <w:pPr>
      <w:keepLines/>
      <w:adjustRightInd/>
      <w:snapToGrid/>
      <w:spacing w:before="0" w:beforeLines="0" w:after="180" w:afterLines="0" w:line="240" w:lineRule="auto"/>
      <w:ind w:left="1135" w:hanging="851"/>
      <w:jc w:val="left"/>
    </w:pPr>
    <w:rPr>
      <w:szCs w:val="20"/>
      <w:lang w:val="en-GB" w:eastAsia="en-US"/>
    </w:rPr>
  </w:style>
  <w:style w:type="paragraph" w:customStyle="1" w:styleId="207">
    <w:name w:val="LD"/>
    <w:qFormat/>
    <w:uiPriority w:val="99"/>
    <w:pPr>
      <w:keepNext/>
      <w:keepLines/>
      <w:spacing w:line="180" w:lineRule="exact"/>
    </w:pPr>
    <w:rPr>
      <w:rFonts w:ascii="Courier New" w:hAnsi="Courier New" w:cs="Times New Roman" w:eastAsiaTheme="minorEastAsia"/>
      <w:lang w:val="en-GB" w:eastAsia="en-US" w:bidi="ar-SA"/>
    </w:rPr>
  </w:style>
  <w:style w:type="paragraph" w:customStyle="1" w:styleId="208">
    <w:name w:val="EX"/>
    <w:basedOn w:val="1"/>
    <w:qFormat/>
    <w:uiPriority w:val="99"/>
    <w:pPr>
      <w:keepLines/>
      <w:adjustRightInd/>
      <w:snapToGrid/>
      <w:spacing w:before="0" w:beforeLines="0" w:after="180" w:afterLines="0" w:line="240" w:lineRule="auto"/>
      <w:ind w:left="1702" w:hanging="1418"/>
      <w:jc w:val="left"/>
    </w:pPr>
    <w:rPr>
      <w:szCs w:val="20"/>
      <w:lang w:val="en-GB" w:eastAsia="en-US"/>
    </w:rPr>
  </w:style>
  <w:style w:type="paragraph" w:customStyle="1" w:styleId="209">
    <w:name w:val="FP"/>
    <w:basedOn w:val="1"/>
    <w:qFormat/>
    <w:uiPriority w:val="99"/>
    <w:pPr>
      <w:adjustRightInd/>
      <w:snapToGrid/>
      <w:spacing w:before="0" w:beforeLines="0" w:after="0" w:afterLines="0" w:line="240" w:lineRule="auto"/>
      <w:jc w:val="left"/>
    </w:pPr>
    <w:rPr>
      <w:szCs w:val="20"/>
      <w:lang w:val="en-GB" w:eastAsia="en-US"/>
    </w:rPr>
  </w:style>
  <w:style w:type="paragraph" w:customStyle="1" w:styleId="210">
    <w:name w:val="NW"/>
    <w:basedOn w:val="206"/>
    <w:qFormat/>
    <w:uiPriority w:val="99"/>
    <w:pPr>
      <w:spacing w:after="0"/>
    </w:pPr>
  </w:style>
  <w:style w:type="paragraph" w:customStyle="1" w:styleId="211">
    <w:name w:val="EW"/>
    <w:basedOn w:val="208"/>
    <w:qFormat/>
    <w:uiPriority w:val="99"/>
    <w:pPr>
      <w:spacing w:after="0"/>
    </w:pPr>
  </w:style>
  <w:style w:type="paragraph" w:customStyle="1" w:styleId="212">
    <w:name w:val="Editor's Note"/>
    <w:basedOn w:val="206"/>
    <w:qFormat/>
    <w:uiPriority w:val="99"/>
    <w:rPr>
      <w:color w:val="FF0000"/>
    </w:rPr>
  </w:style>
  <w:style w:type="paragraph" w:customStyle="1" w:styleId="21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1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1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16">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1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18">
    <w:name w:val="B4"/>
    <w:basedOn w:val="1"/>
    <w:qFormat/>
    <w:uiPriority w:val="99"/>
    <w:pPr>
      <w:adjustRightInd/>
      <w:snapToGrid/>
      <w:spacing w:before="0" w:beforeLines="0" w:after="180" w:afterLines="0" w:line="240" w:lineRule="auto"/>
      <w:ind w:left="1418" w:hanging="284"/>
      <w:jc w:val="left"/>
    </w:pPr>
    <w:rPr>
      <w:szCs w:val="20"/>
      <w:lang w:val="en-GB" w:eastAsia="en-US"/>
    </w:rPr>
  </w:style>
  <w:style w:type="paragraph" w:customStyle="1" w:styleId="219">
    <w:name w:val="B5"/>
    <w:basedOn w:val="1"/>
    <w:qFormat/>
    <w:uiPriority w:val="99"/>
    <w:pPr>
      <w:adjustRightInd/>
      <w:snapToGrid/>
      <w:spacing w:before="0" w:beforeLines="0" w:after="180" w:afterLines="0" w:line="240" w:lineRule="auto"/>
      <w:ind w:left="1702" w:hanging="284"/>
      <w:jc w:val="left"/>
    </w:pPr>
    <w:rPr>
      <w:szCs w:val="20"/>
      <w:lang w:val="en-GB" w:eastAsia="en-US"/>
    </w:rPr>
  </w:style>
  <w:style w:type="paragraph" w:customStyle="1" w:styleId="220">
    <w:name w:val="ZTD"/>
    <w:basedOn w:val="214"/>
    <w:qFormat/>
    <w:uiPriority w:val="99"/>
    <w:pPr>
      <w:framePr w:hRule="auto" w:y="852"/>
    </w:pPr>
    <w:rPr>
      <w:i w:val="0"/>
      <w:sz w:val="40"/>
    </w:rPr>
  </w:style>
  <w:style w:type="paragraph" w:customStyle="1" w:styleId="221">
    <w:name w:val="ZV"/>
    <w:basedOn w:val="215"/>
    <w:qFormat/>
    <w:uiPriority w:val="99"/>
    <w:pPr>
      <w:framePr w:y="16161"/>
    </w:pPr>
  </w:style>
  <w:style w:type="paragraph" w:customStyle="1" w:styleId="222">
    <w:name w:val="TAJ"/>
    <w:basedOn w:val="58"/>
    <w:qFormat/>
    <w:uiPriority w:val="99"/>
    <w:pPr>
      <w:adjustRightInd/>
      <w:snapToGrid/>
      <w:spacing w:beforeLines="0" w:afterLines="0"/>
    </w:pPr>
  </w:style>
  <w:style w:type="paragraph" w:customStyle="1" w:styleId="223">
    <w:name w:val="Guidance"/>
    <w:basedOn w:val="1"/>
    <w:qFormat/>
    <w:uiPriority w:val="99"/>
    <w:pPr>
      <w:adjustRightInd/>
      <w:snapToGrid/>
      <w:spacing w:before="0" w:beforeLines="0" w:after="180" w:afterLines="0" w:line="240" w:lineRule="auto"/>
      <w:jc w:val="left"/>
    </w:pPr>
    <w:rPr>
      <w:i/>
      <w:color w:val="0000FF"/>
      <w:szCs w:val="20"/>
      <w:lang w:val="en-GB" w:eastAsia="en-US"/>
    </w:rPr>
  </w:style>
  <w:style w:type="paragraph" w:customStyle="1" w:styleId="224">
    <w:name w:val="ComeBack"/>
    <w:basedOn w:val="136"/>
    <w:next w:val="136"/>
    <w:qFormat/>
    <w:uiPriority w:val="99"/>
    <w:pPr>
      <w:widowControl w:val="0"/>
      <w:numPr>
        <w:ilvl w:val="0"/>
        <w:numId w:val="12"/>
      </w:numPr>
      <w:tabs>
        <w:tab w:val="left" w:pos="360"/>
        <w:tab w:val="clear" w:pos="1259"/>
        <w:tab w:val="clear" w:pos="1622"/>
      </w:tabs>
      <w:adjustRightInd/>
      <w:snapToGrid/>
      <w:spacing w:before="0" w:beforeLines="0" w:afterLines="0" w:line="240" w:lineRule="auto"/>
      <w:ind w:left="360" w:hanging="360"/>
    </w:pPr>
    <w:rPr>
      <w:rFonts w:eastAsia="MS Mincho"/>
      <w:kern w:val="2"/>
      <w:sz w:val="21"/>
      <w:lang w:val="en-GB" w:eastAsia="ja-JP"/>
    </w:rPr>
  </w:style>
  <w:style w:type="table" w:customStyle="1" w:styleId="225">
    <w:name w:val="网格表 1 浅色1"/>
    <w:basedOn w:val="41"/>
    <w:qFormat/>
    <w:uiPriority w:val="46"/>
    <w:rPr>
      <w:rFonts w:ascii="Times" w:hAnsi="Times" w:eastAsia="MS Mincho"/>
      <w:lang w:eastAsia="ja-JP"/>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26">
    <w:name w:val="PL Char"/>
    <w:basedOn w:val="44"/>
    <w:link w:val="142"/>
    <w:qFormat/>
    <w:locked/>
    <w:uiPriority w:val="0"/>
    <w:rPr>
      <w:rFonts w:ascii="Courier New" w:hAnsi="Courier New" w:eastAsia="Times New Roman"/>
      <w:sz w:val="16"/>
      <w:shd w:val="clear" w:color="auto" w:fill="E6E6E6"/>
      <w:lang w:val="en-GB" w:eastAsia="en-GB"/>
    </w:rPr>
  </w:style>
  <w:style w:type="paragraph" w:customStyle="1" w:styleId="227">
    <w:name w:val="Bullets"/>
    <w:basedOn w:val="1"/>
    <w:link w:val="229"/>
    <w:qFormat/>
    <w:uiPriority w:val="99"/>
    <w:pPr>
      <w:numPr>
        <w:ilvl w:val="0"/>
        <w:numId w:val="13"/>
      </w:numPr>
      <w:overflowPunct w:val="0"/>
      <w:autoSpaceDE w:val="0"/>
      <w:autoSpaceDN w:val="0"/>
      <w:snapToGrid/>
      <w:spacing w:before="0" w:beforeLines="0" w:after="180" w:afterLines="0" w:line="240" w:lineRule="auto"/>
      <w:jc w:val="left"/>
      <w:textAlignment w:val="baseline"/>
    </w:pPr>
    <w:rPr>
      <w:rFonts w:eastAsia="Batang"/>
      <w:bCs/>
      <w:iCs/>
      <w:sz w:val="24"/>
      <w:szCs w:val="24"/>
      <w:lang w:val="en-GB" w:eastAsia="en-US"/>
    </w:rPr>
  </w:style>
  <w:style w:type="paragraph" w:customStyle="1" w:styleId="228">
    <w:name w:val="bullet2"/>
    <w:basedOn w:val="1"/>
    <w:qFormat/>
    <w:uiPriority w:val="99"/>
    <w:pPr>
      <w:numPr>
        <w:ilvl w:val="1"/>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29">
    <w:name w:val="Bullets Char"/>
    <w:link w:val="227"/>
    <w:qFormat/>
    <w:uiPriority w:val="99"/>
    <w:rPr>
      <w:rFonts w:eastAsia="Batang"/>
      <w:bCs/>
      <w:iCs/>
      <w:sz w:val="24"/>
      <w:szCs w:val="24"/>
      <w:lang w:val="en-GB" w:eastAsia="en-US"/>
    </w:rPr>
  </w:style>
  <w:style w:type="paragraph" w:customStyle="1" w:styleId="230">
    <w:name w:val="bullet3"/>
    <w:basedOn w:val="1"/>
    <w:qFormat/>
    <w:uiPriority w:val="99"/>
    <w:pPr>
      <w:numPr>
        <w:ilvl w:val="2"/>
        <w:numId w:val="13"/>
      </w:numPr>
      <w:adjustRightInd/>
      <w:snapToGrid/>
      <w:spacing w:before="0" w:beforeLines="0" w:after="0" w:afterLines="0" w:line="240" w:lineRule="auto"/>
      <w:ind w:hanging="180"/>
      <w:jc w:val="left"/>
    </w:pPr>
    <w:rPr>
      <w:rFonts w:ascii="Times" w:hAnsi="Times" w:eastAsia="Batang"/>
      <w:szCs w:val="24"/>
      <w:lang w:val="en-GB" w:eastAsia="en-US"/>
    </w:rPr>
  </w:style>
  <w:style w:type="paragraph" w:customStyle="1" w:styleId="231">
    <w:name w:val="bullet4"/>
    <w:basedOn w:val="1"/>
    <w:qFormat/>
    <w:uiPriority w:val="99"/>
    <w:pPr>
      <w:numPr>
        <w:ilvl w:val="3"/>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32">
    <w:name w:val="normaltextrun"/>
    <w:basedOn w:val="44"/>
    <w:qFormat/>
    <w:uiPriority w:val="0"/>
  </w:style>
  <w:style w:type="character" w:customStyle="1" w:styleId="233">
    <w:name w:val="LGTdoc_본문 Char"/>
    <w:link w:val="234"/>
    <w:qFormat/>
    <w:uiPriority w:val="0"/>
    <w:rPr>
      <w:sz w:val="22"/>
      <w:szCs w:val="24"/>
      <w:lang w:val="en-GB" w:eastAsia="ko-KR"/>
    </w:rPr>
  </w:style>
  <w:style w:type="paragraph" w:customStyle="1" w:styleId="234">
    <w:name w:val="LGTdoc_본문"/>
    <w:basedOn w:val="1"/>
    <w:link w:val="233"/>
    <w:qFormat/>
    <w:uiPriority w:val="0"/>
    <w:pPr>
      <w:widowControl w:val="0"/>
      <w:autoSpaceDE w:val="0"/>
      <w:autoSpaceDN w:val="0"/>
      <w:spacing w:before="0" w:beforeLines="0" w:after="0" w:afterLines="50" w:line="264" w:lineRule="auto"/>
    </w:pPr>
    <w:rPr>
      <w:rFonts w:eastAsia="宋体"/>
      <w:sz w:val="22"/>
      <w:szCs w:val="24"/>
      <w:lang w:val="en-GB" w:eastAsia="ko-KR"/>
    </w:rPr>
  </w:style>
  <w:style w:type="paragraph" w:customStyle="1" w:styleId="235">
    <w:name w:val="3GPP Text"/>
    <w:basedOn w:val="1"/>
    <w:link w:val="236"/>
    <w:qFormat/>
    <w:uiPriority w:val="0"/>
    <w:pPr>
      <w:overflowPunct w:val="0"/>
      <w:autoSpaceDE w:val="0"/>
      <w:autoSpaceDN w:val="0"/>
      <w:snapToGrid/>
      <w:spacing w:before="120" w:beforeLines="0" w:after="120" w:afterLines="0" w:line="240" w:lineRule="auto"/>
      <w:textAlignment w:val="baseline"/>
    </w:pPr>
    <w:rPr>
      <w:rFonts w:eastAsia="宋体"/>
      <w:sz w:val="22"/>
      <w:szCs w:val="20"/>
      <w:lang w:eastAsia="en-US"/>
    </w:rPr>
  </w:style>
  <w:style w:type="character" w:customStyle="1" w:styleId="236">
    <w:name w:val="3GPP Text Char"/>
    <w:link w:val="235"/>
    <w:qFormat/>
    <w:uiPriority w:val="0"/>
    <w:rPr>
      <w:sz w:val="22"/>
      <w:lang w:eastAsia="en-US"/>
    </w:rPr>
  </w:style>
  <w:style w:type="paragraph" w:customStyle="1" w:styleId="237">
    <w:name w:val="3GPP Agreements"/>
    <w:basedOn w:val="1"/>
    <w:link w:val="258"/>
    <w:qFormat/>
    <w:uiPriority w:val="0"/>
    <w:pPr>
      <w:numPr>
        <w:ilvl w:val="0"/>
        <w:numId w:val="14"/>
      </w:numPr>
      <w:adjustRightInd/>
      <w:snapToGrid/>
      <w:spacing w:before="60" w:beforeLines="0" w:after="60" w:afterLines="0" w:line="240" w:lineRule="auto"/>
    </w:pPr>
    <w:rPr>
      <w:rFonts w:eastAsia="宋体"/>
      <w:sz w:val="24"/>
      <w:szCs w:val="20"/>
    </w:rPr>
  </w:style>
  <w:style w:type="character" w:customStyle="1" w:styleId="238">
    <w:name w:val="标题 字符"/>
    <w:basedOn w:val="44"/>
    <w:link w:val="3"/>
    <w:qFormat/>
    <w:uiPriority w:val="99"/>
    <w:rPr>
      <w:rFonts w:ascii="Arial" w:hAnsi="Arial" w:eastAsia="MS Gothic"/>
      <w:b/>
      <w:sz w:val="24"/>
      <w:lang w:val="en-GB"/>
    </w:rPr>
  </w:style>
  <w:style w:type="character" w:customStyle="1" w:styleId="239">
    <w:name w:val="Heading 1 Char1"/>
    <w:basedOn w:val="44"/>
    <w:qFormat/>
    <w:uiPriority w:val="0"/>
    <w:rPr>
      <w:rFonts w:asciiTheme="majorHAnsi" w:hAnsiTheme="majorHAnsi" w:eastAsiaTheme="majorEastAsia" w:cstheme="majorBidi"/>
      <w:color w:val="2E75B6" w:themeColor="accent1" w:themeShade="BF"/>
      <w:sz w:val="32"/>
      <w:szCs w:val="32"/>
      <w:lang w:val="en-GB"/>
    </w:rPr>
  </w:style>
  <w:style w:type="character" w:customStyle="1" w:styleId="240">
    <w:name w:val="Heading 2 Char1"/>
    <w:basedOn w:val="44"/>
    <w:semiHidden/>
    <w:qFormat/>
    <w:uiPriority w:val="0"/>
    <w:rPr>
      <w:rFonts w:asciiTheme="majorHAnsi" w:hAnsiTheme="majorHAnsi" w:eastAsiaTheme="majorEastAsia" w:cstheme="majorBidi"/>
      <w:color w:val="2E75B6" w:themeColor="accent1" w:themeShade="BF"/>
      <w:sz w:val="26"/>
      <w:szCs w:val="26"/>
      <w:lang w:val="en-GB"/>
    </w:rPr>
  </w:style>
  <w:style w:type="character" w:customStyle="1" w:styleId="241">
    <w:name w:val="Heading 3 Char1"/>
    <w:basedOn w:val="44"/>
    <w:semiHidden/>
    <w:qFormat/>
    <w:uiPriority w:val="0"/>
    <w:rPr>
      <w:rFonts w:asciiTheme="majorHAnsi" w:hAnsiTheme="majorHAnsi" w:eastAsiaTheme="majorEastAsia" w:cstheme="majorBidi"/>
      <w:color w:val="1F4E79" w:themeColor="accent1" w:themeShade="80"/>
      <w:sz w:val="24"/>
      <w:szCs w:val="24"/>
      <w:lang w:val="en-GB"/>
    </w:rPr>
  </w:style>
  <w:style w:type="character" w:customStyle="1" w:styleId="242">
    <w:name w:val="Heading 4 Char1"/>
    <w:basedOn w:val="44"/>
    <w:semiHidden/>
    <w:qFormat/>
    <w:uiPriority w:val="0"/>
    <w:rPr>
      <w:rFonts w:asciiTheme="majorHAnsi" w:hAnsiTheme="majorHAnsi" w:eastAsiaTheme="majorEastAsia" w:cstheme="majorBidi"/>
      <w:i/>
      <w:iCs/>
      <w:color w:val="2E75B6" w:themeColor="accent1" w:themeShade="BF"/>
      <w:sz w:val="24"/>
      <w:lang w:val="en-GB"/>
    </w:rPr>
  </w:style>
  <w:style w:type="character" w:customStyle="1" w:styleId="243">
    <w:name w:val="Heading 5 Char1"/>
    <w:basedOn w:val="44"/>
    <w:semiHidden/>
    <w:qFormat/>
    <w:uiPriority w:val="0"/>
    <w:rPr>
      <w:rFonts w:asciiTheme="majorHAnsi" w:hAnsiTheme="majorHAnsi" w:eastAsiaTheme="majorEastAsia" w:cstheme="majorBidi"/>
      <w:color w:val="2E75B6" w:themeColor="accent1" w:themeShade="BF"/>
      <w:sz w:val="24"/>
      <w:lang w:val="en-GB"/>
    </w:rPr>
  </w:style>
  <w:style w:type="paragraph" w:customStyle="1" w:styleId="244">
    <w:name w:val="msonormal"/>
    <w:basedOn w:val="1"/>
    <w:qFormat/>
    <w:uiPriority w:val="99"/>
    <w:pPr>
      <w:adjustRightInd/>
      <w:snapToGrid/>
      <w:spacing w:before="100" w:beforeLines="0" w:beforeAutospacing="1" w:after="100" w:afterLines="0" w:afterAutospacing="1" w:line="240" w:lineRule="auto"/>
      <w:jc w:val="left"/>
    </w:pPr>
    <w:rPr>
      <w:rFonts w:ascii="MS PGothic" w:hAnsi="MS PGothic" w:eastAsia="MS PGothic" w:cs="MS PGothic"/>
      <w:sz w:val="24"/>
      <w:szCs w:val="24"/>
      <w:lang w:eastAsia="ja-JP"/>
    </w:rPr>
  </w:style>
  <w:style w:type="character" w:customStyle="1" w:styleId="245">
    <w:name w:val="Heading 8 Char1"/>
    <w:basedOn w:val="44"/>
    <w:semiHidden/>
    <w:qFormat/>
    <w:uiPriority w:val="0"/>
    <w:rPr>
      <w:rFonts w:asciiTheme="majorHAnsi" w:hAnsiTheme="majorHAnsi" w:eastAsiaTheme="majorEastAsia" w:cstheme="majorBidi"/>
      <w:color w:val="262626" w:themeColor="text1" w:themeTint="D9"/>
      <w:sz w:val="21"/>
      <w:szCs w:val="21"/>
      <w:lang w:val="en-GB"/>
      <w14:textFill>
        <w14:solidFill>
          <w14:schemeClr w14:val="tx1">
            <w14:lumMod w14:val="85000"/>
            <w14:lumOff w14:val="15000"/>
          </w14:schemeClr>
        </w14:solidFill>
      </w14:textFill>
    </w:rPr>
  </w:style>
  <w:style w:type="character" w:customStyle="1" w:styleId="246">
    <w:name w:val="Heading 9 Char1"/>
    <w:basedOn w:val="44"/>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247">
    <w:name w:val="Footnote Text Char1"/>
    <w:basedOn w:val="44"/>
    <w:semiHidden/>
    <w:qFormat/>
    <w:uiPriority w:val="0"/>
    <w:rPr>
      <w:rFonts w:ascii="Times New Roman" w:hAnsi="Times New Roman" w:eastAsia="MS Gothic"/>
      <w:lang w:val="en-GB"/>
    </w:rPr>
  </w:style>
  <w:style w:type="character" w:customStyle="1" w:styleId="248">
    <w:name w:val="Header Char1"/>
    <w:basedOn w:val="44"/>
    <w:semiHidden/>
    <w:qFormat/>
    <w:uiPriority w:val="0"/>
    <w:rPr>
      <w:rFonts w:ascii="Times New Roman" w:hAnsi="Times New Roman" w:eastAsia="MS Gothic"/>
      <w:sz w:val="24"/>
      <w:lang w:val="en-GB"/>
    </w:rPr>
  </w:style>
  <w:style w:type="character" w:customStyle="1" w:styleId="249">
    <w:name w:val="見出し 1 (文字)1"/>
    <w:basedOn w:val="44"/>
    <w:qFormat/>
    <w:uiPriority w:val="0"/>
    <w:rPr>
      <w:rFonts w:asciiTheme="majorHAnsi" w:hAnsiTheme="majorHAnsi" w:eastAsiaTheme="majorEastAsia" w:cstheme="majorBidi"/>
      <w:sz w:val="24"/>
      <w:szCs w:val="24"/>
      <w:lang w:val="en-GB"/>
    </w:rPr>
  </w:style>
  <w:style w:type="character" w:customStyle="1" w:styleId="250">
    <w:name w:val="見出し 2 (文字)1"/>
    <w:basedOn w:val="44"/>
    <w:semiHidden/>
    <w:qFormat/>
    <w:uiPriority w:val="0"/>
    <w:rPr>
      <w:rFonts w:asciiTheme="majorHAnsi" w:hAnsiTheme="majorHAnsi" w:eastAsiaTheme="majorEastAsia" w:cstheme="majorBidi"/>
      <w:sz w:val="24"/>
      <w:lang w:val="en-GB"/>
    </w:rPr>
  </w:style>
  <w:style w:type="character" w:customStyle="1" w:styleId="251">
    <w:name w:val="見出し 3 (文字)1"/>
    <w:basedOn w:val="44"/>
    <w:semiHidden/>
    <w:qFormat/>
    <w:uiPriority w:val="0"/>
    <w:rPr>
      <w:rFonts w:asciiTheme="majorHAnsi" w:hAnsiTheme="majorHAnsi" w:eastAsiaTheme="majorEastAsia" w:cstheme="majorBidi"/>
      <w:sz w:val="24"/>
      <w:lang w:val="en-GB"/>
    </w:rPr>
  </w:style>
  <w:style w:type="character" w:customStyle="1" w:styleId="252">
    <w:name w:val="見出し 4 (文字)1"/>
    <w:basedOn w:val="44"/>
    <w:semiHidden/>
    <w:qFormat/>
    <w:uiPriority w:val="0"/>
    <w:rPr>
      <w:rFonts w:ascii="Times New Roman" w:hAnsi="Times New Roman" w:eastAsia="MS Gothic" w:cs="Times New Roman"/>
      <w:b/>
      <w:bCs/>
      <w:sz w:val="24"/>
      <w:lang w:val="en-GB"/>
    </w:rPr>
  </w:style>
  <w:style w:type="character" w:customStyle="1" w:styleId="253">
    <w:name w:val="見出し 5 (文字)1"/>
    <w:basedOn w:val="44"/>
    <w:semiHidden/>
    <w:qFormat/>
    <w:uiPriority w:val="0"/>
    <w:rPr>
      <w:rFonts w:asciiTheme="majorHAnsi" w:hAnsiTheme="majorHAnsi" w:eastAsiaTheme="majorEastAsia" w:cstheme="majorBidi"/>
      <w:sz w:val="24"/>
      <w:lang w:val="en-GB"/>
    </w:rPr>
  </w:style>
  <w:style w:type="character" w:customStyle="1" w:styleId="254">
    <w:name w:val="見出し 8 (文字)1"/>
    <w:basedOn w:val="44"/>
    <w:semiHidden/>
    <w:qFormat/>
    <w:uiPriority w:val="0"/>
    <w:rPr>
      <w:rFonts w:ascii="Times New Roman" w:hAnsi="Times New Roman" w:eastAsia="MS Gothic" w:cs="Times New Roman"/>
      <w:sz w:val="24"/>
      <w:lang w:val="en-GB"/>
    </w:rPr>
  </w:style>
  <w:style w:type="character" w:customStyle="1" w:styleId="255">
    <w:name w:val="見出し 9 (文字)1"/>
    <w:basedOn w:val="44"/>
    <w:semiHidden/>
    <w:qFormat/>
    <w:uiPriority w:val="0"/>
    <w:rPr>
      <w:rFonts w:ascii="Times New Roman" w:hAnsi="Times New Roman" w:eastAsia="MS Gothic" w:cs="Times New Roman"/>
      <w:sz w:val="24"/>
      <w:lang w:val="en-GB"/>
    </w:rPr>
  </w:style>
  <w:style w:type="character" w:customStyle="1" w:styleId="256">
    <w:name w:val="脚注文字列 (文字)1"/>
    <w:basedOn w:val="44"/>
    <w:semiHidden/>
    <w:qFormat/>
    <w:uiPriority w:val="0"/>
    <w:rPr>
      <w:rFonts w:ascii="Times New Roman" w:hAnsi="Times New Roman" w:eastAsia="MS Gothic"/>
      <w:sz w:val="24"/>
      <w:lang w:val="en-GB"/>
    </w:rPr>
  </w:style>
  <w:style w:type="character" w:customStyle="1" w:styleId="257">
    <w:name w:val="ヘッダー (文字)1"/>
    <w:basedOn w:val="44"/>
    <w:semiHidden/>
    <w:qFormat/>
    <w:uiPriority w:val="0"/>
    <w:rPr>
      <w:rFonts w:ascii="Times New Roman" w:hAnsi="Times New Roman" w:eastAsia="MS Gothic"/>
      <w:sz w:val="24"/>
      <w:lang w:val="en-GB"/>
    </w:rPr>
  </w:style>
  <w:style w:type="character" w:customStyle="1" w:styleId="258">
    <w:name w:val="3GPP Agreements Char"/>
    <w:link w:val="237"/>
    <w:qFormat/>
    <w:locked/>
    <w:uiPriority w:val="0"/>
    <w:rPr>
      <w:sz w:val="24"/>
    </w:rPr>
  </w:style>
  <w:style w:type="paragraph" w:customStyle="1" w:styleId="259">
    <w:name w:val="tal"/>
    <w:basedOn w:val="1"/>
    <w:qFormat/>
    <w:uiPriority w:val="0"/>
    <w:pPr>
      <w:adjustRightInd/>
      <w:snapToGrid/>
      <w:spacing w:before="100" w:beforeLines="0" w:beforeAutospacing="1" w:after="100" w:afterLines="0" w:afterAutospacing="1" w:line="240" w:lineRule="auto"/>
      <w:jc w:val="left"/>
    </w:pPr>
    <w:rPr>
      <w:rFonts w:ascii="Calibri" w:hAnsi="Calibri" w:cs="Calibri" w:eastAsiaTheme="minorHAnsi"/>
      <w:sz w:val="22"/>
      <w:lang w:eastAsia="en-US"/>
    </w:rPr>
  </w:style>
  <w:style w:type="paragraph" w:customStyle="1" w:styleId="260">
    <w:name w:val="Steps-8th set"/>
    <w:basedOn w:val="24"/>
    <w:qFormat/>
    <w:uiPriority w:val="0"/>
    <w:pPr>
      <w:widowControl w:val="0"/>
      <w:numPr>
        <w:ilvl w:val="0"/>
        <w:numId w:val="15"/>
      </w:numPr>
      <w:tabs>
        <w:tab w:val="left" w:pos="360"/>
        <w:tab w:val="clear" w:pos="936"/>
      </w:tabs>
      <w:spacing w:before="120" w:after="120"/>
      <w:ind w:left="720" w:hanging="360"/>
    </w:pPr>
    <w:rPr>
      <w:rFonts w:ascii="Arial" w:hAnsi="Arial" w:eastAsia="Times New Roman"/>
      <w:szCs w:val="24"/>
      <w:lang w:val="en-US" w:eastAsia="en-US"/>
    </w:rPr>
  </w:style>
  <w:style w:type="character" w:customStyle="1" w:styleId="261">
    <w:name w:val="无间隔 字符"/>
    <w:link w:val="262"/>
    <w:qFormat/>
    <w:uiPriority w:val="1"/>
    <w:rPr>
      <w:rFonts w:ascii="Arial" w:hAnsi="Arial" w:eastAsia="Times New Roman"/>
    </w:rPr>
  </w:style>
  <w:style w:type="paragraph" w:styleId="262">
    <w:name w:val="No Spacing"/>
    <w:basedOn w:val="1"/>
    <w:link w:val="261"/>
    <w:qFormat/>
    <w:uiPriority w:val="1"/>
    <w:pPr>
      <w:adjustRightInd/>
      <w:snapToGrid/>
      <w:spacing w:before="0" w:beforeLines="0" w:after="0" w:afterLines="0" w:line="240" w:lineRule="auto"/>
    </w:pPr>
    <w:rPr>
      <w:rFonts w:ascii="Arial" w:hAnsi="Arial" w:eastAsia="Times New Roman"/>
      <w:szCs w:val="20"/>
    </w:rPr>
  </w:style>
  <w:style w:type="character" w:customStyle="1" w:styleId="263">
    <w:name w:val="TAL Char"/>
    <w:qFormat/>
    <w:uiPriority w:val="0"/>
    <w:rPr>
      <w:rFonts w:ascii="Arial" w:hAnsi="Arial"/>
      <w:sz w:val="18"/>
      <w:lang w:val="en-GB" w:eastAsia="en-US"/>
    </w:rPr>
  </w:style>
  <w:style w:type="character" w:customStyle="1" w:styleId="264">
    <w:name w:val="스타일 스타일 스타일 스타일 양쪽 첫 줄:  2 글자 + 첫 줄:  2 글자 + 첫 줄:  2 글자 + 첫 줄:  2... Char"/>
    <w:link w:val="265"/>
    <w:qFormat/>
    <w:uiPriority w:val="0"/>
    <w:rPr>
      <w:rFonts w:eastAsia="Malgun Gothic" w:cs="Batang"/>
      <w:lang w:val="en-GB"/>
    </w:rPr>
  </w:style>
  <w:style w:type="paragraph" w:customStyle="1" w:styleId="265">
    <w:name w:val="스타일 스타일 스타일 스타일 양쪽 첫 줄:  2 글자 + 첫 줄:  2 글자 + 첫 줄:  2 글자 + 첫 줄:  2..."/>
    <w:basedOn w:val="1"/>
    <w:link w:val="264"/>
    <w:qFormat/>
    <w:uiPriority w:val="0"/>
    <w:pPr>
      <w:adjustRightInd/>
      <w:snapToGrid/>
      <w:spacing w:before="0" w:beforeLines="0" w:after="180" w:afterLines="0" w:line="336" w:lineRule="auto"/>
      <w:ind w:firstLine="200" w:firstLineChars="200"/>
    </w:pPr>
    <w:rPr>
      <w:rFonts w:eastAsia="Malgun Gothic" w:cs="Batang"/>
      <w:szCs w:val="20"/>
      <w:lang w:val="en-GB"/>
    </w:rPr>
  </w:style>
  <w:style w:type="character" w:customStyle="1" w:styleId="266">
    <w:name w:val="bullet Char"/>
    <w:link w:val="267"/>
    <w:qFormat/>
    <w:locked/>
    <w:uiPriority w:val="0"/>
    <w:rPr>
      <w:rFonts w:eastAsia="Times New Roman"/>
      <w:kern w:val="2"/>
      <w:szCs w:val="24"/>
      <w:lang w:val="en-GB" w:eastAsia="en-US"/>
    </w:rPr>
  </w:style>
  <w:style w:type="paragraph" w:customStyle="1" w:styleId="267">
    <w:name w:val="bullet"/>
    <w:basedOn w:val="129"/>
    <w:link w:val="266"/>
    <w:qFormat/>
    <w:uiPriority w:val="0"/>
    <w:pPr>
      <w:widowControl w:val="0"/>
      <w:tabs>
        <w:tab w:val="left" w:pos="720"/>
      </w:tabs>
      <w:adjustRightInd/>
      <w:snapToGrid/>
      <w:spacing w:before="0" w:beforeLines="0" w:after="60" w:afterLines="0" w:line="240" w:lineRule="auto"/>
      <w:ind w:hanging="360" w:firstLineChars="0"/>
      <w:contextualSpacing/>
    </w:pPr>
    <w:rPr>
      <w:rFonts w:eastAsia="Times New Roman"/>
      <w:kern w:val="2"/>
      <w:szCs w:val="24"/>
      <w:lang w:val="en-GB" w:eastAsia="en-US"/>
    </w:rPr>
  </w:style>
  <w:style w:type="character" w:customStyle="1" w:styleId="268">
    <w:name w:val="列出段落 字符"/>
    <w:qFormat/>
    <w:locked/>
    <w:uiPriority w:val="34"/>
    <w:rPr>
      <w:rFonts w:ascii="Arial" w:hAnsi="Arial" w:eastAsia="Times New Roman"/>
    </w:rPr>
  </w:style>
  <w:style w:type="paragraph" w:customStyle="1" w:styleId="269">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270">
    <w:name w:val="Steps-9th set"/>
    <w:basedOn w:val="1"/>
    <w:qFormat/>
    <w:uiPriority w:val="0"/>
    <w:pPr>
      <w:widowControl w:val="0"/>
      <w:tabs>
        <w:tab w:val="left" w:pos="851"/>
        <w:tab w:val="left" w:pos="936"/>
      </w:tabs>
      <w:adjustRightInd/>
      <w:snapToGrid/>
      <w:spacing w:before="120" w:beforeLines="0" w:after="120" w:afterLines="0" w:line="240" w:lineRule="auto"/>
      <w:ind w:left="851" w:hanging="851"/>
      <w:jc w:val="left"/>
    </w:pPr>
    <w:rPr>
      <w:rFonts w:ascii="Arial" w:hAnsi="Arial" w:eastAsia="Times New Roman"/>
      <w:sz w:val="24"/>
      <w:szCs w:val="24"/>
      <w:lang w:eastAsia="en-US"/>
    </w:rPr>
  </w:style>
  <w:style w:type="paragraph" w:customStyle="1" w:styleId="271">
    <w:name w:val="Proposal"/>
    <w:basedOn w:val="2"/>
    <w:qFormat/>
    <w:uiPriority w:val="0"/>
    <w:pPr>
      <w:widowControl/>
      <w:numPr>
        <w:ilvl w:val="0"/>
        <w:numId w:val="16"/>
      </w:numPr>
      <w:tabs>
        <w:tab w:val="left" w:pos="936"/>
        <w:tab w:val="left" w:pos="1701"/>
      </w:tabs>
      <w:adjustRightInd/>
      <w:snapToGrid/>
      <w:spacing w:before="0" w:beforeLines="0" w:after="120" w:afterLines="0" w:line="259" w:lineRule="auto"/>
      <w:ind w:left="936" w:hanging="936"/>
    </w:pPr>
    <w:rPr>
      <w:rFonts w:ascii="Arial" w:hAnsi="Arial" w:eastAsia="Calibri" w:cs="Arial"/>
      <w:b/>
      <w:bCs/>
      <w:color w:val="auto"/>
      <w:kern w:val="0"/>
      <w:sz w:val="22"/>
      <w:szCs w:val="22"/>
      <w:lang w:val="en-GB"/>
    </w:rPr>
  </w:style>
  <w:style w:type="character" w:customStyle="1" w:styleId="272">
    <w:name w:val="未处理的提及1"/>
    <w:semiHidden/>
    <w:unhideWhenUsed/>
    <w:qFormat/>
    <w:uiPriority w:val="99"/>
    <w:rPr>
      <w:color w:val="605E5C"/>
      <w:shd w:val="clear" w:color="auto" w:fill="E1DFDD"/>
    </w:rPr>
  </w:style>
  <w:style w:type="character" w:customStyle="1" w:styleId="273">
    <w:name w:val="00_Text Char"/>
    <w:link w:val="274"/>
    <w:qFormat/>
    <w:uiPriority w:val="0"/>
    <w:rPr>
      <w:szCs w:val="24"/>
    </w:rPr>
  </w:style>
  <w:style w:type="paragraph" w:customStyle="1" w:styleId="274">
    <w:name w:val="00_Text"/>
    <w:basedOn w:val="1"/>
    <w:link w:val="273"/>
    <w:qFormat/>
    <w:uiPriority w:val="0"/>
    <w:pPr>
      <w:adjustRightInd/>
      <w:snapToGrid/>
      <w:spacing w:before="120" w:beforeLines="0" w:after="120" w:afterLines="0" w:line="264" w:lineRule="auto"/>
    </w:pPr>
    <w:rPr>
      <w:rFonts w:eastAsia="宋体"/>
      <w:szCs w:val="24"/>
    </w:rPr>
  </w:style>
  <w:style w:type="paragraph" w:customStyle="1" w:styleId="275">
    <w:name w:val="paragraph"/>
    <w:basedOn w:val="1"/>
    <w:qFormat/>
    <w:uiPriority w:val="0"/>
    <w:pPr>
      <w:adjustRightInd/>
      <w:snapToGrid/>
      <w:spacing w:before="100" w:beforeLines="0" w:beforeAutospacing="1" w:after="100" w:afterLines="0" w:afterAutospacing="1" w:line="259" w:lineRule="auto"/>
      <w:jc w:val="left"/>
    </w:pPr>
    <w:rPr>
      <w:rFonts w:eastAsia="Times New Roman"/>
      <w:sz w:val="24"/>
      <w:szCs w:val="24"/>
      <w:lang w:eastAsia="en-US"/>
    </w:rPr>
  </w:style>
  <w:style w:type="paragraph" w:customStyle="1" w:styleId="276">
    <w:name w:val="Bullet-3"/>
    <w:basedOn w:val="1"/>
    <w:qFormat/>
    <w:uiPriority w:val="0"/>
    <w:pPr>
      <w:numPr>
        <w:ilvl w:val="2"/>
        <w:numId w:val="17"/>
      </w:numPr>
      <w:adjustRightInd/>
      <w:snapToGrid/>
      <w:spacing w:before="60" w:beforeLines="0" w:after="0" w:afterLines="0"/>
      <w:ind w:firstLine="100" w:firstLineChars="100"/>
    </w:pPr>
    <w:rPr>
      <w:rFonts w:ascii="Book Antiqua" w:hAnsi="Book Antiqua" w:eastAsia="Malgun Gothic"/>
      <w:szCs w:val="20"/>
      <w:lang w:val="en-GB" w:eastAsia="en-US"/>
    </w:rPr>
  </w:style>
  <w:style w:type="character" w:customStyle="1" w:styleId="277">
    <w:name w:val="xxapple-converted-space"/>
    <w:basedOn w:val="44"/>
    <w:qFormat/>
    <w:uiPriority w:val="0"/>
  </w:style>
  <w:style w:type="paragraph" w:customStyle="1" w:styleId="278">
    <w:name w:val="List Paragraph5"/>
    <w:basedOn w:val="1"/>
    <w:qFormat/>
    <w:uiPriority w:val="0"/>
    <w:pPr>
      <w:adjustRightInd/>
      <w:snapToGrid/>
      <w:spacing w:before="0" w:beforeLines="0" w:after="0" w:afterLines="0" w:line="240" w:lineRule="auto"/>
      <w:ind w:left="720"/>
      <w:contextualSpacing/>
      <w:jc w:val="left"/>
    </w:pPr>
    <w:rPr>
      <w:rFonts w:eastAsia="Times New Roman"/>
      <w:sz w:val="24"/>
      <w:szCs w:val="24"/>
    </w:rPr>
  </w:style>
  <w:style w:type="character" w:customStyle="1" w:styleId="279">
    <w:name w:val="标题 字符1"/>
    <w:basedOn w:val="44"/>
    <w:qFormat/>
    <w:uiPriority w:val="10"/>
    <w:rPr>
      <w:rFonts w:asciiTheme="majorHAnsi" w:hAnsiTheme="majorHAnsi" w:eastAsiaTheme="majorEastAsia" w:cstheme="majorBidi"/>
      <w:b/>
      <w:bCs/>
      <w:sz w:val="32"/>
      <w:szCs w:val="32"/>
      <w:lang w:val="en-GB"/>
    </w:rPr>
  </w:style>
  <w:style w:type="character" w:customStyle="1" w:styleId="280">
    <w:name w:val="标题 字符2"/>
    <w:basedOn w:val="44"/>
    <w:qFormat/>
    <w:uiPriority w:val="10"/>
    <w:rPr>
      <w:rFonts w:asciiTheme="majorHAnsi" w:hAnsiTheme="majorHAnsi" w:eastAsiaTheme="majorEastAsia" w:cstheme="majorBidi"/>
      <w:b/>
      <w:bCs/>
      <w:sz w:val="32"/>
      <w:szCs w:val="32"/>
    </w:rPr>
  </w:style>
  <w:style w:type="table" w:customStyle="1" w:styleId="281">
    <w:name w:val="网格型2"/>
    <w:basedOn w:val="41"/>
    <w:qFormat/>
    <w:uiPriority w:val="9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2">
    <w:name w:val="Revision3"/>
    <w:hidden/>
    <w:semiHidden/>
    <w:qFormat/>
    <w:uiPriority w:val="99"/>
    <w:rPr>
      <w:rFonts w:ascii="Times New Roman" w:hAnsi="Times New Roman" w:eastAsia="MS Gothic" w:cs="Times New Roman"/>
      <w:sz w:val="24"/>
      <w:lang w:val="en-GB" w:eastAsia="ja-JP" w:bidi="ar-SA"/>
    </w:rPr>
  </w:style>
  <w:style w:type="character" w:customStyle="1" w:styleId="283">
    <w:name w:val="列表段落 字符1"/>
    <w:qFormat/>
    <w:locked/>
    <w:uiPriority w:val="34"/>
    <w:rPr>
      <w:rFonts w:ascii="Times New Roman" w:hAnsi="Times New Roman" w:eastAsia="MS Gothic"/>
      <w:sz w:val="24"/>
      <w:lang w:val="en-GB"/>
    </w:rPr>
  </w:style>
  <w:style w:type="table" w:customStyle="1" w:styleId="284">
    <w:name w:val="网格表 1 浅色11"/>
    <w:basedOn w:val="41"/>
    <w:qFormat/>
    <w:uiPriority w:val="46"/>
    <w:rPr>
      <w:rFonts w:ascii="Times" w:hAnsi="Times" w:eastAsia="MS Mincho"/>
      <w:lang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85">
    <w:name w:val="Unresolved Mention1"/>
    <w:semiHidden/>
    <w:unhideWhenUsed/>
    <w:qFormat/>
    <w:uiPriority w:val="99"/>
    <w:rPr>
      <w:color w:val="605E5C"/>
      <w:shd w:val="clear" w:color="auto" w:fill="E1DFDD"/>
    </w:rPr>
  </w:style>
  <w:style w:type="paragraph" w:customStyle="1" w:styleId="286">
    <w:name w:val="YJ-Proposal"/>
    <w:basedOn w:val="1"/>
    <w:qFormat/>
    <w:uiPriority w:val="0"/>
    <w:pPr>
      <w:numPr>
        <w:ilvl w:val="0"/>
        <w:numId w:val="18"/>
      </w:numPr>
      <w:tabs>
        <w:tab w:val="left" w:pos="0"/>
        <w:tab w:val="clear" w:pos="1417"/>
      </w:tabs>
      <w:autoSpaceDE w:val="0"/>
      <w:autoSpaceDN w:val="0"/>
      <w:spacing w:before="0" w:beforeLines="0" w:after="120" w:afterLines="0" w:line="240" w:lineRule="auto"/>
      <w:ind w:left="0" w:hanging="420"/>
    </w:pPr>
    <w:rPr>
      <w:rFonts w:eastAsia="等线"/>
      <w:b/>
      <w:bCs/>
      <w:sz w:val="22"/>
      <w:szCs w:val="21"/>
      <w:lang w:val="en-GB" w:eastAsia="en-US"/>
    </w:rPr>
  </w:style>
  <w:style w:type="paragraph" w:customStyle="1" w:styleId="287">
    <w:name w:val="Revision4"/>
    <w:hidden/>
    <w:semiHidden/>
    <w:qFormat/>
    <w:uiPriority w:val="99"/>
    <w:rPr>
      <w:rFonts w:ascii="Times New Roman" w:hAnsi="Times New Roman" w:cs="Times New Roman" w:eastAsiaTheme="minorEastAsia"/>
      <w:szCs w:val="22"/>
      <w:lang w:val="en-US" w:eastAsia="zh-CN" w:bidi="ar-SA"/>
    </w:rPr>
  </w:style>
  <w:style w:type="character" w:customStyle="1" w:styleId="288">
    <w:name w:val="Unresolved Mention2"/>
    <w:semiHidden/>
    <w:unhideWhenUsed/>
    <w:qFormat/>
    <w:uiPriority w:val="99"/>
    <w:rPr>
      <w:color w:val="605E5C"/>
      <w:shd w:val="clear" w:color="auto" w:fill="E1DFDD"/>
    </w:rPr>
  </w:style>
  <w:style w:type="paragraph" w:customStyle="1" w:styleId="289">
    <w:name w:val="修订3"/>
    <w:hidden/>
    <w:semiHidden/>
    <w:qFormat/>
    <w:uiPriority w:val="99"/>
    <w:rPr>
      <w:rFonts w:ascii="Times New Roman" w:hAnsi="Times New Roman" w:eastAsia="MS Gothic" w:cs="Times New Roman"/>
      <w:sz w:val="24"/>
      <w:lang w:val="en-GB" w:eastAsia="ja-JP" w:bidi="ar-SA"/>
    </w:rPr>
  </w:style>
  <w:style w:type="character" w:customStyle="1" w:styleId="290">
    <w:name w:val="未处理的提及2"/>
    <w:semiHidden/>
    <w:unhideWhenUsed/>
    <w:qFormat/>
    <w:uiPriority w:val="99"/>
    <w:rPr>
      <w:color w:val="605E5C"/>
      <w:shd w:val="clear" w:color="auto" w:fill="E1DFDD"/>
    </w:rPr>
  </w:style>
  <w:style w:type="paragraph" w:customStyle="1" w:styleId="291">
    <w:name w:val="修订4"/>
    <w:hidden/>
    <w:semiHidden/>
    <w:qFormat/>
    <w:uiPriority w:val="99"/>
    <w:rPr>
      <w:rFonts w:ascii="Times New Roman" w:hAnsi="Times New Roman" w:cs="Times New Roman" w:eastAsiaTheme="minorEastAsia"/>
      <w:szCs w:val="22"/>
      <w:lang w:val="en-US" w:eastAsia="zh-CN" w:bidi="ar-SA"/>
    </w:rPr>
  </w:style>
  <w:style w:type="character" w:customStyle="1" w:styleId="292">
    <w:name w:val="列表段落 字符2"/>
    <w:basedOn w:val="44"/>
    <w:qFormat/>
    <w:uiPriority w:val="0"/>
    <w:rPr>
      <w:rFonts w:hint="default" w:ascii="Times" w:hAnsi="Times" w:eastAsia="Times" w:cs="Times"/>
      <w:szCs w:val="24"/>
      <w:lang w:val="en-US"/>
    </w:rPr>
  </w:style>
  <w:style w:type="table" w:customStyle="1" w:styleId="293">
    <w:name w:val="网格型3"/>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82294-35AD-4D3C-A888-D23FADEE4F3D}">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15</Pages>
  <Words>4194</Words>
  <Characters>23910</Characters>
  <Lines>199</Lines>
  <Paragraphs>56</Paragraphs>
  <TotalTime>69</TotalTime>
  <ScaleCrop>false</ScaleCrop>
  <LinksUpToDate>false</LinksUpToDate>
  <CharactersWithSpaces>28048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2025-05-09T08:45:00Z</dcterms:created>
  <dc:creator>ZTE</dc:creator>
  <cp:lastModifiedBy>ZTE, Mengzhu</cp:lastModifiedBy>
  <dcterms:modified xsi:type="dcterms:W3CDTF">2025-11-07T12:12:57Z</dcterms:modified>
  <dc:title>3GPP TSG-RAN WG1</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33F7F754AC284CE9B43AEFBE0B229F25</vt:lpwstr>
  </property>
</Properties>
</file>