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821996">
      <w:pPr>
        <w:tabs>
          <w:tab w:val="center" w:pos="4536"/>
          <w:tab w:val="right" w:pos="7938"/>
          <w:tab w:val="right" w:pos="9639"/>
        </w:tabs>
        <w:ind w:right="2"/>
        <w:rPr>
          <w:rFonts w:ascii="Arial" w:hAnsi="Arial" w:eastAsia="宋体" w:cs="Arial"/>
          <w:b/>
          <w:bCs/>
          <w:sz w:val="28"/>
          <w:lang w:val="en-US" w:eastAsia="zh-CN"/>
        </w:rPr>
      </w:pPr>
      <w:bookmarkStart w:id="0" w:name="_Hlk145670493"/>
      <w:bookmarkStart w:id="1" w:name="_Hlk193972832"/>
      <w:bookmarkStart w:id="2" w:name="_Hlk193972756"/>
      <w:r>
        <w:rPr>
          <w:rFonts w:ascii="Arial" w:hAnsi="Arial" w:cs="Arial"/>
          <w:b/>
          <w:bCs/>
          <w:sz w:val="28"/>
        </w:rPr>
        <w:t>3GPP TSG RAN WG1 #122</w:t>
      </w:r>
      <w:r>
        <w:rPr>
          <w:rFonts w:hint="eastAsia" w:ascii="Arial" w:hAnsi="Arial" w:eastAsia="宋体" w:cs="Arial"/>
          <w:b/>
          <w:bCs/>
          <w:sz w:val="28"/>
          <w:lang w:val="en-US" w:eastAsia="zh-CN"/>
        </w:rPr>
        <w:t>bis</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hint="eastAsia" w:ascii="Arial" w:hAnsi="Arial" w:eastAsia="宋体" w:cs="Arial"/>
          <w:b/>
          <w:bCs/>
          <w:sz w:val="28"/>
          <w:lang w:val="en-US" w:eastAsia="zh-CN"/>
        </w:rPr>
        <w:t xml:space="preserve">          </w:t>
      </w:r>
      <w:r>
        <w:rPr>
          <w:rFonts w:ascii="Arial" w:hAnsi="Arial" w:eastAsia="宋体" w:cs="Arial"/>
          <w:b/>
          <w:bCs/>
          <w:sz w:val="28"/>
          <w:lang w:val="en-US" w:eastAsia="zh-CN"/>
        </w:rPr>
        <w:t>R1-2506884</w:t>
      </w:r>
    </w:p>
    <w:p w14:paraId="30821997">
      <w:pPr>
        <w:rPr>
          <w:rFonts w:ascii="Arial" w:hAnsi="Arial" w:eastAsia="MS Mincho" w:cs="Arial"/>
          <w:b/>
          <w:sz w:val="28"/>
          <w:szCs w:val="28"/>
          <w:lang w:val="en-US"/>
        </w:rPr>
      </w:pPr>
      <w:bookmarkStart w:id="3" w:name="_Hlk165548372"/>
      <w:r>
        <w:rPr>
          <w:rFonts w:ascii="Arial" w:hAnsi="Arial" w:eastAsia="MS Mincho" w:cs="Arial"/>
          <w:b/>
          <w:kern w:val="2"/>
          <w:sz w:val="28"/>
          <w:szCs w:val="28"/>
          <w:lang w:val="en-US" w:eastAsia="zh-CN" w:bidi="ar"/>
        </w:rPr>
        <w:t>Prague, Czech Republic, Oct. 13</w:t>
      </w:r>
      <w:r>
        <w:rPr>
          <w:rFonts w:ascii="Arial" w:hAnsi="Arial" w:eastAsia="MS Mincho" w:cs="Arial"/>
          <w:b/>
          <w:kern w:val="2"/>
          <w:sz w:val="28"/>
          <w:szCs w:val="28"/>
          <w:vertAlign w:val="superscript"/>
          <w:lang w:val="en-US" w:eastAsia="zh-CN" w:bidi="ar"/>
        </w:rPr>
        <w:t>th</w:t>
      </w:r>
      <w:r>
        <w:rPr>
          <w:rFonts w:ascii="Arial" w:hAnsi="Arial" w:eastAsia="MS Mincho" w:cs="Arial"/>
          <w:b/>
          <w:kern w:val="2"/>
          <w:sz w:val="28"/>
          <w:szCs w:val="28"/>
          <w:lang w:val="en-US" w:eastAsia="zh-CN" w:bidi="ar"/>
        </w:rPr>
        <w:t xml:space="preserve"> – 17</w:t>
      </w:r>
      <w:r>
        <w:rPr>
          <w:rFonts w:ascii="Arial" w:hAnsi="Arial" w:eastAsia="MS Mincho" w:cs="Arial"/>
          <w:b/>
          <w:kern w:val="2"/>
          <w:sz w:val="28"/>
          <w:szCs w:val="28"/>
          <w:vertAlign w:val="superscript"/>
          <w:lang w:val="en-US" w:eastAsia="zh-CN" w:bidi="ar"/>
        </w:rPr>
        <w:t>th</w:t>
      </w:r>
      <w:r>
        <w:rPr>
          <w:rFonts w:ascii="Arial" w:hAnsi="Arial" w:eastAsia="MS Mincho" w:cs="Arial"/>
          <w:b/>
          <w:kern w:val="2"/>
          <w:sz w:val="28"/>
          <w:szCs w:val="28"/>
          <w:lang w:val="en-US" w:eastAsia="zh-CN" w:bidi="ar"/>
        </w:rPr>
        <w:t>, 2025</w:t>
      </w:r>
    </w:p>
    <w:bookmarkEnd w:id="0"/>
    <w:bookmarkEnd w:id="3"/>
    <w:p w14:paraId="30821998">
      <w:pPr>
        <w:pStyle w:val="4"/>
        <w:jc w:val="both"/>
        <w:rPr>
          <w:rFonts w:ascii="Arial" w:hAnsi="Arial" w:cs="Arial"/>
          <w:b/>
          <w:bCs/>
          <w:sz w:val="28"/>
          <w:szCs w:val="20"/>
        </w:rPr>
      </w:pPr>
    </w:p>
    <w:p w14:paraId="30821999">
      <w:pPr>
        <w:pStyle w:val="4"/>
        <w:ind w:left="1800" w:hanging="1800"/>
        <w:jc w:val="both"/>
        <w:rPr>
          <w:rFonts w:ascii="Arial" w:hAnsi="Arial" w:cs="Arial"/>
          <w:b/>
          <w:bCs/>
          <w:sz w:val="28"/>
          <w:szCs w:val="20"/>
        </w:rPr>
      </w:pPr>
      <w:r>
        <w:rPr>
          <w:rFonts w:ascii="Arial" w:hAnsi="Arial" w:cs="Arial"/>
          <w:b/>
          <w:bCs/>
          <w:sz w:val="28"/>
          <w:szCs w:val="20"/>
        </w:rPr>
        <w:t>Source</w:t>
      </w:r>
      <w:r>
        <w:rPr>
          <w:rFonts w:cs="Arial" w:asciiTheme="minorEastAsia" w:hAnsiTheme="minorEastAsia" w:eastAsiaTheme="minorEastAsia"/>
          <w:b/>
          <w:bCs/>
          <w:sz w:val="28"/>
          <w:szCs w:val="20"/>
          <w:lang w:eastAsia="zh-CN"/>
        </w:rPr>
        <w:t xml:space="preserve">:         </w:t>
      </w:r>
      <w:r>
        <w:rPr>
          <w:rFonts w:ascii="Arial" w:hAnsi="Arial" w:cs="Arial"/>
          <w:b/>
          <w:bCs/>
          <w:sz w:val="28"/>
          <w:szCs w:val="20"/>
        </w:rPr>
        <w:t>vivo</w:t>
      </w:r>
    </w:p>
    <w:p w14:paraId="3082199A">
      <w:pPr>
        <w:pStyle w:val="4"/>
        <w:tabs>
          <w:tab w:val="left" w:pos="1800"/>
        </w:tabs>
        <w:ind w:left="2288" w:hanging="2288" w:hangingChars="814"/>
        <w:jc w:val="both"/>
        <w:rPr>
          <w:rFonts w:ascii="Arial" w:hAnsi="Arial" w:cs="Arial"/>
          <w:b/>
          <w:bCs/>
          <w:sz w:val="28"/>
          <w:szCs w:val="20"/>
        </w:rPr>
      </w:pPr>
      <w:r>
        <w:rPr>
          <w:rFonts w:ascii="Arial" w:hAnsi="Arial" w:cs="Arial"/>
          <w:b/>
          <w:bCs/>
          <w:sz w:val="28"/>
          <w:szCs w:val="20"/>
        </w:rPr>
        <w:t>Title:</w:t>
      </w:r>
      <w:bookmarkStart w:id="4" w:name="Title"/>
      <w:bookmarkEnd w:id="4"/>
      <w:r>
        <w:rPr>
          <w:rFonts w:ascii="Arial" w:hAnsi="Arial" w:cs="Arial"/>
          <w:b/>
          <w:bCs/>
          <w:sz w:val="28"/>
          <w:szCs w:val="20"/>
        </w:rPr>
        <w:tab/>
      </w:r>
      <w:r>
        <w:rPr>
          <w:rFonts w:ascii="Arial" w:hAnsi="Arial" w:cs="Arial"/>
          <w:b/>
          <w:bCs/>
          <w:sz w:val="28"/>
          <w:szCs w:val="20"/>
        </w:rPr>
        <w:tab/>
      </w:r>
      <w:r>
        <w:rPr>
          <w:rFonts w:ascii="Arial" w:hAnsi="Arial" w:cs="Arial"/>
          <w:b/>
          <w:bCs/>
          <w:sz w:val="28"/>
          <w:szCs w:val="20"/>
        </w:rPr>
        <w:t>UE features for Rel-19 LP-WUS/WUR</w:t>
      </w:r>
    </w:p>
    <w:p w14:paraId="3082199B">
      <w:pPr>
        <w:pStyle w:val="4"/>
        <w:jc w:val="both"/>
        <w:rPr>
          <w:rFonts w:ascii="Arial" w:hAnsi="Arial" w:cs="Arial"/>
          <w:b/>
          <w:bCs/>
          <w:sz w:val="28"/>
          <w:szCs w:val="20"/>
        </w:rPr>
      </w:pPr>
      <w:r>
        <w:rPr>
          <w:rFonts w:ascii="Arial" w:hAnsi="Arial" w:cs="Arial"/>
          <w:b/>
          <w:bCs/>
          <w:sz w:val="28"/>
          <w:szCs w:val="20"/>
        </w:rPr>
        <w:t>Agenda Item</w:t>
      </w:r>
      <w:bookmarkStart w:id="5" w:name="Source"/>
      <w:bookmarkEnd w:id="5"/>
      <w:r>
        <w:rPr>
          <w:rFonts w:ascii="Arial" w:hAnsi="Arial" w:cs="Arial"/>
          <w:b/>
          <w:bCs/>
          <w:sz w:val="28"/>
          <w:szCs w:val="20"/>
        </w:rPr>
        <w:t>:    9. 5</w:t>
      </w:r>
    </w:p>
    <w:p w14:paraId="3082199C">
      <w:pPr>
        <w:pStyle w:val="4"/>
        <w:tabs>
          <w:tab w:val="left" w:pos="1800"/>
        </w:tabs>
        <w:jc w:val="both"/>
        <w:rPr>
          <w:rFonts w:ascii="Arial" w:hAnsi="Arial" w:cs="Arial"/>
          <w:b/>
          <w:bCs/>
          <w:sz w:val="28"/>
          <w:szCs w:val="20"/>
        </w:rPr>
      </w:pPr>
      <w:r>
        <w:rPr>
          <w:rFonts w:ascii="Arial" w:hAnsi="Arial" w:cs="Arial"/>
          <w:b/>
          <w:bCs/>
          <w:sz w:val="28"/>
          <w:szCs w:val="20"/>
        </w:rPr>
        <w:t>Document for:</w:t>
      </w:r>
      <w:bookmarkStart w:id="6" w:name="DocumentFor"/>
      <w:bookmarkEnd w:id="6"/>
      <w:r>
        <w:rPr>
          <w:rFonts w:ascii="Arial" w:hAnsi="Arial" w:cs="Arial"/>
          <w:b/>
          <w:bCs/>
          <w:sz w:val="28"/>
          <w:szCs w:val="20"/>
        </w:rPr>
        <w:t xml:space="preserve">   Discussion and Decision</w:t>
      </w:r>
    </w:p>
    <w:bookmarkEnd w:id="1"/>
    <w:p w14:paraId="3082199E"/>
    <w:p w14:paraId="3082199F">
      <w:pPr>
        <w:keepNext/>
        <w:keepLines/>
        <w:numPr>
          <w:ilvl w:val="0"/>
          <w:numId w:val="1"/>
        </w:numPr>
        <w:pBdr>
          <w:top w:val="single" w:color="auto" w:sz="12" w:space="3"/>
        </w:pBdr>
        <w:overflowPunct w:val="0"/>
        <w:autoSpaceDE w:val="0"/>
        <w:autoSpaceDN w:val="0"/>
        <w:adjustRightInd w:val="0"/>
        <w:spacing w:before="240" w:after="180"/>
        <w:textAlignment w:val="baseline"/>
        <w:outlineLvl w:val="0"/>
        <w:rPr>
          <w:rFonts w:ascii="Arial" w:hAnsi="Arial" w:eastAsia="宋体"/>
          <w:sz w:val="36"/>
          <w:szCs w:val="36"/>
          <w:lang w:eastAsia="zh-CN"/>
        </w:rPr>
      </w:pPr>
      <w:r>
        <w:rPr>
          <w:rFonts w:hint="eastAsia" w:ascii="Arial" w:hAnsi="Arial" w:eastAsia="宋体"/>
          <w:sz w:val="36"/>
          <w:szCs w:val="36"/>
          <w:lang w:eastAsia="en-GB"/>
        </w:rPr>
        <w:t>Introduction</w:t>
      </w:r>
    </w:p>
    <w:p w14:paraId="308219A0">
      <w:pPr>
        <w:spacing w:before="120" w:after="120" w:line="276" w:lineRule="auto"/>
        <w:jc w:val="both"/>
        <w:rPr>
          <w:rFonts w:eastAsia="宋体"/>
          <w:lang w:eastAsia="zh-CN"/>
        </w:rPr>
      </w:pPr>
      <w:bookmarkStart w:id="7" w:name="_Hlk111214318"/>
      <w:r>
        <w:rPr>
          <w:rFonts w:eastAsia="宋体"/>
          <w:lang w:eastAsia="zh-CN"/>
        </w:rPr>
        <w:t xml:space="preserve">In this contribution, we </w:t>
      </w:r>
      <w:bookmarkEnd w:id="7"/>
      <w:r>
        <w:rPr>
          <w:rFonts w:eastAsia="宋体"/>
          <w:lang w:eastAsia="zh-CN"/>
        </w:rPr>
        <w:t>provide updates to UE features for Rel-19 LP-WUS/WUR based on the latest agreements made.</w:t>
      </w:r>
      <w:bookmarkEnd w:id="2"/>
      <w:r>
        <w:rPr>
          <w:rFonts w:eastAsia="宋体"/>
          <w:lang w:eastAsia="zh-CN"/>
        </w:rPr>
        <w:t xml:space="preserve"> </w:t>
      </w:r>
    </w:p>
    <w:p w14:paraId="5677E71F">
      <w:pPr>
        <w:spacing w:before="120" w:after="120" w:line="276" w:lineRule="auto"/>
        <w:jc w:val="both"/>
        <w:rPr>
          <w:rFonts w:eastAsia="宋体"/>
          <w:lang w:eastAsia="zh-CN"/>
        </w:rPr>
      </w:pPr>
    </w:p>
    <w:p w14:paraId="6F181AE3">
      <w:pPr>
        <w:pStyle w:val="14"/>
        <w:keepNext/>
        <w:keepLines/>
        <w:numPr>
          <w:ilvl w:val="0"/>
          <w:numId w:val="2"/>
        </w:numPr>
        <w:tabs>
          <w:tab w:val="left" w:pos="426"/>
        </w:tabs>
        <w:overflowPunct w:val="0"/>
        <w:autoSpaceDE w:val="0"/>
        <w:autoSpaceDN w:val="0"/>
        <w:adjustRightInd w:val="0"/>
        <w:spacing w:after="120"/>
        <w:ind w:leftChars="0"/>
        <w:jc w:val="both"/>
        <w:textAlignment w:val="baseline"/>
        <w:outlineLvl w:val="0"/>
        <w:rPr>
          <w:rFonts w:ascii="Arial" w:hAnsi="Arial" w:eastAsia="Batang"/>
          <w:sz w:val="32"/>
          <w:szCs w:val="32"/>
          <w:lang w:val="en-US" w:eastAsia="ko-KR"/>
        </w:rPr>
      </w:pPr>
      <w:r>
        <w:rPr>
          <w:rFonts w:ascii="Arial" w:hAnsi="Arial" w:eastAsia="Batang"/>
          <w:sz w:val="32"/>
          <w:szCs w:val="32"/>
          <w:lang w:eastAsia="ko-KR"/>
        </w:rPr>
        <w:t>NR_LPWUS</w:t>
      </w:r>
    </w:p>
    <w:p w14:paraId="7107973D">
      <w:pPr>
        <w:pStyle w:val="14"/>
        <w:keepNext/>
        <w:keepLines/>
        <w:numPr>
          <w:ilvl w:val="0"/>
          <w:numId w:val="3"/>
        </w:numPr>
        <w:tabs>
          <w:tab w:val="left" w:pos="426"/>
        </w:tabs>
        <w:overflowPunct w:val="0"/>
        <w:autoSpaceDE w:val="0"/>
        <w:autoSpaceDN w:val="0"/>
        <w:adjustRightInd w:val="0"/>
        <w:spacing w:after="120"/>
        <w:ind w:leftChars="0"/>
        <w:jc w:val="both"/>
        <w:textAlignment w:val="baseline"/>
        <w:outlineLvl w:val="0"/>
        <w:rPr>
          <w:rFonts w:ascii="Arial" w:hAnsi="Arial" w:eastAsiaTheme="minorEastAsia"/>
          <w:sz w:val="32"/>
          <w:szCs w:val="32"/>
          <w:lang w:val="en-US" w:eastAsia="zh-CN"/>
        </w:rPr>
      </w:pPr>
      <w:r>
        <w:rPr>
          <w:rFonts w:ascii="Arial" w:hAnsi="Arial" w:eastAsiaTheme="minorEastAsia"/>
          <w:sz w:val="32"/>
          <w:szCs w:val="32"/>
          <w:lang w:val="en-US" w:eastAsia="zh-CN"/>
        </w:rPr>
        <w:t>Proposal with change mark (based on RAN1#12</w:t>
      </w:r>
      <w:r>
        <w:rPr>
          <w:rFonts w:hint="eastAsia" w:ascii="Arial" w:hAnsi="Arial" w:eastAsiaTheme="minorEastAsia"/>
          <w:sz w:val="32"/>
          <w:szCs w:val="32"/>
          <w:lang w:val="en-US" w:eastAsia="zh-CN"/>
        </w:rPr>
        <w:t>2</w:t>
      </w:r>
      <w:r>
        <w:rPr>
          <w:rFonts w:ascii="Arial" w:hAnsi="Arial" w:eastAsiaTheme="minorEastAsia"/>
          <w:sz w:val="32"/>
          <w:szCs w:val="32"/>
          <w:lang w:val="en-US" w:eastAsia="zh-CN"/>
        </w:rPr>
        <w:t xml:space="preserve"> endorsed version in R1-250</w:t>
      </w:r>
      <w:r>
        <w:rPr>
          <w:rFonts w:hint="eastAsia" w:ascii="Arial" w:hAnsi="Arial" w:eastAsiaTheme="minorEastAsia"/>
          <w:sz w:val="32"/>
          <w:szCs w:val="32"/>
          <w:lang w:val="en-US" w:eastAsia="zh-CN"/>
        </w:rPr>
        <w:t>6627</w:t>
      </w:r>
      <w:r>
        <w:rPr>
          <w:rFonts w:ascii="Arial" w:hAnsi="Arial" w:eastAsiaTheme="minorEastAsia"/>
          <w:sz w:val="32"/>
          <w:szCs w:val="32"/>
          <w:lang w:val="en-US" w:eastAsia="zh-CN"/>
        </w:rPr>
        <w:t>)</w:t>
      </w:r>
    </w:p>
    <w:p w14:paraId="59603608">
      <w:pPr>
        <w:adjustRightInd w:val="0"/>
        <w:snapToGrid w:val="0"/>
        <w:spacing w:after="163" w:afterLines="50"/>
        <w:ind w:left="240" w:leftChars="100"/>
        <w:jc w:val="both"/>
        <w:rPr>
          <w:sz w:val="28"/>
          <w:szCs w:val="21"/>
          <w:lang w:val="en-US" w:eastAsia="zh-CN"/>
        </w:rPr>
      </w:pPr>
      <w:r>
        <w:rPr>
          <w:rFonts w:hint="eastAsia"/>
          <w:sz w:val="28"/>
          <w:szCs w:val="21"/>
          <w:lang w:val="en-US" w:eastAsia="zh-CN"/>
        </w:rPr>
        <w:t xml:space="preserve">For LP-WUS UE feature, only one issue remains that is the Type for connected mode operation. Based on the discussion in RAN1#122 meeting, define as per FS seems safer and simpler, otherwise, multiple new FGs for CA and DC and for OOK and OFDM based signal need to be created. </w:t>
      </w:r>
    </w:p>
    <w:p w14:paraId="2C24B701">
      <w:pPr>
        <w:adjustRightInd w:val="0"/>
        <w:snapToGrid w:val="0"/>
        <w:spacing w:after="163" w:afterLines="50"/>
        <w:ind w:left="240" w:leftChars="100"/>
        <w:jc w:val="both"/>
        <w:rPr>
          <w:sz w:val="28"/>
          <w:szCs w:val="21"/>
          <w:lang w:val="en-US" w:eastAsia="zh-CN"/>
        </w:rPr>
      </w:pPr>
      <w:r>
        <w:rPr>
          <w:rFonts w:hint="eastAsia"/>
          <w:sz w:val="28"/>
          <w:szCs w:val="21"/>
          <w:lang w:val="en-US" w:eastAsia="zh-CN"/>
        </w:rPr>
        <w:t xml:space="preserve">Therefore, we propose the type for FG62-2, 62-2a and 62-3 is per FS. </w:t>
      </w:r>
      <w:bookmarkStart w:id="8" w:name="_GoBack"/>
      <w:bookmarkEnd w:id="8"/>
      <w:r>
        <w:rPr>
          <w:rFonts w:hint="eastAsia"/>
          <w:sz w:val="28"/>
          <w:szCs w:val="21"/>
          <w:lang w:val="en-US" w:eastAsia="zh-CN"/>
        </w:rPr>
        <w:t xml:space="preserve">  </w:t>
      </w:r>
    </w:p>
    <w:p w14:paraId="69A3EDBE">
      <w:pPr>
        <w:spacing w:before="120" w:after="120" w:line="276" w:lineRule="auto"/>
        <w:jc w:val="both"/>
        <w:rPr>
          <w:rFonts w:eastAsia="宋体"/>
          <w:lang w:eastAsia="zh-CN"/>
        </w:rPr>
        <w:sectPr>
          <w:pgSz w:w="16838" w:h="11906" w:orient="landscape"/>
          <w:pgMar w:top="720" w:right="720" w:bottom="720" w:left="720" w:header="709" w:footer="709" w:gutter="0"/>
          <w:cols w:space="708" w:num="1"/>
          <w:docGrid w:linePitch="360" w:charSpace="0"/>
        </w:sect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4"/>
        <w:gridCol w:w="687"/>
        <w:gridCol w:w="1908"/>
        <w:gridCol w:w="1972"/>
        <w:gridCol w:w="1334"/>
        <w:gridCol w:w="1305"/>
        <w:gridCol w:w="1481"/>
        <w:gridCol w:w="1986"/>
        <w:gridCol w:w="1801"/>
        <w:gridCol w:w="1507"/>
        <w:gridCol w:w="1503"/>
        <w:gridCol w:w="1631"/>
        <w:gridCol w:w="2275"/>
        <w:gridCol w:w="1963"/>
      </w:tblGrid>
      <w:tr w14:paraId="30821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308219A5">
            <w:pPr>
              <w:pStyle w:val="11"/>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Features</w:t>
            </w:r>
          </w:p>
        </w:tc>
        <w:tc>
          <w:tcPr>
            <w:tcW w:w="0" w:type="auto"/>
            <w:tcBorders>
              <w:top w:val="single" w:color="auto" w:sz="4" w:space="0"/>
              <w:left w:val="single" w:color="auto" w:sz="4" w:space="0"/>
              <w:bottom w:val="single" w:color="auto" w:sz="4" w:space="0"/>
              <w:right w:val="single" w:color="auto" w:sz="4" w:space="0"/>
            </w:tcBorders>
          </w:tcPr>
          <w:p w14:paraId="308219A6">
            <w:pPr>
              <w:pStyle w:val="11"/>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Index</w:t>
            </w:r>
          </w:p>
        </w:tc>
        <w:tc>
          <w:tcPr>
            <w:tcW w:w="0" w:type="auto"/>
            <w:tcBorders>
              <w:top w:val="single" w:color="auto" w:sz="4" w:space="0"/>
              <w:left w:val="single" w:color="auto" w:sz="4" w:space="0"/>
              <w:bottom w:val="single" w:color="auto" w:sz="4" w:space="0"/>
              <w:right w:val="single" w:color="auto" w:sz="4" w:space="0"/>
            </w:tcBorders>
          </w:tcPr>
          <w:p w14:paraId="308219A7">
            <w:pPr>
              <w:pStyle w:val="11"/>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Feature group</w:t>
            </w:r>
          </w:p>
        </w:tc>
        <w:tc>
          <w:tcPr>
            <w:tcW w:w="0" w:type="auto"/>
            <w:tcBorders>
              <w:top w:val="single" w:color="auto" w:sz="4" w:space="0"/>
              <w:left w:val="single" w:color="auto" w:sz="4" w:space="0"/>
              <w:bottom w:val="single" w:color="auto" w:sz="4" w:space="0"/>
              <w:right w:val="single" w:color="auto" w:sz="4" w:space="0"/>
            </w:tcBorders>
          </w:tcPr>
          <w:p w14:paraId="308219A8">
            <w:pPr>
              <w:pStyle w:val="11"/>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Components</w:t>
            </w:r>
          </w:p>
        </w:tc>
        <w:tc>
          <w:tcPr>
            <w:tcW w:w="0" w:type="auto"/>
            <w:tcBorders>
              <w:top w:val="single" w:color="auto" w:sz="4" w:space="0"/>
              <w:left w:val="single" w:color="auto" w:sz="4" w:space="0"/>
              <w:bottom w:val="single" w:color="auto" w:sz="4" w:space="0"/>
              <w:right w:val="single" w:color="auto" w:sz="4" w:space="0"/>
            </w:tcBorders>
          </w:tcPr>
          <w:p w14:paraId="308219A9">
            <w:pPr>
              <w:pStyle w:val="11"/>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Prerequisite feature groups</w:t>
            </w:r>
          </w:p>
        </w:tc>
        <w:tc>
          <w:tcPr>
            <w:tcW w:w="0" w:type="auto"/>
            <w:tcBorders>
              <w:top w:val="single" w:color="auto" w:sz="4" w:space="0"/>
              <w:left w:val="single" w:color="auto" w:sz="4" w:space="0"/>
              <w:bottom w:val="single" w:color="auto" w:sz="4" w:space="0"/>
              <w:right w:val="single" w:color="auto" w:sz="4" w:space="0"/>
            </w:tcBorders>
          </w:tcPr>
          <w:p w14:paraId="308219AA">
            <w:pPr>
              <w:pStyle w:val="11"/>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Need for the gNB to know if the feature is supported</w:t>
            </w:r>
          </w:p>
        </w:tc>
        <w:tc>
          <w:tcPr>
            <w:tcW w:w="0" w:type="auto"/>
            <w:tcBorders>
              <w:top w:val="single" w:color="auto" w:sz="4" w:space="0"/>
              <w:left w:val="single" w:color="auto" w:sz="4" w:space="0"/>
              <w:bottom w:val="single" w:color="auto" w:sz="4" w:space="0"/>
              <w:right w:val="single" w:color="auto" w:sz="4" w:space="0"/>
            </w:tcBorders>
          </w:tcPr>
          <w:p w14:paraId="308219AB">
            <w:pPr>
              <w:pStyle w:val="11"/>
              <w:rPr>
                <w:rFonts w:cs="Arial"/>
                <w:color w:val="000000" w:themeColor="text1"/>
                <w:szCs w:val="18"/>
                <w14:textFill>
                  <w14:solidFill>
                    <w14:schemeClr w14:val="tx1"/>
                  </w14:solidFill>
                </w14:textFill>
              </w:rPr>
            </w:pPr>
            <w:r>
              <w:rPr>
                <w:rFonts w:eastAsia="Gulim" w:cs="Arial"/>
                <w:color w:val="000000" w:themeColor="text1"/>
                <w:szCs w:val="18"/>
                <w14:textFill>
                  <w14:solidFill>
                    <w14:schemeClr w14:val="tx1"/>
                  </w14:solidFill>
                </w14:textFill>
              </w:rPr>
              <w:t xml:space="preserve">Applicable to </w:t>
            </w:r>
            <w:r>
              <w:rPr>
                <w:rFonts w:cs="Arial"/>
                <w:color w:val="000000" w:themeColor="text1"/>
                <w:szCs w:val="18"/>
                <w14:textFill>
                  <w14:solidFill>
                    <w14:schemeClr w14:val="tx1"/>
                  </w14:solidFill>
                </w14:textFill>
              </w:rPr>
              <w:t>the capability signalling exchange between UEs (Sidelink WI only)”.</w:t>
            </w:r>
          </w:p>
        </w:tc>
        <w:tc>
          <w:tcPr>
            <w:tcW w:w="0" w:type="auto"/>
            <w:tcBorders>
              <w:top w:val="single" w:color="auto" w:sz="4" w:space="0"/>
              <w:left w:val="single" w:color="auto" w:sz="4" w:space="0"/>
              <w:bottom w:val="single" w:color="auto" w:sz="4" w:space="0"/>
              <w:right w:val="single" w:color="auto" w:sz="4" w:space="0"/>
            </w:tcBorders>
          </w:tcPr>
          <w:p w14:paraId="308219AC">
            <w:pPr>
              <w:pStyle w:val="17"/>
              <w:ind w:left="0" w:firstLine="0"/>
              <w:rPr>
                <w:rFonts w:cs="Arial"/>
                <w:b/>
                <w:color w:val="000000" w:themeColor="text1"/>
                <w:szCs w:val="18"/>
                <w:lang w:eastAsia="ja-JP"/>
                <w14:textFill>
                  <w14:solidFill>
                    <w14:schemeClr w14:val="tx1"/>
                  </w14:solidFill>
                </w14:textFill>
              </w:rPr>
            </w:pPr>
            <w:r>
              <w:rPr>
                <w:rFonts w:cs="Arial"/>
                <w:b/>
                <w:color w:val="000000" w:themeColor="text1"/>
                <w:szCs w:val="18"/>
                <w:lang w:eastAsia="ja-JP"/>
                <w14:textFill>
                  <w14:solidFill>
                    <w14:schemeClr w14:val="tx1"/>
                  </w14:solidFill>
                </w14:textFill>
              </w:rPr>
              <w:t>Consequence if the feature is not supported by the UE</w:t>
            </w:r>
          </w:p>
        </w:tc>
        <w:tc>
          <w:tcPr>
            <w:tcW w:w="0" w:type="auto"/>
            <w:tcBorders>
              <w:top w:val="single" w:color="auto" w:sz="4" w:space="0"/>
              <w:left w:val="single" w:color="auto" w:sz="4" w:space="0"/>
              <w:bottom w:val="single" w:color="auto" w:sz="4" w:space="0"/>
              <w:right w:val="single" w:color="auto" w:sz="4" w:space="0"/>
            </w:tcBorders>
          </w:tcPr>
          <w:p w14:paraId="308219AD">
            <w:pPr>
              <w:pStyle w:val="17"/>
              <w:ind w:left="0" w:firstLine="0"/>
              <w:rPr>
                <w:rFonts w:cs="Arial"/>
                <w:b/>
                <w:color w:val="000000" w:themeColor="text1"/>
                <w:szCs w:val="18"/>
                <w:lang w:eastAsia="ja-JP"/>
                <w14:textFill>
                  <w14:solidFill>
                    <w14:schemeClr w14:val="tx1"/>
                  </w14:solidFill>
                </w14:textFill>
              </w:rPr>
            </w:pPr>
            <w:r>
              <w:rPr>
                <w:rFonts w:cs="Arial"/>
                <w:b/>
                <w:color w:val="000000" w:themeColor="text1"/>
                <w:szCs w:val="18"/>
                <w:lang w:eastAsia="ja-JP"/>
                <w14:textFill>
                  <w14:solidFill>
                    <w14:schemeClr w14:val="tx1"/>
                  </w14:solidFill>
                </w14:textFill>
              </w:rPr>
              <w:t>Type</w:t>
            </w:r>
          </w:p>
          <w:p w14:paraId="308219AE">
            <w:pPr>
              <w:pStyle w:val="17"/>
              <w:ind w:left="0" w:firstLine="0"/>
              <w:rPr>
                <w:rFonts w:cs="Arial"/>
                <w:b/>
                <w:color w:val="000000" w:themeColor="text1"/>
                <w:szCs w:val="18"/>
                <w:lang w:eastAsia="ja-JP"/>
                <w14:textFill>
                  <w14:solidFill>
                    <w14:schemeClr w14:val="tx1"/>
                  </w14:solidFill>
                </w14:textFill>
              </w:rPr>
            </w:pPr>
            <w:r>
              <w:rPr>
                <w:rFonts w:cs="Arial"/>
                <w:b/>
                <w:color w:val="000000" w:themeColor="text1"/>
                <w:szCs w:val="18"/>
                <w:lang w:eastAsia="ja-JP"/>
                <w14:textFill>
                  <w14:solidFill>
                    <w14:schemeClr w14:val="tx1"/>
                  </w14:solidFill>
                </w14:textFill>
              </w:rPr>
              <w:t>(the ‘type’ definition from UE features should be based on the granularity of 1) Per UE or 2) Per Band or 3) Per BC or 4) Per FS or 5) Per FSPC)</w:t>
            </w:r>
          </w:p>
        </w:tc>
        <w:tc>
          <w:tcPr>
            <w:tcW w:w="0" w:type="auto"/>
            <w:tcBorders>
              <w:top w:val="single" w:color="auto" w:sz="4" w:space="0"/>
              <w:left w:val="single" w:color="auto" w:sz="4" w:space="0"/>
              <w:bottom w:val="single" w:color="auto" w:sz="4" w:space="0"/>
              <w:right w:val="single" w:color="auto" w:sz="4" w:space="0"/>
            </w:tcBorders>
          </w:tcPr>
          <w:p w14:paraId="308219AF">
            <w:pPr>
              <w:pStyle w:val="11"/>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Need of FDD/TDD differentiation</w:t>
            </w:r>
          </w:p>
        </w:tc>
        <w:tc>
          <w:tcPr>
            <w:tcW w:w="0" w:type="auto"/>
            <w:tcBorders>
              <w:top w:val="single" w:color="auto" w:sz="4" w:space="0"/>
              <w:left w:val="single" w:color="auto" w:sz="4" w:space="0"/>
              <w:bottom w:val="single" w:color="auto" w:sz="4" w:space="0"/>
              <w:right w:val="single" w:color="auto" w:sz="4" w:space="0"/>
            </w:tcBorders>
          </w:tcPr>
          <w:p w14:paraId="308219B0">
            <w:pPr>
              <w:pStyle w:val="11"/>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Need of FR1/FR2 differentiation</w:t>
            </w:r>
          </w:p>
        </w:tc>
        <w:tc>
          <w:tcPr>
            <w:tcW w:w="0" w:type="auto"/>
            <w:tcBorders>
              <w:top w:val="single" w:color="auto" w:sz="4" w:space="0"/>
              <w:left w:val="single" w:color="auto" w:sz="4" w:space="0"/>
              <w:bottom w:val="single" w:color="auto" w:sz="4" w:space="0"/>
              <w:right w:val="single" w:color="auto" w:sz="4" w:space="0"/>
            </w:tcBorders>
          </w:tcPr>
          <w:p w14:paraId="308219B1">
            <w:pPr>
              <w:pStyle w:val="11"/>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Capability interpretation for mixture of FDD/TDD and/or FR1/FR2</w:t>
            </w:r>
          </w:p>
        </w:tc>
        <w:tc>
          <w:tcPr>
            <w:tcW w:w="0" w:type="auto"/>
            <w:tcBorders>
              <w:top w:val="single" w:color="auto" w:sz="4" w:space="0"/>
              <w:left w:val="single" w:color="auto" w:sz="4" w:space="0"/>
              <w:bottom w:val="single" w:color="auto" w:sz="4" w:space="0"/>
              <w:right w:val="single" w:color="auto" w:sz="4" w:space="0"/>
            </w:tcBorders>
          </w:tcPr>
          <w:p w14:paraId="308219B2">
            <w:pPr>
              <w:pStyle w:val="11"/>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Note</w:t>
            </w:r>
          </w:p>
        </w:tc>
        <w:tc>
          <w:tcPr>
            <w:tcW w:w="0" w:type="auto"/>
            <w:tcBorders>
              <w:top w:val="single" w:color="auto" w:sz="4" w:space="0"/>
              <w:left w:val="single" w:color="auto" w:sz="4" w:space="0"/>
              <w:bottom w:val="single" w:color="auto" w:sz="4" w:space="0"/>
              <w:right w:val="single" w:color="auto" w:sz="4" w:space="0"/>
            </w:tcBorders>
          </w:tcPr>
          <w:p w14:paraId="308219B3">
            <w:pPr>
              <w:pStyle w:val="11"/>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Mandatory/Optional</w:t>
            </w:r>
          </w:p>
        </w:tc>
      </w:tr>
      <w:tr w14:paraId="30821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308219B5">
            <w:pPr>
              <w:pStyle w:val="16"/>
              <w:rPr>
                <w:rFonts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62</w:t>
            </w:r>
            <w:r>
              <w:rPr>
                <w:rFonts w:cs="Arial"/>
                <w:color w:val="000000" w:themeColor="text1"/>
                <w:szCs w:val="18"/>
                <w:lang w:eastAsia="ja-JP"/>
                <w14:textFill>
                  <w14:solidFill>
                    <w14:schemeClr w14:val="tx1"/>
                  </w14:solidFill>
                </w14:textFill>
              </w:rPr>
              <w:t>.</w:t>
            </w:r>
            <w:r>
              <w:rPr>
                <w:rFonts w:eastAsia="MS Mincho" w:cs="Arial"/>
                <w:color w:val="000000" w:themeColor="text1"/>
                <w:szCs w:val="18"/>
                <w:lang w:eastAsia="ja-JP"/>
                <w14:textFill>
                  <w14:solidFill>
                    <w14:schemeClr w14:val="tx1"/>
                  </w14:solidFill>
                </w14:textFill>
              </w:rPr>
              <w:t xml:space="preserve"> </w:t>
            </w:r>
            <w:r>
              <w:rPr>
                <w:rFonts w:cs="Arial"/>
                <w:color w:val="000000" w:themeColor="text1"/>
                <w:szCs w:val="18"/>
                <w:lang w:eastAsia="ja-JP"/>
                <w14:textFill>
                  <w14:solidFill>
                    <w14:schemeClr w14:val="tx1"/>
                  </w14:solidFill>
                </w14:textFill>
              </w:rPr>
              <w:t>NR_LPWUS</w:t>
            </w:r>
          </w:p>
        </w:tc>
        <w:tc>
          <w:tcPr>
            <w:tcW w:w="0" w:type="auto"/>
            <w:tcBorders>
              <w:top w:val="single" w:color="auto" w:sz="4" w:space="0"/>
              <w:left w:val="single" w:color="auto" w:sz="4" w:space="0"/>
              <w:bottom w:val="single" w:color="auto" w:sz="4" w:space="0"/>
              <w:right w:val="single" w:color="auto" w:sz="4" w:space="0"/>
            </w:tcBorders>
          </w:tcPr>
          <w:p w14:paraId="308219B6">
            <w:pPr>
              <w:pStyle w:val="16"/>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62-1</w:t>
            </w:r>
          </w:p>
        </w:tc>
        <w:tc>
          <w:tcPr>
            <w:tcW w:w="0" w:type="auto"/>
            <w:tcBorders>
              <w:top w:val="single" w:color="auto" w:sz="4" w:space="0"/>
              <w:left w:val="single" w:color="auto" w:sz="4" w:space="0"/>
              <w:bottom w:val="single" w:color="auto" w:sz="4" w:space="0"/>
              <w:right w:val="single" w:color="auto" w:sz="4" w:space="0"/>
            </w:tcBorders>
          </w:tcPr>
          <w:p w14:paraId="308219B7">
            <w:pPr>
              <w:pStyle w:val="16"/>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LP-WUS operation in IDLE/INACTIVE mode based on OOK signal</w:t>
            </w:r>
          </w:p>
        </w:tc>
        <w:tc>
          <w:tcPr>
            <w:tcW w:w="0" w:type="auto"/>
            <w:tcBorders>
              <w:top w:val="single" w:color="auto" w:sz="4" w:space="0"/>
              <w:left w:val="single" w:color="auto" w:sz="4" w:space="0"/>
              <w:bottom w:val="single" w:color="auto" w:sz="4" w:space="0"/>
              <w:right w:val="single" w:color="auto" w:sz="4" w:space="0"/>
            </w:tcBorders>
          </w:tcPr>
          <w:p w14:paraId="308219B8">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1. LP-WUS operation in IDLE/INACTIVE mode to trigger paging monitoring based on OOK</w:t>
            </w:r>
          </w:p>
          <w:p w14:paraId="308219B9">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2. The support of LP-SS based RRM measurement</w:t>
            </w:r>
          </w:p>
          <w:p w14:paraId="308219BA">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5. Minimum time gap between LP-WUS reception and UE to start PDCCH monitoring</w:t>
            </w:r>
          </w:p>
          <w:p w14:paraId="308219BB">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6. Support of all M values {1, 2, 4} for FR1 for LP-WUS</w:t>
            </w:r>
          </w:p>
          <w:p w14:paraId="308219BC">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7. Support of M value 1 for 120 kHz SCS FR2 for LP-WUS</w:t>
            </w:r>
          </w:p>
          <w:p w14:paraId="308219BD">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8. Support of all M values {1, 2, 4} for LP-SS</w:t>
            </w:r>
          </w:p>
          <w:p w14:paraId="308219BE">
            <w:pPr>
              <w:rPr>
                <w:rFonts w:ascii="Arial" w:hAnsi="Arial" w:cs="Arial"/>
                <w:color w:val="000000" w:themeColor="text1"/>
                <w:sz w:val="18"/>
                <w:szCs w:val="18"/>
                <w:highlight w:val="yellow"/>
                <w14:textFill>
                  <w14:solidFill>
                    <w14:schemeClr w14:val="tx1"/>
                  </w14:solidFill>
                </w14:textFill>
              </w:rPr>
            </w:pPr>
          </w:p>
          <w:p w14:paraId="308219BF">
            <w:pPr>
              <w:rPr>
                <w:rFonts w:ascii="Arial" w:hAnsi="Arial" w:cs="Arial"/>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tcPr>
          <w:p w14:paraId="308219C0">
            <w:pPr>
              <w:pStyle w:val="16"/>
              <w:rPr>
                <w:rFonts w:eastAsia="MS Mincho"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tcPr>
          <w:p w14:paraId="308219C1">
            <w:pPr>
              <w:pStyle w:val="16"/>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tcPr>
          <w:p w14:paraId="308219C2">
            <w:pPr>
              <w:pStyle w:val="16"/>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308219C3">
            <w:pPr>
              <w:pStyle w:val="16"/>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LP-WUS operation in IDLE/INACTIVE mode based on OOK signal is not supported</w:t>
            </w:r>
          </w:p>
        </w:tc>
        <w:tc>
          <w:tcPr>
            <w:tcW w:w="0" w:type="auto"/>
            <w:tcBorders>
              <w:top w:val="single" w:color="auto" w:sz="4" w:space="0"/>
              <w:left w:val="single" w:color="auto" w:sz="4" w:space="0"/>
              <w:bottom w:val="single" w:color="auto" w:sz="4" w:space="0"/>
              <w:right w:val="single" w:color="auto" w:sz="4" w:space="0"/>
            </w:tcBorders>
          </w:tcPr>
          <w:p w14:paraId="308219C4">
            <w:pPr>
              <w:pStyle w:val="16"/>
              <w:rPr>
                <w:rFonts w:eastAsia="MS Mincho" w:cs="Arial"/>
                <w:color w:val="000000" w:themeColor="text1"/>
                <w:szCs w:val="18"/>
                <w:lang w:eastAsia="ja-JP"/>
                <w14:textFill>
                  <w14:solidFill>
                    <w14:schemeClr w14:val="tx1"/>
                  </w14:solidFill>
                </w14:textFill>
              </w:rPr>
            </w:pPr>
            <w:r>
              <w:rPr>
                <w:rFonts w:eastAsia="宋体" w:cs="Arial"/>
                <w:color w:val="000000" w:themeColor="text1"/>
                <w:szCs w:val="18"/>
                <w:lang w:eastAsia="zh-CN"/>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tcPr>
          <w:p w14:paraId="308219C5">
            <w:pPr>
              <w:pStyle w:val="16"/>
              <w:rPr>
                <w:rFonts w:cs="Arial"/>
                <w:color w:val="000000" w:themeColor="text1"/>
                <w:szCs w:val="18"/>
                <w:lang w:eastAsia="ja-JP"/>
                <w14:textFill>
                  <w14:solidFill>
                    <w14:schemeClr w14:val="tx1"/>
                  </w14:solidFill>
                </w14:textFill>
              </w:rPr>
            </w:pPr>
            <w:r>
              <w:rPr>
                <w:rFonts w:cs="Arial"/>
                <w:szCs w:val="18"/>
              </w:rPr>
              <w:t>n/a</w:t>
            </w:r>
          </w:p>
        </w:tc>
        <w:tc>
          <w:tcPr>
            <w:tcW w:w="0" w:type="auto"/>
            <w:tcBorders>
              <w:top w:val="single" w:color="auto" w:sz="4" w:space="0"/>
              <w:left w:val="single" w:color="auto" w:sz="4" w:space="0"/>
              <w:bottom w:val="single" w:color="auto" w:sz="4" w:space="0"/>
              <w:right w:val="single" w:color="auto" w:sz="4" w:space="0"/>
            </w:tcBorders>
          </w:tcPr>
          <w:p w14:paraId="308219C6">
            <w:pPr>
              <w:pStyle w:val="16"/>
              <w:rPr>
                <w:rFonts w:cs="Arial"/>
                <w:color w:val="000000" w:themeColor="text1"/>
                <w:szCs w:val="18"/>
                <w:lang w:eastAsia="ja-JP"/>
                <w14:textFill>
                  <w14:solidFill>
                    <w14:schemeClr w14:val="tx1"/>
                  </w14:solidFill>
                </w14:textFill>
              </w:rPr>
            </w:pPr>
            <w:r>
              <w:rPr>
                <w:rFonts w:cs="Arial"/>
                <w:szCs w:val="18"/>
              </w:rPr>
              <w:t>n/a</w:t>
            </w:r>
          </w:p>
        </w:tc>
        <w:tc>
          <w:tcPr>
            <w:tcW w:w="0" w:type="auto"/>
            <w:tcBorders>
              <w:top w:val="single" w:color="auto" w:sz="4" w:space="0"/>
              <w:left w:val="single" w:color="auto" w:sz="4" w:space="0"/>
              <w:bottom w:val="single" w:color="auto" w:sz="4" w:space="0"/>
              <w:right w:val="single" w:color="auto" w:sz="4" w:space="0"/>
            </w:tcBorders>
          </w:tcPr>
          <w:p w14:paraId="308219C7">
            <w:pPr>
              <w:pStyle w:val="16"/>
              <w:rPr>
                <w:rFonts w:cs="Arial"/>
                <w:color w:val="000000" w:themeColor="text1"/>
                <w:szCs w:val="18"/>
                <w:lang w:eastAsia="ja-JP"/>
                <w14:textFill>
                  <w14:solidFill>
                    <w14:schemeClr w14:val="tx1"/>
                  </w14:solidFill>
                </w14:textFill>
              </w:rPr>
            </w:pPr>
            <w:r>
              <w:rPr>
                <w:rFonts w:cs="Arial"/>
                <w:szCs w:val="18"/>
              </w:rPr>
              <w:t>n/a</w:t>
            </w:r>
          </w:p>
        </w:tc>
        <w:tc>
          <w:tcPr>
            <w:tcW w:w="0" w:type="auto"/>
            <w:tcBorders>
              <w:top w:val="single" w:color="auto" w:sz="4" w:space="0"/>
              <w:left w:val="single" w:color="auto" w:sz="4" w:space="0"/>
              <w:bottom w:val="single" w:color="auto" w:sz="4" w:space="0"/>
              <w:right w:val="single" w:color="auto" w:sz="4" w:space="0"/>
            </w:tcBorders>
          </w:tcPr>
          <w:p w14:paraId="308219C8">
            <w:pPr>
              <w:pStyle w:val="16"/>
              <w:rPr>
                <w:rFonts w:eastAsia="MS Mincho" w:cs="Arial"/>
                <w:color w:val="000000" w:themeColor="text1"/>
                <w:szCs w:val="18"/>
                <w:lang w:eastAsia="ja-JP"/>
                <w14:textFill>
                  <w14:solidFill>
                    <w14:schemeClr w14:val="tx1"/>
                  </w14:solidFill>
                </w14:textFill>
              </w:rPr>
            </w:pPr>
            <w:r>
              <w:rPr>
                <w:rFonts w:cs="Arial"/>
                <w:color w:val="000000" w:themeColor="text1"/>
                <w:szCs w:val="18"/>
                <w14:textFill>
                  <w14:solidFill>
                    <w14:schemeClr w14:val="tx1"/>
                  </w14:solidFill>
                </w14:textFill>
              </w:rPr>
              <w:t xml:space="preserve">Component 5 candidate values: </w:t>
            </w:r>
            <w:r>
              <w:rPr>
                <w:rFonts w:eastAsia="MS Mincho" w:cs="Arial"/>
                <w:color w:val="000000" w:themeColor="text1"/>
                <w:szCs w:val="18"/>
                <w:lang w:eastAsia="ja-JP"/>
                <w14:textFill>
                  <w14:solidFill>
                    <w14:schemeClr w14:val="tx1"/>
                  </w14:solidFill>
                </w14:textFill>
              </w:rPr>
              <w:t>{capability 1, capability 2, capability 3}</w:t>
            </w:r>
          </w:p>
          <w:p w14:paraId="308219C9">
            <w:pPr>
              <w:pStyle w:val="16"/>
              <w:rPr>
                <w:rFonts w:cs="Arial"/>
                <w:color w:val="000000" w:themeColor="text1"/>
                <w:szCs w:val="18"/>
                <w14:textFill>
                  <w14:solidFill>
                    <w14:schemeClr w14:val="tx1"/>
                  </w14:solidFill>
                </w14:textFill>
              </w:rPr>
            </w:pPr>
          </w:p>
          <w:p w14:paraId="308219CA">
            <w:pPr>
              <w:pStyle w:val="16"/>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Note: According to RAN2 agreement, UE supporting LP-WUS reception shall also support RRM measurement relaxation and RRM measurement fully offloading. How to capture this is up to RAN2</w:t>
            </w:r>
          </w:p>
        </w:tc>
        <w:tc>
          <w:tcPr>
            <w:tcW w:w="0" w:type="auto"/>
            <w:tcBorders>
              <w:top w:val="single" w:color="auto" w:sz="4" w:space="0"/>
              <w:left w:val="single" w:color="auto" w:sz="4" w:space="0"/>
              <w:bottom w:val="single" w:color="auto" w:sz="4" w:space="0"/>
              <w:right w:val="single" w:color="auto" w:sz="4" w:space="0"/>
            </w:tcBorders>
          </w:tcPr>
          <w:p w14:paraId="308219CB">
            <w:pPr>
              <w:pStyle w:val="16"/>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Optional with capability signalling</w:t>
            </w:r>
          </w:p>
        </w:tc>
      </w:tr>
      <w:tr w14:paraId="30821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308219CD">
            <w:pPr>
              <w:pStyle w:val="16"/>
              <w:rPr>
                <w:rFonts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62</w:t>
            </w:r>
            <w:r>
              <w:rPr>
                <w:rFonts w:cs="Arial"/>
                <w:color w:val="000000" w:themeColor="text1"/>
                <w:szCs w:val="18"/>
                <w:lang w:eastAsia="ja-JP"/>
                <w14:textFill>
                  <w14:solidFill>
                    <w14:schemeClr w14:val="tx1"/>
                  </w14:solidFill>
                </w14:textFill>
              </w:rPr>
              <w:t>.</w:t>
            </w:r>
            <w:r>
              <w:rPr>
                <w:rFonts w:eastAsia="MS Mincho" w:cs="Arial"/>
                <w:color w:val="000000" w:themeColor="text1"/>
                <w:szCs w:val="18"/>
                <w:lang w:eastAsia="ja-JP"/>
                <w14:textFill>
                  <w14:solidFill>
                    <w14:schemeClr w14:val="tx1"/>
                  </w14:solidFill>
                </w14:textFill>
              </w:rPr>
              <w:t xml:space="preserve"> </w:t>
            </w:r>
            <w:r>
              <w:rPr>
                <w:rFonts w:cs="Arial"/>
                <w:color w:val="000000" w:themeColor="text1"/>
                <w:szCs w:val="18"/>
                <w:lang w:eastAsia="ja-JP"/>
                <w14:textFill>
                  <w14:solidFill>
                    <w14:schemeClr w14:val="tx1"/>
                  </w14:solidFill>
                </w14:textFill>
              </w:rPr>
              <w:t>NR_LPWUS</w:t>
            </w:r>
          </w:p>
        </w:tc>
        <w:tc>
          <w:tcPr>
            <w:tcW w:w="0" w:type="auto"/>
            <w:tcBorders>
              <w:top w:val="single" w:color="auto" w:sz="4" w:space="0"/>
              <w:left w:val="single" w:color="auto" w:sz="4" w:space="0"/>
              <w:bottom w:val="single" w:color="auto" w:sz="4" w:space="0"/>
              <w:right w:val="single" w:color="auto" w:sz="4" w:space="0"/>
            </w:tcBorders>
          </w:tcPr>
          <w:p w14:paraId="308219CE">
            <w:pPr>
              <w:pStyle w:val="16"/>
              <w:rPr>
                <w:rFonts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62-1a</w:t>
            </w:r>
          </w:p>
        </w:tc>
        <w:tc>
          <w:tcPr>
            <w:tcW w:w="0" w:type="auto"/>
            <w:tcBorders>
              <w:top w:val="single" w:color="auto" w:sz="4" w:space="0"/>
              <w:left w:val="single" w:color="auto" w:sz="4" w:space="0"/>
              <w:bottom w:val="single" w:color="auto" w:sz="4" w:space="0"/>
              <w:right w:val="single" w:color="auto" w:sz="4" w:space="0"/>
            </w:tcBorders>
          </w:tcPr>
          <w:p w14:paraId="308219CF">
            <w:pPr>
              <w:pStyle w:val="16"/>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LP-WUS operation in IDLE/INACTIVE mode based on OFDM overlaid sequence</w:t>
            </w:r>
          </w:p>
        </w:tc>
        <w:tc>
          <w:tcPr>
            <w:tcW w:w="0" w:type="auto"/>
            <w:tcBorders>
              <w:top w:val="single" w:color="auto" w:sz="4" w:space="0"/>
              <w:left w:val="single" w:color="auto" w:sz="4" w:space="0"/>
              <w:bottom w:val="single" w:color="auto" w:sz="4" w:space="0"/>
              <w:right w:val="single" w:color="auto" w:sz="4" w:space="0"/>
            </w:tcBorders>
          </w:tcPr>
          <w:p w14:paraId="308219D0">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1. LP-WUS operation in IDLE/INACTIVE mode to trigger paging monitoring based on OFDM overlaid sequence</w:t>
            </w:r>
          </w:p>
          <w:p w14:paraId="308219D1">
            <w:pPr>
              <w:rPr>
                <w:rFonts w:ascii="Arial" w:hAnsi="Arial" w:cs="Arial"/>
                <w:sz w:val="18"/>
                <w:szCs w:val="18"/>
              </w:rPr>
            </w:pPr>
          </w:p>
          <w:p w14:paraId="308219D2">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2a. The support of SSB-based RRM measurement</w:t>
            </w:r>
          </w:p>
          <w:p w14:paraId="308219D3">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5. Minimum time gap between LP-WUS reception and UE to start PDCCH monitoring</w:t>
            </w:r>
          </w:p>
          <w:p w14:paraId="308219D4">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6. “Support of all M values {1, 2, 4} for FR1 for LP-WUS</w:t>
            </w:r>
          </w:p>
          <w:p w14:paraId="308219D5">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7. “Support of M value 1 for 120 kHz SCS FR2 for LP-WUS</w:t>
            </w:r>
          </w:p>
          <w:p w14:paraId="308219D6">
            <w:pPr>
              <w:rPr>
                <w:rFonts w:ascii="Arial" w:hAnsi="Arial" w:cs="Arial"/>
                <w:color w:val="000000" w:themeColor="text1"/>
                <w:sz w:val="18"/>
                <w:szCs w:val="18"/>
                <w:highlight w:val="yellow"/>
                <w14:textFill>
                  <w14:solidFill>
                    <w14:schemeClr w14:val="tx1"/>
                  </w14:solidFill>
                </w14:textFill>
              </w:rPr>
            </w:pPr>
          </w:p>
          <w:p w14:paraId="308219D7">
            <w:pPr>
              <w:rPr>
                <w:rFonts w:ascii="Arial" w:hAnsi="Arial" w:cs="Arial"/>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tcPr>
          <w:p w14:paraId="308219D8">
            <w:pPr>
              <w:pStyle w:val="16"/>
              <w:rPr>
                <w:rFonts w:eastAsia="MS Mincho"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tcPr>
          <w:p w14:paraId="308219D9">
            <w:pPr>
              <w:pStyle w:val="16"/>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tcPr>
          <w:p w14:paraId="308219DA">
            <w:pPr>
              <w:pStyle w:val="16"/>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308219DB">
            <w:pPr>
              <w:pStyle w:val="16"/>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 xml:space="preserve">LP-WUS operation in IDLE/INACTIVE mode based on OFDM </w:t>
            </w:r>
            <w:r>
              <w:rPr>
                <w:rFonts w:eastAsia="MS Mincho" w:cs="Arial"/>
                <w:color w:val="000000" w:themeColor="text1"/>
                <w:szCs w:val="18"/>
                <w:lang w:val="en-US" w:eastAsia="ja-JP"/>
                <w14:textFill>
                  <w14:solidFill>
                    <w14:schemeClr w14:val="tx1"/>
                  </w14:solidFill>
                </w14:textFill>
              </w:rPr>
              <w:t xml:space="preserve">overlaid sequence </w:t>
            </w:r>
            <w:r>
              <w:rPr>
                <w:rFonts w:eastAsia="宋体" w:cs="Arial"/>
                <w:color w:val="000000" w:themeColor="text1"/>
                <w:szCs w:val="18"/>
                <w:lang w:val="en-US" w:eastAsia="zh-CN"/>
                <w14:textFill>
                  <w14:solidFill>
                    <w14:schemeClr w14:val="tx1"/>
                  </w14:solidFill>
                </w14:textFill>
              </w:rPr>
              <w:t>is not supported</w:t>
            </w:r>
          </w:p>
        </w:tc>
        <w:tc>
          <w:tcPr>
            <w:tcW w:w="0" w:type="auto"/>
            <w:tcBorders>
              <w:top w:val="single" w:color="auto" w:sz="4" w:space="0"/>
              <w:left w:val="single" w:color="auto" w:sz="4" w:space="0"/>
              <w:bottom w:val="single" w:color="auto" w:sz="4" w:space="0"/>
              <w:right w:val="single" w:color="auto" w:sz="4" w:space="0"/>
            </w:tcBorders>
          </w:tcPr>
          <w:p w14:paraId="308219DC">
            <w:pPr>
              <w:pStyle w:val="16"/>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tcPr>
          <w:p w14:paraId="308219DD">
            <w:pPr>
              <w:pStyle w:val="16"/>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308219DE">
            <w:pPr>
              <w:pStyle w:val="16"/>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308219DF">
            <w:pPr>
              <w:pStyle w:val="16"/>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308219E0">
            <w:pPr>
              <w:pStyle w:val="16"/>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 xml:space="preserve">Component 5 candidate values: </w:t>
            </w:r>
            <w:r>
              <w:rPr>
                <w:rFonts w:eastAsia="MS Mincho" w:cs="Arial"/>
                <w:color w:val="000000" w:themeColor="text1"/>
                <w:szCs w:val="18"/>
                <w:lang w:eastAsia="ja-JP"/>
                <w14:textFill>
                  <w14:solidFill>
                    <w14:schemeClr w14:val="tx1"/>
                  </w14:solidFill>
                </w14:textFill>
              </w:rPr>
              <w:t>{capability 1, capability 2, capability 3}</w:t>
            </w:r>
          </w:p>
          <w:p w14:paraId="308219E1">
            <w:pPr>
              <w:pStyle w:val="16"/>
              <w:rPr>
                <w:rFonts w:cs="Arial"/>
                <w:color w:val="000000" w:themeColor="text1"/>
                <w:szCs w:val="18"/>
                <w14:textFill>
                  <w14:solidFill>
                    <w14:schemeClr w14:val="tx1"/>
                  </w14:solidFill>
                </w14:textFill>
              </w:rPr>
            </w:pPr>
          </w:p>
          <w:p w14:paraId="308219E2">
            <w:pPr>
              <w:pStyle w:val="16"/>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Note: According to RAN2 agreement, UE supporting LP-WUS reception shall also support RRM measurement relaxation and RRM measurement fully offloading. How to capture this is up to RAN2</w:t>
            </w:r>
          </w:p>
        </w:tc>
        <w:tc>
          <w:tcPr>
            <w:tcW w:w="0" w:type="auto"/>
            <w:tcBorders>
              <w:top w:val="single" w:color="auto" w:sz="4" w:space="0"/>
              <w:left w:val="single" w:color="auto" w:sz="4" w:space="0"/>
              <w:bottom w:val="single" w:color="auto" w:sz="4" w:space="0"/>
              <w:right w:val="single" w:color="auto" w:sz="4" w:space="0"/>
            </w:tcBorders>
          </w:tcPr>
          <w:p w14:paraId="308219E3">
            <w:pPr>
              <w:pStyle w:val="16"/>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Optional with capability signalling</w:t>
            </w:r>
          </w:p>
        </w:tc>
      </w:tr>
      <w:tr w14:paraId="30821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308219E5">
            <w:pPr>
              <w:pStyle w:val="16"/>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62</w:t>
            </w:r>
            <w:r>
              <w:rPr>
                <w:rFonts w:cs="Arial"/>
                <w:color w:val="000000" w:themeColor="text1"/>
                <w:szCs w:val="18"/>
                <w:lang w:eastAsia="ja-JP"/>
                <w14:textFill>
                  <w14:solidFill>
                    <w14:schemeClr w14:val="tx1"/>
                  </w14:solidFill>
                </w14:textFill>
              </w:rPr>
              <w:t>.</w:t>
            </w:r>
            <w:r>
              <w:rPr>
                <w:rFonts w:eastAsia="MS Mincho" w:cs="Arial"/>
                <w:color w:val="000000" w:themeColor="text1"/>
                <w:szCs w:val="18"/>
                <w:lang w:eastAsia="ja-JP"/>
                <w14:textFill>
                  <w14:solidFill>
                    <w14:schemeClr w14:val="tx1"/>
                  </w14:solidFill>
                </w14:textFill>
              </w:rPr>
              <w:t xml:space="preserve"> </w:t>
            </w:r>
            <w:r>
              <w:rPr>
                <w:rFonts w:cs="Arial"/>
                <w:color w:val="000000" w:themeColor="text1"/>
                <w:szCs w:val="18"/>
                <w:lang w:eastAsia="ja-JP"/>
                <w14:textFill>
                  <w14:solidFill>
                    <w14:schemeClr w14:val="tx1"/>
                  </w14:solidFill>
                </w14:textFill>
              </w:rPr>
              <w:t>NR_LPWUS</w:t>
            </w:r>
          </w:p>
        </w:tc>
        <w:tc>
          <w:tcPr>
            <w:tcW w:w="0" w:type="auto"/>
            <w:tcBorders>
              <w:top w:val="single" w:color="auto" w:sz="4" w:space="0"/>
              <w:left w:val="single" w:color="auto" w:sz="4" w:space="0"/>
              <w:bottom w:val="single" w:color="auto" w:sz="4" w:space="0"/>
              <w:right w:val="single" w:color="auto" w:sz="4" w:space="0"/>
            </w:tcBorders>
          </w:tcPr>
          <w:p w14:paraId="308219E6">
            <w:pPr>
              <w:pStyle w:val="16"/>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62-1b</w:t>
            </w:r>
          </w:p>
        </w:tc>
        <w:tc>
          <w:tcPr>
            <w:tcW w:w="0" w:type="auto"/>
            <w:tcBorders>
              <w:top w:val="single" w:color="auto" w:sz="4" w:space="0"/>
              <w:left w:val="single" w:color="auto" w:sz="4" w:space="0"/>
              <w:bottom w:val="single" w:color="auto" w:sz="4" w:space="0"/>
              <w:right w:val="single" w:color="auto" w:sz="4" w:space="0"/>
            </w:tcBorders>
          </w:tcPr>
          <w:p w14:paraId="308219E7">
            <w:pPr>
              <w:pStyle w:val="16"/>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LP-SS based RRM measurement in IDLE/INACTIVE mode when LP-SS overlaid sequence is configured</w:t>
            </w:r>
          </w:p>
        </w:tc>
        <w:tc>
          <w:tcPr>
            <w:tcW w:w="0" w:type="auto"/>
            <w:tcBorders>
              <w:top w:val="single" w:color="auto" w:sz="4" w:space="0"/>
              <w:left w:val="single" w:color="auto" w:sz="4" w:space="0"/>
              <w:bottom w:val="single" w:color="auto" w:sz="4" w:space="0"/>
              <w:right w:val="single" w:color="auto" w:sz="4" w:space="0"/>
            </w:tcBorders>
          </w:tcPr>
          <w:p w14:paraId="308219E8">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1. Support of LP-SS based RRM measurement in IDLE/INACTIVE mode when LP-SS overlaid sequence is configured</w:t>
            </w:r>
          </w:p>
          <w:p w14:paraId="308219E9">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2. Support of all M values {1,2,4} for LP-SS</w:t>
            </w:r>
          </w:p>
        </w:tc>
        <w:tc>
          <w:tcPr>
            <w:tcW w:w="0" w:type="auto"/>
            <w:tcBorders>
              <w:top w:val="single" w:color="auto" w:sz="4" w:space="0"/>
              <w:left w:val="single" w:color="auto" w:sz="4" w:space="0"/>
              <w:bottom w:val="single" w:color="auto" w:sz="4" w:space="0"/>
              <w:right w:val="single" w:color="auto" w:sz="4" w:space="0"/>
            </w:tcBorders>
          </w:tcPr>
          <w:p w14:paraId="308219EA">
            <w:pPr>
              <w:pStyle w:val="16"/>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62-1a</w:t>
            </w:r>
          </w:p>
        </w:tc>
        <w:tc>
          <w:tcPr>
            <w:tcW w:w="0" w:type="auto"/>
            <w:tcBorders>
              <w:top w:val="single" w:color="auto" w:sz="4" w:space="0"/>
              <w:left w:val="single" w:color="auto" w:sz="4" w:space="0"/>
              <w:bottom w:val="single" w:color="auto" w:sz="4" w:space="0"/>
              <w:right w:val="single" w:color="auto" w:sz="4" w:space="0"/>
            </w:tcBorders>
          </w:tcPr>
          <w:p w14:paraId="308219EB">
            <w:pPr>
              <w:pStyle w:val="16"/>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tcPr>
          <w:p w14:paraId="308219EC">
            <w:pPr>
              <w:pStyle w:val="16"/>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308219ED">
            <w:pPr>
              <w:pStyle w:val="16"/>
              <w:rPr>
                <w:rFonts w:eastAsia="MS Mincho" w:cs="Arial"/>
                <w:color w:val="000000" w:themeColor="text1"/>
                <w:szCs w:val="18"/>
                <w:highlight w:val="yellow"/>
                <w:lang w:val="en-US" w:eastAsia="ja-JP"/>
                <w14:textFill>
                  <w14:solidFill>
                    <w14:schemeClr w14:val="tx1"/>
                  </w14:solidFill>
                </w14:textFill>
              </w:rPr>
            </w:pPr>
            <w:r>
              <w:rPr>
                <w:rFonts w:eastAsia="MS Mincho" w:cs="Arial"/>
                <w:color w:val="000000" w:themeColor="text1"/>
                <w:szCs w:val="18"/>
                <w:lang w:val="en-US" w:eastAsia="ja-JP"/>
                <w14:textFill>
                  <w14:solidFill>
                    <w14:schemeClr w14:val="tx1"/>
                  </w14:solidFill>
                </w14:textFill>
              </w:rPr>
              <w:t>LP-SS based RRM measurement in IDLE/INACTIVE mode when LP-SS overlaid sequence is configured is not supported</w:t>
            </w:r>
          </w:p>
        </w:tc>
        <w:tc>
          <w:tcPr>
            <w:tcW w:w="0" w:type="auto"/>
            <w:tcBorders>
              <w:top w:val="single" w:color="auto" w:sz="4" w:space="0"/>
              <w:left w:val="single" w:color="auto" w:sz="4" w:space="0"/>
              <w:bottom w:val="single" w:color="auto" w:sz="4" w:space="0"/>
              <w:right w:val="single" w:color="auto" w:sz="4" w:space="0"/>
            </w:tcBorders>
          </w:tcPr>
          <w:p w14:paraId="308219EE">
            <w:pPr>
              <w:pStyle w:val="16"/>
              <w:rPr>
                <w:rFonts w:eastAsia="MS Mincho" w:cs="Arial"/>
                <w:color w:val="000000" w:themeColor="text1"/>
                <w:szCs w:val="18"/>
                <w:highlight w:val="yellow"/>
                <w:lang w:eastAsia="ja-JP"/>
                <w14:textFill>
                  <w14:solidFill>
                    <w14:schemeClr w14:val="tx1"/>
                  </w14:solidFill>
                </w14:textFill>
              </w:rPr>
            </w:pPr>
            <w:r>
              <w:rPr>
                <w:rFonts w:cs="Arial"/>
                <w:szCs w:val="18"/>
              </w:rPr>
              <w:t>Per band</w:t>
            </w:r>
          </w:p>
        </w:tc>
        <w:tc>
          <w:tcPr>
            <w:tcW w:w="0" w:type="auto"/>
            <w:tcBorders>
              <w:top w:val="single" w:color="auto" w:sz="4" w:space="0"/>
              <w:left w:val="single" w:color="auto" w:sz="4" w:space="0"/>
              <w:bottom w:val="single" w:color="auto" w:sz="4" w:space="0"/>
              <w:right w:val="single" w:color="auto" w:sz="4" w:space="0"/>
            </w:tcBorders>
          </w:tcPr>
          <w:p w14:paraId="308219EF">
            <w:pPr>
              <w:pStyle w:val="16"/>
              <w:rPr>
                <w:rFonts w:eastAsia="MS Mincho" w:cs="Arial"/>
                <w:color w:val="000000" w:themeColor="text1"/>
                <w:szCs w:val="18"/>
                <w:highlight w:val="yellow"/>
                <w:lang w:eastAsia="ja-JP"/>
                <w14:textFill>
                  <w14:solidFill>
                    <w14:schemeClr w14:val="tx1"/>
                  </w14:solidFill>
                </w14:textFill>
              </w:rPr>
            </w:pPr>
            <w:r>
              <w:rPr>
                <w:rFonts w:cs="Arial"/>
                <w:szCs w:val="18"/>
              </w:rPr>
              <w:t>n/a</w:t>
            </w:r>
          </w:p>
        </w:tc>
        <w:tc>
          <w:tcPr>
            <w:tcW w:w="0" w:type="auto"/>
            <w:tcBorders>
              <w:top w:val="single" w:color="auto" w:sz="4" w:space="0"/>
              <w:left w:val="single" w:color="auto" w:sz="4" w:space="0"/>
              <w:bottom w:val="single" w:color="auto" w:sz="4" w:space="0"/>
              <w:right w:val="single" w:color="auto" w:sz="4" w:space="0"/>
            </w:tcBorders>
          </w:tcPr>
          <w:p w14:paraId="308219F0">
            <w:pPr>
              <w:pStyle w:val="16"/>
              <w:rPr>
                <w:rFonts w:eastAsia="MS Mincho" w:cs="Arial"/>
                <w:color w:val="000000" w:themeColor="text1"/>
                <w:szCs w:val="18"/>
                <w:highlight w:val="yellow"/>
                <w:lang w:eastAsia="ja-JP"/>
                <w14:textFill>
                  <w14:solidFill>
                    <w14:schemeClr w14:val="tx1"/>
                  </w14:solidFill>
                </w14:textFill>
              </w:rPr>
            </w:pPr>
            <w:r>
              <w:rPr>
                <w:rFonts w:cs="Arial"/>
                <w:szCs w:val="18"/>
              </w:rPr>
              <w:t>n/a</w:t>
            </w:r>
          </w:p>
        </w:tc>
        <w:tc>
          <w:tcPr>
            <w:tcW w:w="0" w:type="auto"/>
            <w:tcBorders>
              <w:top w:val="single" w:color="auto" w:sz="4" w:space="0"/>
              <w:left w:val="single" w:color="auto" w:sz="4" w:space="0"/>
              <w:bottom w:val="single" w:color="auto" w:sz="4" w:space="0"/>
              <w:right w:val="single" w:color="auto" w:sz="4" w:space="0"/>
            </w:tcBorders>
          </w:tcPr>
          <w:p w14:paraId="308219F1">
            <w:pPr>
              <w:pStyle w:val="16"/>
              <w:rPr>
                <w:rFonts w:eastAsia="MS Mincho" w:cs="Arial"/>
                <w:color w:val="000000" w:themeColor="text1"/>
                <w:szCs w:val="18"/>
                <w:highlight w:val="yellow"/>
                <w:lang w:eastAsia="ja-JP"/>
                <w14:textFill>
                  <w14:solidFill>
                    <w14:schemeClr w14:val="tx1"/>
                  </w14:solidFill>
                </w14:textFill>
              </w:rPr>
            </w:pPr>
            <w:r>
              <w:rPr>
                <w:rFonts w:cs="Arial"/>
                <w:szCs w:val="18"/>
              </w:rPr>
              <w:t>n/a</w:t>
            </w:r>
          </w:p>
        </w:tc>
        <w:tc>
          <w:tcPr>
            <w:tcW w:w="0" w:type="auto"/>
            <w:tcBorders>
              <w:top w:val="single" w:color="auto" w:sz="4" w:space="0"/>
              <w:left w:val="single" w:color="auto" w:sz="4" w:space="0"/>
              <w:bottom w:val="single" w:color="auto" w:sz="4" w:space="0"/>
              <w:right w:val="single" w:color="auto" w:sz="4" w:space="0"/>
            </w:tcBorders>
          </w:tcPr>
          <w:p w14:paraId="308219F2">
            <w:pPr>
              <w:pStyle w:val="16"/>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Note: If LP-SS overlaid sequence is configured, and if both SSB based and LP-SS based thresholds are configured for RRM measurement, it is up to UE implementation which threshold to use</w:t>
            </w:r>
          </w:p>
        </w:tc>
        <w:tc>
          <w:tcPr>
            <w:tcW w:w="0" w:type="auto"/>
            <w:tcBorders>
              <w:top w:val="single" w:color="auto" w:sz="4" w:space="0"/>
              <w:left w:val="single" w:color="auto" w:sz="4" w:space="0"/>
              <w:bottom w:val="single" w:color="auto" w:sz="4" w:space="0"/>
              <w:right w:val="single" w:color="auto" w:sz="4" w:space="0"/>
            </w:tcBorders>
          </w:tcPr>
          <w:p w14:paraId="308219F3">
            <w:pPr>
              <w:pStyle w:val="16"/>
              <w:rPr>
                <w:rFonts w:eastAsia="MS Mincho"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Optional with capability signalling</w:t>
            </w:r>
          </w:p>
        </w:tc>
      </w:tr>
      <w:tr w14:paraId="30821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308219F5">
            <w:pPr>
              <w:pStyle w:val="16"/>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62</w:t>
            </w:r>
            <w:r>
              <w:rPr>
                <w:rFonts w:cs="Arial"/>
                <w:color w:val="000000" w:themeColor="text1"/>
                <w:szCs w:val="18"/>
                <w:lang w:eastAsia="ja-JP"/>
                <w14:textFill>
                  <w14:solidFill>
                    <w14:schemeClr w14:val="tx1"/>
                  </w14:solidFill>
                </w14:textFill>
              </w:rPr>
              <w:t>.</w:t>
            </w:r>
            <w:r>
              <w:rPr>
                <w:rFonts w:eastAsia="MS Mincho" w:cs="Arial"/>
                <w:color w:val="000000" w:themeColor="text1"/>
                <w:szCs w:val="18"/>
                <w:lang w:eastAsia="ja-JP"/>
                <w14:textFill>
                  <w14:solidFill>
                    <w14:schemeClr w14:val="tx1"/>
                  </w14:solidFill>
                </w14:textFill>
              </w:rPr>
              <w:t xml:space="preserve"> </w:t>
            </w:r>
            <w:r>
              <w:rPr>
                <w:rFonts w:cs="Arial"/>
                <w:color w:val="000000" w:themeColor="text1"/>
                <w:szCs w:val="18"/>
                <w:lang w:eastAsia="ja-JP"/>
                <w14:textFill>
                  <w14:solidFill>
                    <w14:schemeClr w14:val="tx1"/>
                  </w14:solidFill>
                </w14:textFill>
              </w:rPr>
              <w:t>NR_LPWUS</w:t>
            </w:r>
          </w:p>
        </w:tc>
        <w:tc>
          <w:tcPr>
            <w:tcW w:w="0" w:type="auto"/>
            <w:tcBorders>
              <w:top w:val="single" w:color="auto" w:sz="4" w:space="0"/>
              <w:left w:val="single" w:color="auto" w:sz="4" w:space="0"/>
              <w:bottom w:val="single" w:color="auto" w:sz="4" w:space="0"/>
              <w:right w:val="single" w:color="auto" w:sz="4" w:space="0"/>
            </w:tcBorders>
          </w:tcPr>
          <w:p w14:paraId="308219F6">
            <w:pPr>
              <w:pStyle w:val="16"/>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62-2</w:t>
            </w:r>
          </w:p>
        </w:tc>
        <w:tc>
          <w:tcPr>
            <w:tcW w:w="0" w:type="auto"/>
            <w:tcBorders>
              <w:top w:val="single" w:color="auto" w:sz="4" w:space="0"/>
              <w:left w:val="single" w:color="auto" w:sz="4" w:space="0"/>
              <w:bottom w:val="single" w:color="auto" w:sz="4" w:space="0"/>
              <w:right w:val="single" w:color="auto" w:sz="4" w:space="0"/>
            </w:tcBorders>
          </w:tcPr>
          <w:p w14:paraId="308219F7">
            <w:pPr>
              <w:pStyle w:val="16"/>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LP-WUS operation in CONNECTED mode based on OOK signal</w:t>
            </w:r>
          </w:p>
        </w:tc>
        <w:tc>
          <w:tcPr>
            <w:tcW w:w="0" w:type="auto"/>
            <w:tcBorders>
              <w:top w:val="single" w:color="auto" w:sz="4" w:space="0"/>
              <w:left w:val="single" w:color="auto" w:sz="4" w:space="0"/>
              <w:bottom w:val="single" w:color="auto" w:sz="4" w:space="0"/>
              <w:right w:val="single" w:color="auto" w:sz="4" w:space="0"/>
            </w:tcBorders>
          </w:tcPr>
          <w:p w14:paraId="308219F8">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1. LP-WUS operation in CONNECTED mode based on OOK signal</w:t>
            </w:r>
          </w:p>
          <w:p w14:paraId="308219F9">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2. The supported procedure(s)</w:t>
            </w:r>
          </w:p>
          <w:p w14:paraId="308219FA">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3. Minimum time gap between LP-WUS reception and UE to start PDCCH monitoring in CONNECTED mode</w:t>
            </w:r>
          </w:p>
          <w:p w14:paraId="308219FB">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4. Support of LP-WUS frequency resource within active DL BWP</w:t>
            </w:r>
          </w:p>
          <w:p w14:paraId="308219FC">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5. Support of all M values {1, 2, 4} for FR1</w:t>
            </w:r>
          </w:p>
          <w:p w14:paraId="308219FD">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6. “Support of M values {1, 2} for 60 kHz SCS for FR2, M value 1 for 120 kHz SCS FR2</w:t>
            </w:r>
          </w:p>
          <w:p w14:paraId="308219FE">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7. Maximum number of codepoints to be checked by UE per MO</w:t>
            </w:r>
          </w:p>
          <w:p w14:paraId="308219FF">
            <w:pPr>
              <w:rPr>
                <w:rFonts w:ascii="Arial" w:hAnsi="Arial" w:cs="Arial"/>
                <w:color w:val="000000" w:themeColor="text1"/>
                <w:sz w:val="18"/>
                <w:szCs w:val="18"/>
                <w:highlight w:val="yellow"/>
                <w14:textFill>
                  <w14:solidFill>
                    <w14:schemeClr w14:val="tx1"/>
                  </w14:solidFill>
                </w14:textFill>
              </w:rPr>
            </w:pPr>
          </w:p>
          <w:p w14:paraId="30821A00">
            <w:pPr>
              <w:rPr>
                <w:rFonts w:ascii="Arial" w:hAnsi="Arial" w:cs="Arial"/>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tcPr>
          <w:p w14:paraId="30821A01">
            <w:pPr>
              <w:pStyle w:val="16"/>
              <w:rPr>
                <w:rFonts w:eastAsia="MS Mincho"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tcPr>
          <w:p w14:paraId="30821A02">
            <w:pPr>
              <w:pStyle w:val="16"/>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tcPr>
          <w:p w14:paraId="30821A03">
            <w:pPr>
              <w:pStyle w:val="16"/>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30821A04">
            <w:pPr>
              <w:pStyle w:val="16"/>
              <w:rPr>
                <w:rFonts w:eastAsia="宋体" w:cs="Arial"/>
                <w:color w:val="000000" w:themeColor="text1"/>
                <w:szCs w:val="18"/>
                <w:lang w:val="en-US" w:eastAsia="zh-CN"/>
                <w14:textFill>
                  <w14:solidFill>
                    <w14:schemeClr w14:val="tx1"/>
                  </w14:solidFill>
                </w14:textFill>
              </w:rPr>
            </w:pPr>
            <w:r>
              <w:rPr>
                <w:rFonts w:cs="Arial"/>
                <w:szCs w:val="18"/>
              </w:rPr>
              <w:t>LP-WUS operation in CONNECTED mode based on OOK signal is not supported</w:t>
            </w:r>
          </w:p>
        </w:tc>
        <w:tc>
          <w:tcPr>
            <w:tcW w:w="0" w:type="auto"/>
            <w:tcBorders>
              <w:top w:val="single" w:color="auto" w:sz="4" w:space="0"/>
              <w:left w:val="single" w:color="auto" w:sz="4" w:space="0"/>
              <w:bottom w:val="single" w:color="auto" w:sz="4" w:space="0"/>
              <w:right w:val="single" w:color="auto" w:sz="4" w:space="0"/>
            </w:tcBorders>
          </w:tcPr>
          <w:p w14:paraId="30821A05">
            <w:pPr>
              <w:pStyle w:val="16"/>
              <w:rPr>
                <w:rFonts w:eastAsia="MS Mincho" w:cs="Arial"/>
                <w:strike/>
                <w:color w:val="000000" w:themeColor="text1"/>
                <w:szCs w:val="18"/>
                <w:highlight w:val="yellow"/>
                <w:lang w:eastAsia="ja-JP"/>
                <w14:textFill>
                  <w14:solidFill>
                    <w14:schemeClr w14:val="tx1"/>
                  </w14:solidFill>
                </w14:textFill>
              </w:rPr>
            </w:pPr>
            <w:r>
              <w:rPr>
                <w:rFonts w:eastAsia="MS Mincho" w:cs="Arial"/>
                <w:strike/>
                <w:color w:val="000000" w:themeColor="text1"/>
                <w:szCs w:val="18"/>
                <w:highlight w:val="yellow"/>
                <w:lang w:eastAsia="ja-JP"/>
                <w14:textFill>
                  <w14:solidFill>
                    <w14:schemeClr w14:val="tx1"/>
                  </w14:solidFill>
                </w14:textFill>
              </w:rPr>
              <w:t>[Per band]</w:t>
            </w:r>
          </w:p>
          <w:p w14:paraId="30821A06">
            <w:pPr>
              <w:pStyle w:val="16"/>
              <w:rPr>
                <w:rFonts w:eastAsia="MS Mincho" w:cs="Arial"/>
                <w:color w:val="000000" w:themeColor="text1"/>
                <w:szCs w:val="18"/>
                <w:highlight w:val="yellow"/>
                <w:lang w:eastAsia="ja-JP"/>
                <w14:textFill>
                  <w14:solidFill>
                    <w14:schemeClr w14:val="tx1"/>
                  </w14:solidFill>
                </w14:textFill>
              </w:rPr>
            </w:pPr>
            <w:r>
              <w:rPr>
                <w:rFonts w:hint="eastAsia" w:eastAsia="宋体" w:cs="Arial"/>
                <w:color w:val="000000" w:themeColor="text1"/>
                <w:szCs w:val="18"/>
                <w:highlight w:val="yellow"/>
                <w:lang w:val="en-US" w:eastAsia="zh-CN"/>
                <w14:textFill>
                  <w14:solidFill>
                    <w14:schemeClr w14:val="tx1"/>
                  </w14:solidFill>
                </w14:textFill>
              </w:rPr>
              <w:t>Per FS</w:t>
            </w:r>
          </w:p>
        </w:tc>
        <w:tc>
          <w:tcPr>
            <w:tcW w:w="0" w:type="auto"/>
            <w:tcBorders>
              <w:top w:val="single" w:color="auto" w:sz="4" w:space="0"/>
              <w:left w:val="single" w:color="auto" w:sz="4" w:space="0"/>
              <w:bottom w:val="single" w:color="auto" w:sz="4" w:space="0"/>
              <w:right w:val="single" w:color="auto" w:sz="4" w:space="0"/>
            </w:tcBorders>
          </w:tcPr>
          <w:p w14:paraId="30821A07">
            <w:pPr>
              <w:pStyle w:val="16"/>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30821A08">
            <w:pPr>
              <w:pStyle w:val="16"/>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30821A09">
            <w:pPr>
              <w:pStyle w:val="16"/>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30821A0A">
            <w:pPr>
              <w:pStyle w:val="16"/>
              <w:rPr>
                <w:rFonts w:eastAsia="MS Mincho" w:cs="Arial"/>
                <w:color w:val="000000" w:themeColor="text1"/>
                <w:szCs w:val="18"/>
                <w:lang w:eastAsia="ja-JP"/>
                <w14:textFill>
                  <w14:solidFill>
                    <w14:schemeClr w14:val="tx1"/>
                  </w14:solidFill>
                </w14:textFill>
              </w:rPr>
            </w:pPr>
            <w:r>
              <w:rPr>
                <w:rFonts w:cs="Arial"/>
                <w:color w:val="000000" w:themeColor="text1"/>
                <w:szCs w:val="18"/>
                <w14:textFill>
                  <w14:solidFill>
                    <w14:schemeClr w14:val="tx1"/>
                  </w14:solidFill>
                </w14:textFill>
              </w:rPr>
              <w:t>Component 2 candidate values: {Option 1-1, Option 1-2, both Option 1-1 and Option 1-2}</w:t>
            </w:r>
          </w:p>
          <w:p w14:paraId="30821A0B">
            <w:pPr>
              <w:pStyle w:val="16"/>
              <w:rPr>
                <w:rFonts w:eastAsia="MS Mincho" w:cs="Arial"/>
                <w:color w:val="000000" w:themeColor="text1"/>
                <w:szCs w:val="18"/>
                <w:highlight w:val="yellow"/>
                <w:lang w:eastAsia="ja-JP"/>
                <w14:textFill>
                  <w14:solidFill>
                    <w14:schemeClr w14:val="tx1"/>
                  </w14:solidFill>
                </w14:textFill>
              </w:rPr>
            </w:pPr>
          </w:p>
          <w:p w14:paraId="30821A0C">
            <w:pPr>
              <w:pStyle w:val="16"/>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Component 3 candidate values: {5ms, 13ms, 37ms}</w:t>
            </w:r>
          </w:p>
          <w:p w14:paraId="30821A0D">
            <w:pPr>
              <w:pStyle w:val="16"/>
              <w:rPr>
                <w:rFonts w:eastAsia="MS Mincho" w:cs="Arial"/>
                <w:color w:val="000000" w:themeColor="text1"/>
                <w:szCs w:val="18"/>
                <w:highlight w:val="yellow"/>
                <w:lang w:eastAsia="ja-JP"/>
                <w14:textFill>
                  <w14:solidFill>
                    <w14:schemeClr w14:val="tx1"/>
                  </w14:solidFill>
                </w14:textFill>
              </w:rPr>
            </w:pPr>
          </w:p>
          <w:p w14:paraId="30821A0E">
            <w:pPr>
              <w:pStyle w:val="16"/>
              <w:rPr>
                <w:rFonts w:eastAsia="MS Mincho" w:cs="Arial"/>
                <w:color w:val="000000" w:themeColor="text1"/>
                <w:szCs w:val="18"/>
                <w:highlight w:val="yellow"/>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Component 7 candidate values: {2, 4, 6, 8}</w:t>
            </w:r>
          </w:p>
        </w:tc>
        <w:tc>
          <w:tcPr>
            <w:tcW w:w="0" w:type="auto"/>
            <w:tcBorders>
              <w:top w:val="single" w:color="auto" w:sz="4" w:space="0"/>
              <w:left w:val="single" w:color="auto" w:sz="4" w:space="0"/>
              <w:bottom w:val="single" w:color="auto" w:sz="4" w:space="0"/>
              <w:right w:val="single" w:color="auto" w:sz="4" w:space="0"/>
            </w:tcBorders>
          </w:tcPr>
          <w:p w14:paraId="30821A0F">
            <w:pPr>
              <w:pStyle w:val="16"/>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Optional with capability signalling</w:t>
            </w:r>
          </w:p>
        </w:tc>
      </w:tr>
      <w:tr w14:paraId="30821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30821A11">
            <w:pPr>
              <w:pStyle w:val="16"/>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62</w:t>
            </w:r>
            <w:r>
              <w:rPr>
                <w:rFonts w:cs="Arial"/>
                <w:color w:val="000000" w:themeColor="text1"/>
                <w:szCs w:val="18"/>
                <w:lang w:eastAsia="ja-JP"/>
                <w14:textFill>
                  <w14:solidFill>
                    <w14:schemeClr w14:val="tx1"/>
                  </w14:solidFill>
                </w14:textFill>
              </w:rPr>
              <w:t>.</w:t>
            </w:r>
            <w:r>
              <w:rPr>
                <w:rFonts w:eastAsia="MS Mincho" w:cs="Arial"/>
                <w:color w:val="000000" w:themeColor="text1"/>
                <w:szCs w:val="18"/>
                <w:lang w:eastAsia="ja-JP"/>
                <w14:textFill>
                  <w14:solidFill>
                    <w14:schemeClr w14:val="tx1"/>
                  </w14:solidFill>
                </w14:textFill>
              </w:rPr>
              <w:t xml:space="preserve"> </w:t>
            </w:r>
            <w:r>
              <w:rPr>
                <w:rFonts w:cs="Arial"/>
                <w:color w:val="000000" w:themeColor="text1"/>
                <w:szCs w:val="18"/>
                <w:lang w:eastAsia="ja-JP"/>
                <w14:textFill>
                  <w14:solidFill>
                    <w14:schemeClr w14:val="tx1"/>
                  </w14:solidFill>
                </w14:textFill>
              </w:rPr>
              <w:t>NR_LPWUS</w:t>
            </w:r>
          </w:p>
        </w:tc>
        <w:tc>
          <w:tcPr>
            <w:tcW w:w="0" w:type="auto"/>
            <w:tcBorders>
              <w:top w:val="single" w:color="auto" w:sz="4" w:space="0"/>
              <w:left w:val="single" w:color="auto" w:sz="4" w:space="0"/>
              <w:bottom w:val="single" w:color="auto" w:sz="4" w:space="0"/>
              <w:right w:val="single" w:color="auto" w:sz="4" w:space="0"/>
            </w:tcBorders>
          </w:tcPr>
          <w:p w14:paraId="30821A12">
            <w:pPr>
              <w:pStyle w:val="16"/>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62-2a</w:t>
            </w:r>
          </w:p>
        </w:tc>
        <w:tc>
          <w:tcPr>
            <w:tcW w:w="0" w:type="auto"/>
            <w:tcBorders>
              <w:top w:val="single" w:color="auto" w:sz="4" w:space="0"/>
              <w:left w:val="single" w:color="auto" w:sz="4" w:space="0"/>
              <w:bottom w:val="single" w:color="auto" w:sz="4" w:space="0"/>
              <w:right w:val="single" w:color="auto" w:sz="4" w:space="0"/>
            </w:tcBorders>
          </w:tcPr>
          <w:p w14:paraId="30821A13">
            <w:pPr>
              <w:pStyle w:val="16"/>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LP-WUS operation in CONNECTED mode based on OFDM overlaid sequence</w:t>
            </w:r>
          </w:p>
        </w:tc>
        <w:tc>
          <w:tcPr>
            <w:tcW w:w="0" w:type="auto"/>
            <w:tcBorders>
              <w:top w:val="single" w:color="auto" w:sz="4" w:space="0"/>
              <w:left w:val="single" w:color="auto" w:sz="4" w:space="0"/>
              <w:bottom w:val="single" w:color="auto" w:sz="4" w:space="0"/>
              <w:right w:val="single" w:color="auto" w:sz="4" w:space="0"/>
            </w:tcBorders>
          </w:tcPr>
          <w:p w14:paraId="30821A14">
            <w:pPr>
              <w:rPr>
                <w:rFonts w:ascii="Arial" w:hAnsi="Arial" w:cs="Arial"/>
                <w:color w:val="000000" w:themeColor="text1"/>
                <w:sz w:val="18"/>
                <w:szCs w:val="18"/>
                <w:highlight w:val="yellow"/>
                <w14:textFill>
                  <w14:solidFill>
                    <w14:schemeClr w14:val="tx1"/>
                  </w14:solidFill>
                </w14:textFill>
              </w:rPr>
            </w:pPr>
            <w:r>
              <w:rPr>
                <w:rFonts w:ascii="Arial" w:hAnsi="Arial" w:cs="Arial"/>
                <w:color w:val="000000" w:themeColor="text1"/>
                <w:sz w:val="18"/>
                <w:szCs w:val="18"/>
                <w14:textFill>
                  <w14:solidFill>
                    <w14:schemeClr w14:val="tx1"/>
                  </w14:solidFill>
                </w14:textFill>
              </w:rPr>
              <w:t>1. LP-WUS operation in CONNECTED mode based on OFDM overlaid sequence(s)</w:t>
            </w:r>
          </w:p>
          <w:p w14:paraId="30821A15">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2. The supported procedure(s)</w:t>
            </w:r>
          </w:p>
          <w:p w14:paraId="30821A16">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3. Minimum time gap between LP-WUS reception and UE to start PDCCH monitoring in CONNECTED mode</w:t>
            </w:r>
          </w:p>
          <w:p w14:paraId="30821A17">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4. Support of LP-WUS frequency resource within active DL BWP</w:t>
            </w:r>
          </w:p>
          <w:p w14:paraId="30821A18">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5. Support of all M values {1, 2, 4} for FR1</w:t>
            </w:r>
          </w:p>
          <w:p w14:paraId="30821A19">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6. “Support of M values {1, 2} for 60 kHz SCS for FR2, M value 1 for 120 kHz SCS FR2</w:t>
            </w:r>
          </w:p>
          <w:p w14:paraId="30821A1A">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7. Maximum number of codepoints to be checked by UE per MO</w:t>
            </w:r>
          </w:p>
          <w:p w14:paraId="30821A1B">
            <w:pPr>
              <w:rPr>
                <w:rFonts w:ascii="Arial" w:hAnsi="Arial" w:cs="Arial"/>
                <w:color w:val="000000" w:themeColor="text1"/>
                <w:sz w:val="18"/>
                <w:szCs w:val="18"/>
                <w:highlight w:val="yellow"/>
                <w14:textFill>
                  <w14:solidFill>
                    <w14:schemeClr w14:val="tx1"/>
                  </w14:solidFill>
                </w14:textFill>
              </w:rPr>
            </w:pPr>
          </w:p>
          <w:p w14:paraId="30821A1C">
            <w:pPr>
              <w:rPr>
                <w:rFonts w:ascii="Arial" w:hAnsi="Arial" w:cs="Arial"/>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tcPr>
          <w:p w14:paraId="30821A1D">
            <w:pPr>
              <w:pStyle w:val="16"/>
              <w:rPr>
                <w:rFonts w:eastAsia="MS Mincho"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tcPr>
          <w:p w14:paraId="30821A1E">
            <w:pPr>
              <w:pStyle w:val="16"/>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tcPr>
          <w:p w14:paraId="30821A1F">
            <w:pPr>
              <w:pStyle w:val="16"/>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30821A20">
            <w:pPr>
              <w:pStyle w:val="16"/>
              <w:rPr>
                <w:rFonts w:eastAsia="宋体" w:cs="Arial"/>
                <w:color w:val="000000" w:themeColor="text1"/>
                <w:szCs w:val="18"/>
                <w:lang w:val="en-US" w:eastAsia="zh-CN"/>
                <w14:textFill>
                  <w14:solidFill>
                    <w14:schemeClr w14:val="tx1"/>
                  </w14:solidFill>
                </w14:textFill>
              </w:rPr>
            </w:pPr>
            <w:r>
              <w:rPr>
                <w:rFonts w:cs="Arial"/>
                <w:szCs w:val="18"/>
              </w:rPr>
              <w:t>LP-WUS operation in CONNECTED mode based on OFDM overlaid sequence is not supported</w:t>
            </w:r>
          </w:p>
        </w:tc>
        <w:tc>
          <w:tcPr>
            <w:tcW w:w="0" w:type="auto"/>
            <w:tcBorders>
              <w:top w:val="single" w:color="auto" w:sz="4" w:space="0"/>
              <w:left w:val="single" w:color="auto" w:sz="4" w:space="0"/>
              <w:bottom w:val="single" w:color="auto" w:sz="4" w:space="0"/>
              <w:right w:val="single" w:color="auto" w:sz="4" w:space="0"/>
            </w:tcBorders>
          </w:tcPr>
          <w:p w14:paraId="30821A21">
            <w:pPr>
              <w:pStyle w:val="16"/>
              <w:rPr>
                <w:rFonts w:eastAsia="MS Mincho" w:cs="Arial"/>
                <w:strike/>
                <w:color w:val="000000" w:themeColor="text1"/>
                <w:szCs w:val="18"/>
                <w:highlight w:val="yellow"/>
                <w:lang w:eastAsia="ja-JP"/>
                <w14:textFill>
                  <w14:solidFill>
                    <w14:schemeClr w14:val="tx1"/>
                  </w14:solidFill>
                </w14:textFill>
              </w:rPr>
            </w:pPr>
            <w:r>
              <w:rPr>
                <w:rFonts w:eastAsia="MS Mincho" w:cs="Arial"/>
                <w:strike/>
                <w:color w:val="000000" w:themeColor="text1"/>
                <w:szCs w:val="18"/>
                <w:highlight w:val="yellow"/>
                <w:lang w:eastAsia="ja-JP"/>
                <w14:textFill>
                  <w14:solidFill>
                    <w14:schemeClr w14:val="tx1"/>
                  </w14:solidFill>
                </w14:textFill>
              </w:rPr>
              <w:t>[Per band]</w:t>
            </w:r>
          </w:p>
          <w:p w14:paraId="30821A22">
            <w:pPr>
              <w:pStyle w:val="16"/>
              <w:rPr>
                <w:rFonts w:eastAsia="宋体" w:cs="Arial"/>
                <w:strike/>
                <w:color w:val="000000" w:themeColor="text1"/>
                <w:szCs w:val="18"/>
                <w:highlight w:val="yellow"/>
                <w:lang w:val="en-US" w:eastAsia="zh-CN"/>
                <w14:textFill>
                  <w14:solidFill>
                    <w14:schemeClr w14:val="tx1"/>
                  </w14:solidFill>
                </w14:textFill>
              </w:rPr>
            </w:pPr>
            <w:r>
              <w:rPr>
                <w:rFonts w:hint="eastAsia" w:eastAsia="宋体" w:cs="Arial"/>
                <w:color w:val="000000" w:themeColor="text1"/>
                <w:szCs w:val="18"/>
                <w:highlight w:val="yellow"/>
                <w:lang w:val="en-US" w:eastAsia="zh-CN"/>
                <w14:textFill>
                  <w14:solidFill>
                    <w14:schemeClr w14:val="tx1"/>
                  </w14:solidFill>
                </w14:textFill>
              </w:rPr>
              <w:t>Per FS</w:t>
            </w:r>
          </w:p>
        </w:tc>
        <w:tc>
          <w:tcPr>
            <w:tcW w:w="0" w:type="auto"/>
            <w:tcBorders>
              <w:top w:val="single" w:color="auto" w:sz="4" w:space="0"/>
              <w:left w:val="single" w:color="auto" w:sz="4" w:space="0"/>
              <w:bottom w:val="single" w:color="auto" w:sz="4" w:space="0"/>
              <w:right w:val="single" w:color="auto" w:sz="4" w:space="0"/>
            </w:tcBorders>
          </w:tcPr>
          <w:p w14:paraId="30821A23">
            <w:pPr>
              <w:pStyle w:val="16"/>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30821A24">
            <w:pPr>
              <w:pStyle w:val="16"/>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30821A25">
            <w:pPr>
              <w:pStyle w:val="16"/>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30821A26">
            <w:pPr>
              <w:pStyle w:val="16"/>
              <w:rPr>
                <w:rFonts w:eastAsia="MS Mincho" w:cs="Arial"/>
                <w:color w:val="000000" w:themeColor="text1"/>
                <w:szCs w:val="18"/>
                <w:lang w:eastAsia="ja-JP"/>
                <w14:textFill>
                  <w14:solidFill>
                    <w14:schemeClr w14:val="tx1"/>
                  </w14:solidFill>
                </w14:textFill>
              </w:rPr>
            </w:pPr>
            <w:r>
              <w:rPr>
                <w:rFonts w:cs="Arial"/>
                <w:color w:val="000000" w:themeColor="text1"/>
                <w:szCs w:val="18"/>
                <w14:textFill>
                  <w14:solidFill>
                    <w14:schemeClr w14:val="tx1"/>
                  </w14:solidFill>
                </w14:textFill>
              </w:rPr>
              <w:t>Component 2 candidate values: {Option 1-1, Option 1-2, both Option 1-1 and Option 1-2}</w:t>
            </w:r>
          </w:p>
          <w:p w14:paraId="30821A27">
            <w:pPr>
              <w:pStyle w:val="16"/>
              <w:rPr>
                <w:rFonts w:eastAsia="MS Mincho" w:cs="Arial"/>
                <w:color w:val="000000" w:themeColor="text1"/>
                <w:szCs w:val="18"/>
                <w:lang w:eastAsia="ja-JP"/>
                <w14:textFill>
                  <w14:solidFill>
                    <w14:schemeClr w14:val="tx1"/>
                  </w14:solidFill>
                </w14:textFill>
              </w:rPr>
            </w:pPr>
          </w:p>
          <w:p w14:paraId="30821A28">
            <w:pPr>
              <w:pStyle w:val="16"/>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Component 3 candidate values: {5ms, 13ms, 37ms}</w:t>
            </w:r>
          </w:p>
          <w:p w14:paraId="30821A29">
            <w:pPr>
              <w:pStyle w:val="16"/>
              <w:rPr>
                <w:rFonts w:eastAsia="MS Mincho" w:cs="Arial"/>
                <w:color w:val="000000" w:themeColor="text1"/>
                <w:szCs w:val="18"/>
                <w:highlight w:val="yellow"/>
                <w:lang w:eastAsia="ja-JP"/>
                <w14:textFill>
                  <w14:solidFill>
                    <w14:schemeClr w14:val="tx1"/>
                  </w14:solidFill>
                </w14:textFill>
              </w:rPr>
            </w:pPr>
          </w:p>
          <w:p w14:paraId="30821A2A">
            <w:pPr>
              <w:pStyle w:val="16"/>
              <w:rPr>
                <w:rFonts w:cs="Arial"/>
                <w:strike/>
                <w:color w:val="000000" w:themeColor="text1"/>
                <w:szCs w:val="18"/>
                <w:highlight w:val="yellow"/>
                <w14:textFill>
                  <w14:solidFill>
                    <w14:schemeClr w14:val="tx1"/>
                  </w14:solidFill>
                </w14:textFill>
              </w:rPr>
            </w:pPr>
            <w:r>
              <w:rPr>
                <w:rFonts w:eastAsia="MS Mincho" w:cs="Arial"/>
                <w:color w:val="000000" w:themeColor="text1"/>
                <w:szCs w:val="18"/>
                <w:lang w:eastAsia="ja-JP"/>
                <w14:textFill>
                  <w14:solidFill>
                    <w14:schemeClr w14:val="tx1"/>
                  </w14:solidFill>
                </w14:textFill>
              </w:rPr>
              <w:t>Component 7 candidate values: {2, 4, 6, 8}</w:t>
            </w:r>
          </w:p>
        </w:tc>
        <w:tc>
          <w:tcPr>
            <w:tcW w:w="0" w:type="auto"/>
            <w:tcBorders>
              <w:top w:val="single" w:color="auto" w:sz="4" w:space="0"/>
              <w:left w:val="single" w:color="auto" w:sz="4" w:space="0"/>
              <w:bottom w:val="single" w:color="auto" w:sz="4" w:space="0"/>
              <w:right w:val="single" w:color="auto" w:sz="4" w:space="0"/>
            </w:tcBorders>
          </w:tcPr>
          <w:p w14:paraId="30821A2B">
            <w:pPr>
              <w:pStyle w:val="16"/>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Optional with capability signalling</w:t>
            </w:r>
          </w:p>
        </w:tc>
      </w:tr>
      <w:tr w14:paraId="30821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30821A2D">
            <w:pPr>
              <w:pStyle w:val="16"/>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62</w:t>
            </w:r>
            <w:r>
              <w:rPr>
                <w:rFonts w:cs="Arial"/>
                <w:color w:val="000000" w:themeColor="text1"/>
                <w:szCs w:val="18"/>
                <w:lang w:eastAsia="ja-JP"/>
                <w14:textFill>
                  <w14:solidFill>
                    <w14:schemeClr w14:val="tx1"/>
                  </w14:solidFill>
                </w14:textFill>
              </w:rPr>
              <w:t>.</w:t>
            </w:r>
            <w:r>
              <w:rPr>
                <w:rFonts w:eastAsia="MS Mincho" w:cs="Arial"/>
                <w:color w:val="000000" w:themeColor="text1"/>
                <w:szCs w:val="18"/>
                <w:lang w:eastAsia="ja-JP"/>
                <w14:textFill>
                  <w14:solidFill>
                    <w14:schemeClr w14:val="tx1"/>
                  </w14:solidFill>
                </w14:textFill>
              </w:rPr>
              <w:t xml:space="preserve"> </w:t>
            </w:r>
            <w:r>
              <w:rPr>
                <w:rFonts w:cs="Arial"/>
                <w:color w:val="000000" w:themeColor="text1"/>
                <w:szCs w:val="18"/>
                <w:lang w:eastAsia="ja-JP"/>
                <w14:textFill>
                  <w14:solidFill>
                    <w14:schemeClr w14:val="tx1"/>
                  </w14:solidFill>
                </w14:textFill>
              </w:rPr>
              <w:t>NR_LPWUS</w:t>
            </w:r>
          </w:p>
        </w:tc>
        <w:tc>
          <w:tcPr>
            <w:tcW w:w="0" w:type="auto"/>
            <w:tcBorders>
              <w:top w:val="single" w:color="auto" w:sz="4" w:space="0"/>
              <w:left w:val="single" w:color="auto" w:sz="4" w:space="0"/>
              <w:bottom w:val="single" w:color="auto" w:sz="4" w:space="0"/>
              <w:right w:val="single" w:color="auto" w:sz="4" w:space="0"/>
            </w:tcBorders>
          </w:tcPr>
          <w:p w14:paraId="30821A2E">
            <w:pPr>
              <w:pStyle w:val="16"/>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62-3</w:t>
            </w:r>
          </w:p>
        </w:tc>
        <w:tc>
          <w:tcPr>
            <w:tcW w:w="0" w:type="auto"/>
            <w:tcBorders>
              <w:top w:val="single" w:color="auto" w:sz="4" w:space="0"/>
              <w:left w:val="single" w:color="auto" w:sz="4" w:space="0"/>
              <w:bottom w:val="single" w:color="auto" w:sz="4" w:space="0"/>
              <w:right w:val="single" w:color="auto" w:sz="4" w:space="0"/>
            </w:tcBorders>
          </w:tcPr>
          <w:p w14:paraId="30821A2F">
            <w:pPr>
              <w:pStyle w:val="16"/>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LP-WUS frequency resource outside active DL BWP for LP-WUS operation in CONNECTED mode</w:t>
            </w:r>
          </w:p>
        </w:tc>
        <w:tc>
          <w:tcPr>
            <w:tcW w:w="0" w:type="auto"/>
            <w:tcBorders>
              <w:top w:val="single" w:color="auto" w:sz="4" w:space="0"/>
              <w:left w:val="single" w:color="auto" w:sz="4" w:space="0"/>
              <w:bottom w:val="single" w:color="auto" w:sz="4" w:space="0"/>
              <w:right w:val="single" w:color="auto" w:sz="4" w:space="0"/>
            </w:tcBorders>
          </w:tcPr>
          <w:p w14:paraId="30821A30">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1. Support of LP-WUS frequency resource outside active DL BWP for LP-WUS operation in CONNECTED mode</w:t>
            </w:r>
          </w:p>
        </w:tc>
        <w:tc>
          <w:tcPr>
            <w:tcW w:w="0" w:type="auto"/>
            <w:tcBorders>
              <w:top w:val="single" w:color="auto" w:sz="4" w:space="0"/>
              <w:left w:val="single" w:color="auto" w:sz="4" w:space="0"/>
              <w:bottom w:val="single" w:color="auto" w:sz="4" w:space="0"/>
              <w:right w:val="single" w:color="auto" w:sz="4" w:space="0"/>
            </w:tcBorders>
            <w:shd w:val="clear" w:color="auto" w:fill="FFFFFF" w:themeFill="background1"/>
          </w:tcPr>
          <w:p w14:paraId="30821A31">
            <w:pPr>
              <w:pStyle w:val="16"/>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FG 62-2 or 62-2a</w:t>
            </w:r>
          </w:p>
        </w:tc>
        <w:tc>
          <w:tcPr>
            <w:tcW w:w="0" w:type="auto"/>
            <w:tcBorders>
              <w:top w:val="single" w:color="auto" w:sz="4" w:space="0"/>
              <w:left w:val="single" w:color="auto" w:sz="4" w:space="0"/>
              <w:bottom w:val="single" w:color="auto" w:sz="4" w:space="0"/>
              <w:right w:val="single" w:color="auto" w:sz="4" w:space="0"/>
            </w:tcBorders>
          </w:tcPr>
          <w:p w14:paraId="30821A32">
            <w:pPr>
              <w:pStyle w:val="16"/>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tcPr>
          <w:p w14:paraId="30821A33">
            <w:pPr>
              <w:pStyle w:val="16"/>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30821A34">
            <w:pPr>
              <w:pStyle w:val="16"/>
              <w:rPr>
                <w:rFonts w:cs="Arial"/>
                <w:szCs w:val="18"/>
              </w:rPr>
            </w:pPr>
            <w:r>
              <w:rPr>
                <w:rFonts w:cs="Arial"/>
                <w:szCs w:val="18"/>
              </w:rPr>
              <w:t>LP-WUS frequency resource outside active DL BWP for LP-WUS operation in CONNECTED mode is not supported</w:t>
            </w:r>
          </w:p>
        </w:tc>
        <w:tc>
          <w:tcPr>
            <w:tcW w:w="0" w:type="auto"/>
            <w:tcBorders>
              <w:top w:val="single" w:color="auto" w:sz="4" w:space="0"/>
              <w:left w:val="single" w:color="auto" w:sz="4" w:space="0"/>
              <w:bottom w:val="single" w:color="auto" w:sz="4" w:space="0"/>
              <w:right w:val="single" w:color="auto" w:sz="4" w:space="0"/>
            </w:tcBorders>
          </w:tcPr>
          <w:p w14:paraId="30821A35">
            <w:pPr>
              <w:pStyle w:val="16"/>
              <w:rPr>
                <w:rFonts w:eastAsia="MS Mincho" w:cs="Arial"/>
                <w:strike/>
                <w:color w:val="000000" w:themeColor="text1"/>
                <w:szCs w:val="18"/>
                <w:highlight w:val="yellow"/>
                <w:lang w:eastAsia="ja-JP"/>
                <w14:textFill>
                  <w14:solidFill>
                    <w14:schemeClr w14:val="tx1"/>
                  </w14:solidFill>
                </w14:textFill>
              </w:rPr>
            </w:pPr>
            <w:r>
              <w:rPr>
                <w:rFonts w:eastAsia="MS Mincho" w:cs="Arial"/>
                <w:strike/>
                <w:color w:val="000000" w:themeColor="text1"/>
                <w:szCs w:val="18"/>
                <w:highlight w:val="yellow"/>
                <w:lang w:eastAsia="ja-JP"/>
                <w14:textFill>
                  <w14:solidFill>
                    <w14:schemeClr w14:val="tx1"/>
                  </w14:solidFill>
                </w14:textFill>
              </w:rPr>
              <w:t>[Per band]</w:t>
            </w:r>
          </w:p>
          <w:p w14:paraId="30821A36">
            <w:pPr>
              <w:pStyle w:val="16"/>
              <w:rPr>
                <w:rFonts w:eastAsia="MS Mincho" w:cs="Arial"/>
                <w:color w:val="000000" w:themeColor="text1"/>
                <w:szCs w:val="18"/>
                <w:highlight w:val="yellow"/>
                <w:lang w:eastAsia="ja-JP"/>
                <w14:textFill>
                  <w14:solidFill>
                    <w14:schemeClr w14:val="tx1"/>
                  </w14:solidFill>
                </w14:textFill>
              </w:rPr>
            </w:pPr>
            <w:r>
              <w:rPr>
                <w:rFonts w:hint="eastAsia" w:eastAsia="宋体" w:cs="Arial"/>
                <w:color w:val="000000" w:themeColor="text1"/>
                <w:szCs w:val="18"/>
                <w:highlight w:val="yellow"/>
                <w:lang w:val="en-US" w:eastAsia="zh-CN"/>
                <w14:textFill>
                  <w14:solidFill>
                    <w14:schemeClr w14:val="tx1"/>
                  </w14:solidFill>
                </w14:textFill>
              </w:rPr>
              <w:t>Per FS</w:t>
            </w:r>
          </w:p>
        </w:tc>
        <w:tc>
          <w:tcPr>
            <w:tcW w:w="0" w:type="auto"/>
            <w:tcBorders>
              <w:top w:val="single" w:color="auto" w:sz="4" w:space="0"/>
              <w:left w:val="single" w:color="auto" w:sz="4" w:space="0"/>
              <w:bottom w:val="single" w:color="auto" w:sz="4" w:space="0"/>
              <w:right w:val="single" w:color="auto" w:sz="4" w:space="0"/>
            </w:tcBorders>
          </w:tcPr>
          <w:p w14:paraId="30821A37">
            <w:pPr>
              <w:pStyle w:val="16"/>
              <w:rPr>
                <w:rFonts w:eastAsia="MS Mincho" w:cs="Arial"/>
                <w:color w:val="000000" w:themeColor="text1"/>
                <w:szCs w:val="18"/>
                <w:lang w:eastAsia="ja-JP"/>
                <w14:textFill>
                  <w14:solidFill>
                    <w14:schemeClr w14:val="tx1"/>
                  </w14:solidFill>
                </w14:textFill>
              </w:rPr>
            </w:pPr>
            <w:r>
              <w:rPr>
                <w:rFonts w:cs="Arial"/>
                <w:szCs w:val="18"/>
              </w:rPr>
              <w:t>n/a</w:t>
            </w:r>
          </w:p>
        </w:tc>
        <w:tc>
          <w:tcPr>
            <w:tcW w:w="0" w:type="auto"/>
            <w:tcBorders>
              <w:top w:val="single" w:color="auto" w:sz="4" w:space="0"/>
              <w:left w:val="single" w:color="auto" w:sz="4" w:space="0"/>
              <w:bottom w:val="single" w:color="auto" w:sz="4" w:space="0"/>
              <w:right w:val="single" w:color="auto" w:sz="4" w:space="0"/>
            </w:tcBorders>
          </w:tcPr>
          <w:p w14:paraId="30821A38">
            <w:pPr>
              <w:pStyle w:val="16"/>
              <w:rPr>
                <w:rFonts w:eastAsia="MS Mincho" w:cs="Arial"/>
                <w:color w:val="000000" w:themeColor="text1"/>
                <w:szCs w:val="18"/>
                <w:lang w:eastAsia="ja-JP"/>
                <w14:textFill>
                  <w14:solidFill>
                    <w14:schemeClr w14:val="tx1"/>
                  </w14:solidFill>
                </w14:textFill>
              </w:rPr>
            </w:pPr>
            <w:r>
              <w:rPr>
                <w:rFonts w:cs="Arial"/>
                <w:szCs w:val="18"/>
              </w:rPr>
              <w:t>n/a</w:t>
            </w:r>
          </w:p>
        </w:tc>
        <w:tc>
          <w:tcPr>
            <w:tcW w:w="0" w:type="auto"/>
            <w:tcBorders>
              <w:top w:val="single" w:color="auto" w:sz="4" w:space="0"/>
              <w:left w:val="single" w:color="auto" w:sz="4" w:space="0"/>
              <w:bottom w:val="single" w:color="auto" w:sz="4" w:space="0"/>
              <w:right w:val="single" w:color="auto" w:sz="4" w:space="0"/>
            </w:tcBorders>
          </w:tcPr>
          <w:p w14:paraId="30821A39">
            <w:pPr>
              <w:pStyle w:val="16"/>
              <w:rPr>
                <w:rFonts w:eastAsia="MS Mincho" w:cs="Arial"/>
                <w:color w:val="000000" w:themeColor="text1"/>
                <w:szCs w:val="18"/>
                <w:lang w:eastAsia="ja-JP"/>
                <w14:textFill>
                  <w14:solidFill>
                    <w14:schemeClr w14:val="tx1"/>
                  </w14:solidFill>
                </w14:textFill>
              </w:rPr>
            </w:pPr>
            <w:r>
              <w:rPr>
                <w:rFonts w:cs="Arial"/>
                <w:szCs w:val="18"/>
              </w:rPr>
              <w:t>n/a</w:t>
            </w:r>
          </w:p>
        </w:tc>
        <w:tc>
          <w:tcPr>
            <w:tcW w:w="0" w:type="auto"/>
            <w:tcBorders>
              <w:top w:val="single" w:color="auto" w:sz="4" w:space="0"/>
              <w:left w:val="single" w:color="auto" w:sz="4" w:space="0"/>
              <w:bottom w:val="single" w:color="auto" w:sz="4" w:space="0"/>
              <w:right w:val="single" w:color="auto" w:sz="4" w:space="0"/>
            </w:tcBorders>
          </w:tcPr>
          <w:p w14:paraId="30821A3A">
            <w:pPr>
              <w:pStyle w:val="16"/>
              <w:rPr>
                <w:rFonts w:cs="Arial"/>
                <w:color w:val="000000" w:themeColor="text1"/>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tcPr>
          <w:p w14:paraId="30821A3B">
            <w:pPr>
              <w:pStyle w:val="16"/>
              <w:rPr>
                <w:rFonts w:cs="Arial"/>
                <w:color w:val="000000" w:themeColor="text1"/>
                <w:szCs w:val="18"/>
                <w:lang w:eastAsia="ja-JP"/>
                <w14:textFill>
                  <w14:solidFill>
                    <w14:schemeClr w14:val="tx1"/>
                  </w14:solidFill>
                </w14:textFill>
              </w:rPr>
            </w:pPr>
            <w:r>
              <w:rPr>
                <w:rFonts w:cs="Arial"/>
                <w:szCs w:val="18"/>
              </w:rPr>
              <w:t>Optional with capability signalling</w:t>
            </w:r>
          </w:p>
        </w:tc>
      </w:tr>
    </w:tbl>
    <w:p w14:paraId="30821A3D"/>
    <w:p w14:paraId="30821A3E"/>
    <w:p w14:paraId="30821A3F">
      <w:pPr>
        <w:keepNext/>
        <w:keepLines/>
        <w:tabs>
          <w:tab w:val="left" w:pos="426"/>
        </w:tabs>
        <w:overflowPunct w:val="0"/>
        <w:autoSpaceDE w:val="0"/>
        <w:autoSpaceDN w:val="0"/>
        <w:adjustRightInd w:val="0"/>
        <w:spacing w:after="120"/>
        <w:jc w:val="both"/>
        <w:textAlignment w:val="baseline"/>
        <w:outlineLvl w:val="0"/>
        <w:rPr>
          <w:rFonts w:ascii="Arial" w:hAnsi="Arial" w:eastAsiaTheme="minorEastAsia"/>
          <w:sz w:val="32"/>
          <w:szCs w:val="32"/>
          <w:lang w:val="en-US" w:eastAsia="zh-CN"/>
        </w:rPr>
      </w:pPr>
      <w:r>
        <w:rPr>
          <w:rFonts w:ascii="Arial" w:hAnsi="Arial" w:eastAsiaTheme="minorEastAsia"/>
          <w:sz w:val="32"/>
          <w:szCs w:val="32"/>
          <w:lang w:val="en-US" w:eastAsia="zh-CN"/>
        </w:rPr>
        <w:t xml:space="preserve"> </w:t>
      </w:r>
    </w:p>
    <w:sectPr>
      <w:pgSz w:w="23811" w:h="16838" w:orient="landscape"/>
      <w:pgMar w:top="720" w:right="720" w:bottom="720" w:left="72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Batang">
    <w:altName w:val="Segoe Print"/>
    <w:panose1 w:val="02030600000101010101"/>
    <w:charset w:val="00"/>
    <w:family w:val="auto"/>
    <w:pitch w:val="default"/>
    <w:sig w:usb0="00000000" w:usb1="00000000" w:usb2="00000000" w:usb3="00000000" w:csb0="00000000" w:csb1="00000000"/>
  </w:font>
  <w:font w:name="바탕">
    <w:altName w:val="Segoe Print"/>
    <w:panose1 w:val="00000000000000000000"/>
    <w:charset w:val="00"/>
    <w:family w:val="auto"/>
    <w:pitch w:val="default"/>
    <w:sig w:usb0="00000000" w:usb1="00000000" w:usb2="00000000" w:usb3="00000000" w:csb0="00000000" w:csb1="00000000"/>
  </w:font>
  <w:font w:name="Gulim">
    <w:altName w:val="Verdana"/>
    <w:panose1 w:val="020B0600000101010101"/>
    <w:charset w:val="00"/>
    <w:family w:val="auto"/>
    <w:pitch w:val="default"/>
    <w:sig w:usb0="00000000" w:usb1="00000000" w:usb2="00000000" w:usb3="00000000" w:csb0="00000000" w:csb1="00000000"/>
  </w:font>
  <w:font w:name="굴림">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Verdana">
    <w:panose1 w:val="020B0604030504040204"/>
    <w:charset w:val="00"/>
    <w:family w:val="auto"/>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6F2200"/>
    <w:multiLevelType w:val="multilevel"/>
    <w:tmpl w:val="3C6F2200"/>
    <w:lvl w:ilvl="0" w:tentative="0">
      <w:start w:val="62"/>
      <w:numFmt w:val="decimal"/>
      <w:lvlText w:val="%1."/>
      <w:lvlJc w:val="left"/>
      <w:pPr>
        <w:ind w:left="442" w:hanging="442"/>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2">
    <w:nsid w:val="7E927FC3"/>
    <w:multiLevelType w:val="multilevel"/>
    <w:tmpl w:val="7E927FC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0430"/>
    <w:rsid w:val="00003108"/>
    <w:rsid w:val="0000603D"/>
    <w:rsid w:val="00010371"/>
    <w:rsid w:val="00014D6D"/>
    <w:rsid w:val="00043092"/>
    <w:rsid w:val="00093221"/>
    <w:rsid w:val="000A3EE1"/>
    <w:rsid w:val="000B0D1E"/>
    <w:rsid w:val="000B1EE2"/>
    <w:rsid w:val="000C55AD"/>
    <w:rsid w:val="000D419F"/>
    <w:rsid w:val="000F119C"/>
    <w:rsid w:val="000F2AB4"/>
    <w:rsid w:val="001339ED"/>
    <w:rsid w:val="00152AF4"/>
    <w:rsid w:val="00157A52"/>
    <w:rsid w:val="00172E0F"/>
    <w:rsid w:val="00172EDA"/>
    <w:rsid w:val="00180D03"/>
    <w:rsid w:val="001E78C6"/>
    <w:rsid w:val="00221D80"/>
    <w:rsid w:val="00232D28"/>
    <w:rsid w:val="002343F4"/>
    <w:rsid w:val="00234849"/>
    <w:rsid w:val="002608F8"/>
    <w:rsid w:val="002A36E0"/>
    <w:rsid w:val="002A53FA"/>
    <w:rsid w:val="002B08D2"/>
    <w:rsid w:val="002C5E00"/>
    <w:rsid w:val="002D2B4E"/>
    <w:rsid w:val="002D6A5A"/>
    <w:rsid w:val="002E295E"/>
    <w:rsid w:val="002E7C0D"/>
    <w:rsid w:val="0032499A"/>
    <w:rsid w:val="00351114"/>
    <w:rsid w:val="00354816"/>
    <w:rsid w:val="00380983"/>
    <w:rsid w:val="003C0430"/>
    <w:rsid w:val="003E61C4"/>
    <w:rsid w:val="003F286E"/>
    <w:rsid w:val="00472283"/>
    <w:rsid w:val="004E1845"/>
    <w:rsid w:val="0050600E"/>
    <w:rsid w:val="0051559E"/>
    <w:rsid w:val="00575366"/>
    <w:rsid w:val="00576908"/>
    <w:rsid w:val="00581471"/>
    <w:rsid w:val="005C64B2"/>
    <w:rsid w:val="005C6519"/>
    <w:rsid w:val="00611DE9"/>
    <w:rsid w:val="006304E2"/>
    <w:rsid w:val="00653C36"/>
    <w:rsid w:val="006674BC"/>
    <w:rsid w:val="006719E8"/>
    <w:rsid w:val="00672254"/>
    <w:rsid w:val="006C071E"/>
    <w:rsid w:val="006C3809"/>
    <w:rsid w:val="006D19B9"/>
    <w:rsid w:val="006E11BA"/>
    <w:rsid w:val="006F3C3F"/>
    <w:rsid w:val="00711F2A"/>
    <w:rsid w:val="00735FB9"/>
    <w:rsid w:val="00782654"/>
    <w:rsid w:val="00797837"/>
    <w:rsid w:val="007D7285"/>
    <w:rsid w:val="008121F0"/>
    <w:rsid w:val="00816C37"/>
    <w:rsid w:val="00826953"/>
    <w:rsid w:val="008516AF"/>
    <w:rsid w:val="008675EC"/>
    <w:rsid w:val="00871470"/>
    <w:rsid w:val="00883A88"/>
    <w:rsid w:val="008850F7"/>
    <w:rsid w:val="00897345"/>
    <w:rsid w:val="008D14D4"/>
    <w:rsid w:val="008E0A96"/>
    <w:rsid w:val="0091195A"/>
    <w:rsid w:val="00913D72"/>
    <w:rsid w:val="009177E8"/>
    <w:rsid w:val="00947651"/>
    <w:rsid w:val="00956928"/>
    <w:rsid w:val="0097079E"/>
    <w:rsid w:val="00997CDA"/>
    <w:rsid w:val="009B10F8"/>
    <w:rsid w:val="009C61DF"/>
    <w:rsid w:val="009D1545"/>
    <w:rsid w:val="00A231C7"/>
    <w:rsid w:val="00A43307"/>
    <w:rsid w:val="00A705F9"/>
    <w:rsid w:val="00A94761"/>
    <w:rsid w:val="00A94C58"/>
    <w:rsid w:val="00AB66F5"/>
    <w:rsid w:val="00B017A0"/>
    <w:rsid w:val="00B658F8"/>
    <w:rsid w:val="00B76766"/>
    <w:rsid w:val="00B92B4F"/>
    <w:rsid w:val="00B93732"/>
    <w:rsid w:val="00BD31B1"/>
    <w:rsid w:val="00BE605D"/>
    <w:rsid w:val="00BF0E71"/>
    <w:rsid w:val="00C20002"/>
    <w:rsid w:val="00C27B8A"/>
    <w:rsid w:val="00C36ECE"/>
    <w:rsid w:val="00C637BC"/>
    <w:rsid w:val="00C666B7"/>
    <w:rsid w:val="00C66FD3"/>
    <w:rsid w:val="00C7383C"/>
    <w:rsid w:val="00C96107"/>
    <w:rsid w:val="00CB10CB"/>
    <w:rsid w:val="00CC4DB2"/>
    <w:rsid w:val="00CD1BD1"/>
    <w:rsid w:val="00CF534F"/>
    <w:rsid w:val="00D11AC4"/>
    <w:rsid w:val="00D15FBF"/>
    <w:rsid w:val="00D3638A"/>
    <w:rsid w:val="00D36CC9"/>
    <w:rsid w:val="00D40143"/>
    <w:rsid w:val="00D73418"/>
    <w:rsid w:val="00D74D7E"/>
    <w:rsid w:val="00DC17ED"/>
    <w:rsid w:val="00DC672A"/>
    <w:rsid w:val="00DC71D5"/>
    <w:rsid w:val="00DD10AE"/>
    <w:rsid w:val="00DF1BAB"/>
    <w:rsid w:val="00E105B4"/>
    <w:rsid w:val="00E1733E"/>
    <w:rsid w:val="00E31FDA"/>
    <w:rsid w:val="00E51871"/>
    <w:rsid w:val="00E85FBC"/>
    <w:rsid w:val="00E91BF2"/>
    <w:rsid w:val="00F1317A"/>
    <w:rsid w:val="00F544B1"/>
    <w:rsid w:val="00F54AFD"/>
    <w:rsid w:val="00F73257"/>
    <w:rsid w:val="00F83F76"/>
    <w:rsid w:val="00FA06A6"/>
    <w:rsid w:val="00FB08F9"/>
    <w:rsid w:val="00FC2C4B"/>
    <w:rsid w:val="00FD062D"/>
    <w:rsid w:val="00FD375C"/>
    <w:rsid w:val="00FD4F5B"/>
    <w:rsid w:val="00FF5DE8"/>
    <w:rsid w:val="00FF725C"/>
    <w:rsid w:val="02240642"/>
    <w:rsid w:val="0404009F"/>
    <w:rsid w:val="32F01060"/>
    <w:rsid w:val="3AD77A53"/>
    <w:rsid w:val="6C0469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S Gothic" w:cs="Times New Roman"/>
      <w:sz w:val="24"/>
      <w:lang w:val="en-GB" w:eastAsia="ja-JP"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9"/>
    <w:semiHidden/>
    <w:unhideWhenUsed/>
    <w:qFormat/>
    <w:uiPriority w:val="99"/>
  </w:style>
  <w:style w:type="paragraph" w:styleId="3">
    <w:name w:val="footer"/>
    <w:basedOn w:val="1"/>
    <w:link w:val="10"/>
    <w:unhideWhenUsed/>
    <w:qFormat/>
    <w:uiPriority w:val="99"/>
    <w:pPr>
      <w:tabs>
        <w:tab w:val="center" w:pos="4153"/>
        <w:tab w:val="right" w:pos="8306"/>
      </w:tabs>
      <w:snapToGrid w:val="0"/>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annotation subject"/>
    <w:basedOn w:val="2"/>
    <w:next w:val="2"/>
    <w:link w:val="20"/>
    <w:semiHidden/>
    <w:unhideWhenUsed/>
    <w:qFormat/>
    <w:uiPriority w:val="99"/>
    <w:rPr>
      <w:b/>
      <w:bCs/>
    </w:rPr>
  </w:style>
  <w:style w:type="character" w:styleId="8">
    <w:name w:val="annotation reference"/>
    <w:basedOn w:val="7"/>
    <w:semiHidden/>
    <w:unhideWhenUsed/>
    <w:qFormat/>
    <w:uiPriority w:val="99"/>
    <w:rPr>
      <w:sz w:val="21"/>
      <w:szCs w:val="21"/>
    </w:r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paragraph" w:customStyle="1" w:styleId="11">
    <w:name w:val="TAH"/>
    <w:basedOn w:val="12"/>
    <w:link w:val="13"/>
    <w:qFormat/>
    <w:uiPriority w:val="0"/>
    <w:rPr>
      <w:b/>
    </w:rPr>
  </w:style>
  <w:style w:type="paragraph" w:customStyle="1" w:styleId="12">
    <w:name w:val="TAC"/>
    <w:basedOn w:val="1"/>
    <w:qFormat/>
    <w:uiPriority w:val="0"/>
    <w:pPr>
      <w:keepNext/>
      <w:keepLines/>
      <w:overflowPunct w:val="0"/>
      <w:autoSpaceDE w:val="0"/>
      <w:autoSpaceDN w:val="0"/>
      <w:adjustRightInd w:val="0"/>
      <w:jc w:val="center"/>
      <w:textAlignment w:val="baseline"/>
    </w:pPr>
    <w:rPr>
      <w:rFonts w:ascii="Arial" w:hAnsi="Arial" w:eastAsia="Times New Roman"/>
      <w:sz w:val="18"/>
    </w:rPr>
  </w:style>
  <w:style w:type="character" w:customStyle="1" w:styleId="13">
    <w:name w:val="TAH Car"/>
    <w:link w:val="11"/>
    <w:qFormat/>
    <w:uiPriority w:val="0"/>
    <w:rPr>
      <w:rFonts w:ascii="Arial" w:hAnsi="Arial" w:eastAsia="Times New Roman" w:cs="Times New Roman"/>
      <w:b/>
      <w:kern w:val="0"/>
      <w:sz w:val="18"/>
      <w:szCs w:val="20"/>
      <w:lang w:val="en-GB" w:eastAsia="ja-JP"/>
    </w:rPr>
  </w:style>
  <w:style w:type="paragraph" w:styleId="14">
    <w:name w:val="List Paragraph"/>
    <w:basedOn w:val="1"/>
    <w:link w:val="15"/>
    <w:qFormat/>
    <w:uiPriority w:val="34"/>
    <w:pPr>
      <w:ind w:left="840" w:leftChars="400"/>
    </w:pPr>
  </w:style>
  <w:style w:type="character" w:customStyle="1" w:styleId="15">
    <w:name w:val="列表段落 字符"/>
    <w:link w:val="14"/>
    <w:qFormat/>
    <w:locked/>
    <w:uiPriority w:val="34"/>
    <w:rPr>
      <w:rFonts w:ascii="Times New Roman" w:hAnsi="Times New Roman" w:eastAsia="MS Gothic" w:cs="Times New Roman"/>
      <w:kern w:val="0"/>
      <w:sz w:val="24"/>
      <w:szCs w:val="20"/>
      <w:lang w:val="en-GB" w:eastAsia="ja-JP"/>
    </w:rPr>
  </w:style>
  <w:style w:type="paragraph" w:customStyle="1" w:styleId="16">
    <w:name w:val="TAL"/>
    <w:basedOn w:val="1"/>
    <w:link w:val="18"/>
    <w:qFormat/>
    <w:uiPriority w:val="0"/>
    <w:pPr>
      <w:keepNext/>
      <w:keepLines/>
    </w:pPr>
    <w:rPr>
      <w:rFonts w:ascii="Arial" w:hAnsi="Arial" w:eastAsiaTheme="minorEastAsia"/>
      <w:sz w:val="18"/>
      <w:lang w:eastAsia="en-US"/>
    </w:rPr>
  </w:style>
  <w:style w:type="paragraph" w:customStyle="1" w:styleId="17">
    <w:name w:val="TAN"/>
    <w:basedOn w:val="16"/>
    <w:link w:val="21"/>
    <w:qFormat/>
    <w:uiPriority w:val="0"/>
    <w:pPr>
      <w:ind w:left="851" w:hanging="851"/>
    </w:pPr>
  </w:style>
  <w:style w:type="character" w:customStyle="1" w:styleId="18">
    <w:name w:val="TAL Car"/>
    <w:basedOn w:val="7"/>
    <w:link w:val="16"/>
    <w:qFormat/>
    <w:locked/>
    <w:uiPriority w:val="0"/>
    <w:rPr>
      <w:rFonts w:ascii="Arial" w:hAnsi="Arial" w:cs="Times New Roman"/>
      <w:kern w:val="0"/>
      <w:sz w:val="18"/>
      <w:szCs w:val="20"/>
      <w:lang w:val="en-GB" w:eastAsia="en-US"/>
    </w:rPr>
  </w:style>
  <w:style w:type="character" w:customStyle="1" w:styleId="19">
    <w:name w:val="批注文字 字符"/>
    <w:basedOn w:val="7"/>
    <w:link w:val="2"/>
    <w:semiHidden/>
    <w:qFormat/>
    <w:uiPriority w:val="99"/>
    <w:rPr>
      <w:rFonts w:ascii="Times New Roman" w:hAnsi="Times New Roman" w:eastAsia="MS Gothic" w:cs="Times New Roman"/>
      <w:kern w:val="0"/>
      <w:sz w:val="24"/>
      <w:szCs w:val="20"/>
      <w:lang w:val="en-GB" w:eastAsia="ja-JP"/>
    </w:rPr>
  </w:style>
  <w:style w:type="character" w:customStyle="1" w:styleId="20">
    <w:name w:val="批注主题 字符"/>
    <w:basedOn w:val="19"/>
    <w:link w:val="5"/>
    <w:semiHidden/>
    <w:qFormat/>
    <w:uiPriority w:val="99"/>
    <w:rPr>
      <w:rFonts w:ascii="Times New Roman" w:hAnsi="Times New Roman" w:eastAsia="MS Gothic" w:cs="Times New Roman"/>
      <w:b/>
      <w:bCs/>
      <w:kern w:val="0"/>
      <w:sz w:val="24"/>
      <w:szCs w:val="20"/>
      <w:lang w:val="en-GB" w:eastAsia="ja-JP"/>
    </w:rPr>
  </w:style>
  <w:style w:type="character" w:customStyle="1" w:styleId="21">
    <w:name w:val="TAN Char"/>
    <w:link w:val="17"/>
    <w:qFormat/>
    <w:locked/>
    <w:uiPriority w:val="0"/>
    <w:rPr>
      <w:rFonts w:ascii="Arial" w:hAnsi="Arial" w:cs="Times New Roman"/>
      <w:kern w:val="0"/>
      <w:sz w:val="18"/>
      <w:szCs w:val="20"/>
      <w:lang w:val="en-GB"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039B3A0B-3E05-4ED4-B30F-EAAB60DBAD35}">
  <ds:schemaRefs/>
</ds:datastoreItem>
</file>

<file path=customXml/itemProps2.xml><?xml version="1.0" encoding="utf-8"?>
<ds:datastoreItem xmlns:ds="http://schemas.openxmlformats.org/officeDocument/2006/customXml" ds:itemID="{471F675C-F78C-42DF-9F83-6534FFC4738F}">
  <ds:schemaRefs/>
</ds:datastoreItem>
</file>

<file path=customXml/itemProps3.xml><?xml version="1.0" encoding="utf-8"?>
<ds:datastoreItem xmlns:ds="http://schemas.openxmlformats.org/officeDocument/2006/customXml" ds:itemID="{E12F9EB9-E090-43E5-8421-8EC59B8DB4BC}">
  <ds:schemaRefs/>
</ds:datastoreItem>
</file>

<file path=docProps/app.xml><?xml version="1.0" encoding="utf-8"?>
<Properties xmlns="http://schemas.openxmlformats.org/officeDocument/2006/extended-properties" xmlns:vt="http://schemas.openxmlformats.org/officeDocument/2006/docPropsVTypes">
  <Template>Normal.dotm</Template>
  <Pages>4</Pages>
  <Words>964</Words>
  <Characters>4761</Characters>
  <Lines>40</Lines>
  <Paragraphs>11</Paragraphs>
  <TotalTime>0</TotalTime>
  <ScaleCrop>false</ScaleCrop>
  <LinksUpToDate>false</LinksUpToDate>
  <CharactersWithSpaces>5625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2025-05-07T13:52:00Z</dcterms:created>
  <dc:creator>Xueming Pan(vivo)</dc:creator>
  <cp:lastModifiedBy>Lihui Wang</cp:lastModifiedBy>
  <dcterms:modified xsi:type="dcterms:W3CDTF">2025-09-30T10:43:07Z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eyJoZGlkIjoiODA3NTU0ZTdiYjRiN2Y4N2I2YzAwOWIwMDUxMjc4NzUiLCJ1c2VySWQiOiIxMzYxODk3NTU4In0=</vt:lpwstr>
  </property>
  <property fmtid="{D5CDD505-2E9C-101B-9397-08002B2CF9AE}" pid="3" name="KSOProductBuildVer">
    <vt:lpwstr>2052-12.1.0.20305</vt:lpwstr>
  </property>
  <property fmtid="{D5CDD505-2E9C-101B-9397-08002B2CF9AE}" pid="4" name="ICV">
    <vt:lpwstr>8D29B6C03ACE483181B2FC29FA66EE2F_12</vt:lpwstr>
  </property>
  <property fmtid="{D5CDD505-2E9C-101B-9397-08002B2CF9AE}" pid="5" name="ContentTypeId">
    <vt:lpwstr>0x01010057CC4845EE989D469C4AF99498678D58</vt:lpwstr>
  </property>
</Properties>
</file>