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RP-253734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NR Radio Resource Management (RRM) Phase 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9.9.4.3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Rx BSF optimization for NR RRM Ph5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R2-2508104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NR_RRM_Ph5-Core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5.3.5.9, 5.3.7.2, 5.3.7.3, 5.3.13.2, 5.7.4.1, 5.7.4.2, 5.7.4.3, 6.2.2, 6.3.2, 6.3.4, 7.1.1.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RP-253734</vt:lpwstr>
  </property>
  <property fmtid="{D5CDD505-2E9C-101B-9397-08002B2CF9AE}" pid="19" name="CrpackTitle">
    <vt:lpwstr>NR Radio Resource Management (RRM) Phase 5</vt:lpwstr>
  </property>
  <property fmtid="{D5CDD505-2E9C-101B-9397-08002B2CF9AE}" pid="20" name="Agenda#">
    <vt:lpwstr>9.9.4.3</vt:lpwstr>
  </property>
  <property fmtid="{D5CDD505-2E9C-101B-9397-08002B2CF9AE}" pid="21" name="Source">
    <vt:lpwstr>RAN2</vt:lpwstr>
  </property>
</Properties>
</file>