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47E06A8C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57</w:t>
      </w:r>
      <w:r w:rsidRPr="0099667D">
        <w:rPr>
          <w:b/>
          <w:i/>
          <w:sz w:val="28"/>
        </w:rPr>
        <w:tab/>
        <w:t>C</w:t>
      </w:r>
      <w:r w:rsidR="00AB6990">
        <w:rPr>
          <w:b/>
          <w:i/>
          <w:sz w:val="28"/>
        </w:rPr>
        <w:t>1</w:t>
      </w:r>
      <w:r w:rsidRPr="0099667D">
        <w:rPr>
          <w:b/>
          <w:i/>
          <w:sz w:val="28"/>
        </w:rPr>
        <w:t>-25</w:t>
      </w:r>
      <w:r w:rsidR="00B1191C">
        <w:rPr>
          <w:b/>
          <w:i/>
          <w:sz w:val="28"/>
        </w:rPr>
        <w:t>6099</w:t>
      </w:r>
    </w:p>
    <w:p w14:paraId="0CBA639A" w14:textId="77777777" w:rsidR="00240D9A" w:rsidRPr="0099667D" w:rsidRDefault="00240D9A" w:rsidP="00240D9A">
      <w:pPr>
        <w:pStyle w:val="CRCoverPage"/>
        <w:outlineLvl w:val="0"/>
        <w:rPr>
          <w:b/>
          <w:sz w:val="24"/>
        </w:rPr>
      </w:pPr>
      <w:r w:rsidRPr="0099667D">
        <w:rPr>
          <w:b/>
          <w:sz w:val="24"/>
        </w:rPr>
        <w:t>Sophia-Antipolis, FR, 13 - 17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2DA7A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optimal usage of CDDL specification for UE-to-network </w:t>
      </w:r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DF64C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optimal usage of CDDL specification for UE-to-network </w:t>
      </w:r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6F4AB4C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FS_6G_CDDL_UNIV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393E3DED" w14:textId="41FDDFC0" w:rsidR="009245DD" w:rsidRDefault="008518CE" w:rsidP="00C946B7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It is expected that use-cases for constrained ecosystems such as vertical applications and Internet of Things with </w:t>
      </w:r>
      <w:r w:rsidRPr="008B2088">
        <w:rPr>
          <w:shd w:val="clear" w:color="auto" w:fill="FFFFFF" w:themeFill="background1"/>
        </w:rPr>
        <w:t>UE</w:t>
      </w:r>
      <w:r>
        <w:rPr>
          <w:shd w:val="clear" w:color="auto" w:fill="FFFFFF" w:themeFill="background1"/>
        </w:rPr>
        <w:t>s that are</w:t>
      </w:r>
      <w:r w:rsidRPr="008B2088">
        <w:rPr>
          <w:shd w:val="clear" w:color="auto" w:fill="FFFFFF" w:themeFill="background1"/>
        </w:rPr>
        <w:t xml:space="preserve"> constrained by limited battery capacity </w:t>
      </w:r>
      <w:r w:rsidRPr="008518CE">
        <w:rPr>
          <w:shd w:val="clear" w:color="auto" w:fill="FFFFFF" w:themeFill="background1"/>
        </w:rPr>
        <w:t xml:space="preserve">and </w:t>
      </w:r>
      <w:r w:rsidR="00786810">
        <w:rPr>
          <w:shd w:val="clear" w:color="auto" w:fill="FFFFFF" w:themeFill="background1"/>
        </w:rPr>
        <w:t xml:space="preserve">bounds on </w:t>
      </w:r>
      <w:r w:rsidRPr="008518CE">
        <w:rPr>
          <w:shd w:val="clear" w:color="auto" w:fill="FFFFFF" w:themeFill="background1"/>
        </w:rPr>
        <w:t>energy consumption</w:t>
      </w:r>
      <w:r>
        <w:rPr>
          <w:shd w:val="clear" w:color="auto" w:fill="FFFFFF" w:themeFill="background1"/>
        </w:rPr>
        <w:t xml:space="preserve"> that are used for extended reality (</w:t>
      </w:r>
      <w:r w:rsidRPr="00CC2CC6">
        <w:rPr>
          <w:shd w:val="clear" w:color="auto" w:fill="FFFFFF" w:themeFill="background1"/>
          <w:lang w:val="en-US"/>
        </w:rPr>
        <w:t>XR</w:t>
      </w:r>
      <w:r>
        <w:rPr>
          <w:shd w:val="clear" w:color="auto" w:fill="FFFFFF" w:themeFill="background1"/>
          <w:lang w:val="en-US"/>
        </w:rPr>
        <w:t>)</w:t>
      </w:r>
      <w:r w:rsidRPr="00CC2CC6">
        <w:rPr>
          <w:shd w:val="clear" w:color="auto" w:fill="FFFFFF" w:themeFill="background1"/>
          <w:lang w:val="en-US"/>
        </w:rPr>
        <w:t xml:space="preserve"> rendering/AI tasks</w:t>
      </w:r>
      <w:r>
        <w:rPr>
          <w:shd w:val="clear" w:color="auto" w:fill="FFFFFF" w:themeFill="background1"/>
          <w:lang w:val="en-US"/>
        </w:rPr>
        <w:t xml:space="preserve"> will be introduced in 6G</w:t>
      </w:r>
      <w:r w:rsidRPr="008B2088">
        <w:rPr>
          <w:shd w:val="clear" w:color="auto" w:fill="FFFFFF" w:themeFill="background1"/>
        </w:rPr>
        <w:t xml:space="preserve">. </w:t>
      </w:r>
      <w:r>
        <w:rPr>
          <w:shd w:val="clear" w:color="auto" w:fill="FFFFFF" w:themeFill="background1"/>
        </w:rPr>
        <w:t xml:space="preserve">This means that CT1 should </w:t>
      </w:r>
      <w:r w:rsidR="009245DD" w:rsidRPr="009245DD">
        <w:rPr>
          <w:shd w:val="clear" w:color="auto" w:fill="FFFFFF" w:themeFill="background1"/>
        </w:rPr>
        <w:t xml:space="preserve">continue use of light-weight protocols, </w:t>
      </w:r>
      <w:r w:rsidR="009245DD">
        <w:rPr>
          <w:shd w:val="clear" w:color="auto" w:fill="FFFFFF" w:themeFill="background1"/>
        </w:rPr>
        <w:t xml:space="preserve">data </w:t>
      </w:r>
      <w:r w:rsidR="009245DD" w:rsidRPr="009245DD">
        <w:rPr>
          <w:shd w:val="clear" w:color="auto" w:fill="FFFFFF" w:themeFill="background1"/>
        </w:rPr>
        <w:t xml:space="preserve">formats, and associated definition languages (e.g., </w:t>
      </w:r>
      <w:r w:rsidR="009245DD" w:rsidRPr="008D4592">
        <w:rPr>
          <w:shd w:val="clear" w:color="auto" w:fill="FFFFFF" w:themeFill="background1"/>
        </w:rPr>
        <w:t xml:space="preserve">Concise Data Definition Language </w:t>
      </w:r>
      <w:r w:rsidR="009245DD">
        <w:rPr>
          <w:shd w:val="clear" w:color="auto" w:fill="FFFFFF" w:themeFill="background1"/>
        </w:rPr>
        <w:t>(</w:t>
      </w:r>
      <w:r w:rsidR="009245DD" w:rsidRPr="009245DD">
        <w:rPr>
          <w:shd w:val="clear" w:color="auto" w:fill="FFFFFF" w:themeFill="background1"/>
        </w:rPr>
        <w:t>CDDL</w:t>
      </w:r>
      <w:r w:rsidR="009245DD">
        <w:rPr>
          <w:shd w:val="clear" w:color="auto" w:fill="FFFFFF" w:themeFill="background1"/>
        </w:rPr>
        <w:t>)</w:t>
      </w:r>
      <w:r w:rsidR="009245DD" w:rsidRPr="009245DD">
        <w:rPr>
          <w:shd w:val="clear" w:color="auto" w:fill="FFFFFF" w:themeFill="background1"/>
        </w:rPr>
        <w:t>) in 6G</w:t>
      </w:r>
      <w:r w:rsidR="009245DD">
        <w:rPr>
          <w:shd w:val="clear" w:color="auto" w:fill="FFFFFF" w:themeFill="background1"/>
        </w:rPr>
        <w:t>.</w:t>
      </w:r>
    </w:p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5A72FC12" w14:textId="23DA7063" w:rsidR="00D35D84" w:rsidRDefault="008518CE" w:rsidP="00C946B7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continue use of light-weight protocols and binary </w:t>
      </w:r>
      <w:r w:rsidR="008D4592" w:rsidRPr="008D4592">
        <w:rPr>
          <w:shd w:val="clear" w:color="auto" w:fill="FFFFFF" w:themeFill="background1"/>
        </w:rPr>
        <w:t>formats (e.g., Constrained Application Protocol (CoAP) with Concise Data Definition Language (CDDL)) in 6G</w:t>
      </w:r>
      <w:r w:rsidR="00E46725">
        <w:rPr>
          <w:shd w:val="clear" w:color="auto" w:fill="FFFFFF" w:themeFill="background1"/>
        </w:rPr>
        <w:t>.</w:t>
      </w:r>
    </w:p>
    <w:p w14:paraId="2DBCF1CE" w14:textId="77777777" w:rsidR="00D35D84" w:rsidRDefault="00D35D84" w:rsidP="00C946B7">
      <w:pPr>
        <w:rPr>
          <w:shd w:val="clear" w:color="auto" w:fill="FFFFFF" w:themeFill="background1"/>
        </w:rPr>
      </w:pPr>
    </w:p>
    <w:p w14:paraId="61231228" w14:textId="2D5A087A" w:rsidR="000D3AD2" w:rsidRDefault="00D2794B" w:rsidP="00C946B7">
      <w:r>
        <w:t>CT1 successfully adopted CDDL to support the constraint devices in Release-</w:t>
      </w:r>
      <w:r w:rsidR="000E0FC7">
        <w:t>17</w:t>
      </w:r>
      <w:r w:rsidR="00D329A3">
        <w:t xml:space="preserve"> for 5GS</w:t>
      </w:r>
      <w:r w:rsidR="000E0FC7">
        <w:t xml:space="preserve">. </w:t>
      </w:r>
      <w:r>
        <w:t>However, some protocol aspects like naming conventions</w:t>
      </w:r>
      <w:r w:rsidR="0027324E">
        <w:t xml:space="preserve"> and</w:t>
      </w:r>
      <w:r>
        <w:t xml:space="preserve"> extensibility mechanisms </w:t>
      </w:r>
      <w:r w:rsidR="00A56A2D">
        <w:t>are not optimal in the current specifications</w:t>
      </w:r>
      <w:r>
        <w:t xml:space="preserve">. </w:t>
      </w:r>
      <w:r w:rsidR="00256763">
        <w:t>This</w:t>
      </w:r>
      <w:r>
        <w:t xml:space="preserve"> leads to unharmonized specification of CDDL and</w:t>
      </w:r>
      <w:r w:rsidR="00DF758C">
        <w:t xml:space="preserve"> </w:t>
      </w:r>
      <w:r w:rsidR="00A3630E" w:rsidRPr="00A3630E">
        <w:t>non-optimal CDDL usag</w:t>
      </w:r>
      <w:r w:rsidR="00A3630E">
        <w:t>e</w:t>
      </w:r>
      <w:r>
        <w:t>.</w:t>
      </w:r>
      <w:r w:rsidR="00A3630E">
        <w:t xml:space="preserve"> </w:t>
      </w:r>
      <w:r w:rsidR="000D3AD2" w:rsidRPr="0014213A">
        <w:rPr>
          <w:color w:val="000000"/>
          <w:lang w:val="en-US" w:eastAsia="ja-JP"/>
        </w:rPr>
        <w:t>Thus, optimal usage of CDDL specification in CT1 including naming conventions and extensibility features</w:t>
      </w:r>
      <w:r w:rsidR="0014213A" w:rsidRPr="0014213A">
        <w:t xml:space="preserve"> should</w:t>
      </w:r>
      <w:r w:rsidR="0014213A">
        <w:t xml:space="preserve"> </w:t>
      </w:r>
      <w:r w:rsidR="0014213A" w:rsidRPr="00013D7D">
        <w:t>be studied in 6G</w:t>
      </w:r>
      <w:r w:rsidR="0014213A">
        <w:t>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4166CA1A" w:rsidR="001E489F" w:rsidRPr="006C2E80" w:rsidRDefault="00CF0393" w:rsidP="001E489F">
      <w:r w:rsidRPr="007F4690">
        <w:t xml:space="preserve">CT1 should study the </w:t>
      </w:r>
      <w:r w:rsidR="00C32061">
        <w:t>optimal usage</w:t>
      </w:r>
      <w:r w:rsidRPr="007F4690">
        <w:t xml:space="preserve"> of CDDL specification, including naming conventions and extensibility</w:t>
      </w:r>
      <w:r w:rsidR="00C32061">
        <w:t xml:space="preserve"> optimization</w:t>
      </w:r>
      <w:r w:rsidRPr="007F4690">
        <w:t xml:space="preserve"> mechanisms</w:t>
      </w:r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r w:rsidRPr="007F4690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8ACB4F" w14:textId="6D614F4C" w:rsidR="00B75567" w:rsidRDefault="008349F2" w:rsidP="008349F2">
      <w:pPr>
        <w:rPr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r w:rsidR="004F676D">
        <w:rPr>
          <w:color w:val="000000"/>
          <w:lang w:val="en-US" w:eastAsia="ja-JP"/>
        </w:rPr>
        <w:t xml:space="preserve">the </w:t>
      </w:r>
      <w:r w:rsidR="00C32061">
        <w:rPr>
          <w:color w:val="000000"/>
          <w:lang w:val="en-US" w:eastAsia="ja-JP"/>
        </w:rPr>
        <w:t>optimal usage</w:t>
      </w:r>
      <w:r w:rsidR="00D2794B">
        <w:rPr>
          <w:color w:val="000000"/>
          <w:lang w:val="en-US" w:eastAsia="ja-JP"/>
        </w:rPr>
        <w:t xml:space="preserve"> of CDDL specification in CT1 including </w:t>
      </w:r>
      <w:r w:rsidR="004F676D">
        <w:rPr>
          <w:color w:val="000000"/>
          <w:lang w:val="en-US" w:eastAsia="ja-JP"/>
        </w:rPr>
        <w:t>naming conventions and extensibility</w:t>
      </w:r>
      <w:r w:rsidR="00D2794B">
        <w:rPr>
          <w:color w:val="000000"/>
          <w:lang w:val="en-US" w:eastAsia="ja-JP"/>
        </w:rPr>
        <w:t xml:space="preserve"> </w:t>
      </w:r>
      <w:r w:rsidR="00C32061">
        <w:rPr>
          <w:color w:val="000000"/>
          <w:lang w:val="en-US" w:eastAsia="ja-JP"/>
        </w:rPr>
        <w:t>features</w:t>
      </w:r>
      <w:r w:rsidR="00D2794B">
        <w:rPr>
          <w:color w:val="000000"/>
          <w:lang w:val="en-US" w:eastAsia="ja-JP"/>
        </w:rPr>
        <w:t xml:space="preserve"> in 6G.</w:t>
      </w:r>
      <w:r w:rsidR="0027324E">
        <w:rPr>
          <w:color w:val="000000"/>
          <w:lang w:val="en-US" w:eastAsia="ja-JP"/>
        </w:rPr>
        <w:t xml:space="preserve"> The </w:t>
      </w:r>
      <w:r w:rsidR="003B107F">
        <w:rPr>
          <w:color w:val="000000"/>
          <w:lang w:val="en-US" w:eastAsia="ja-JP"/>
        </w:rPr>
        <w:t xml:space="preserve">optimal usage of </w:t>
      </w:r>
      <w:r w:rsidR="0027324E">
        <w:rPr>
          <w:color w:val="000000"/>
          <w:lang w:val="en-US" w:eastAsia="ja-JP"/>
        </w:rPr>
        <w:t xml:space="preserve">CDDL specification aspects </w:t>
      </w:r>
      <w:r w:rsidR="00CC2257">
        <w:rPr>
          <w:color w:val="000000"/>
          <w:lang w:val="en-US" w:eastAsia="ja-JP"/>
        </w:rPr>
        <w:t>does</w:t>
      </w:r>
      <w:r w:rsidR="0027324E">
        <w:rPr>
          <w:color w:val="000000"/>
          <w:lang w:val="en-US" w:eastAsia="ja-JP"/>
        </w:rPr>
        <w:t xml:space="preserve"> not have dependencies on 6G Stage 2 studies.</w:t>
      </w:r>
    </w:p>
    <w:p w14:paraId="5D9F2EFF" w14:textId="77777777" w:rsidR="00B75567" w:rsidRDefault="00B75567" w:rsidP="008349F2">
      <w:pPr>
        <w:rPr>
          <w:color w:val="000000"/>
          <w:lang w:val="en-US" w:eastAsia="ja-JP"/>
        </w:rPr>
      </w:pPr>
    </w:p>
    <w:p w14:paraId="55F203F3" w14:textId="1FDC68A7" w:rsidR="00563C1F" w:rsidRPr="00563C1F" w:rsidRDefault="2B9251DF" w:rsidP="0027324E"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AD8B71C" w14:textId="1FEDB421" w:rsidR="00A07211" w:rsidRPr="00FF42EB" w:rsidRDefault="009B312E" w:rsidP="6F59F314">
      <w:pPr>
        <w:numPr>
          <w:ilvl w:val="0"/>
          <w:numId w:val="11"/>
        </w:numPr>
        <w:rPr>
          <w:i/>
          <w:iCs/>
        </w:rPr>
      </w:pPr>
      <w:r w:rsidRPr="0099667D">
        <w:t xml:space="preserve">Study the </w:t>
      </w:r>
      <w:r w:rsidR="00FE5DFF">
        <w:t>naming conventions for CDDL based on existing naming rules</w:t>
      </w:r>
      <w:r w:rsidR="006774F2">
        <w:t>,</w:t>
      </w:r>
      <w:r w:rsidR="00FE5DFF">
        <w:t xml:space="preserve"> conventions followed in CT1</w:t>
      </w:r>
      <w:r w:rsidR="001970D1">
        <w:t xml:space="preserve"> and as per CDDL naming rules</w:t>
      </w:r>
      <w:r w:rsidR="00FE5DFF">
        <w:t>.</w:t>
      </w:r>
    </w:p>
    <w:p w14:paraId="4B477994" w14:textId="38A8F4EC" w:rsidR="00FF42EB" w:rsidRPr="00B45994" w:rsidRDefault="00FF42EB" w:rsidP="6F59F314">
      <w:pPr>
        <w:numPr>
          <w:ilvl w:val="0"/>
          <w:numId w:val="11"/>
        </w:numPr>
        <w:rPr>
          <w:i/>
          <w:iCs/>
        </w:rPr>
      </w:pPr>
      <w:r>
        <w:t>Study the extensibility</w:t>
      </w:r>
      <w:r w:rsidR="00CC2257">
        <w:t xml:space="preserve"> optimization</w:t>
      </w:r>
      <w:r>
        <w:t xml:space="preserve"> mechanisms for CDDL</w:t>
      </w:r>
      <w:r w:rsidR="00E42E5D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01A3F531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 w:rsidR="004A0EC5" w:rsidRPr="004A0EC5">
              <w:rPr>
                <w:i w:val="0"/>
                <w:iCs/>
              </w:rPr>
              <w:t>optimal usage of CDDL specification for UE-to-network 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11597E0C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2A3F0A">
              <w:rPr>
                <w:i w:val="0"/>
                <w:iCs/>
              </w:rPr>
              <w:t>7</w:t>
            </w:r>
          </w:p>
          <w:p w14:paraId="3CC87817" w14:textId="08085AE0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4CD234E5" w:rsidR="00DF6CE0" w:rsidRPr="001031AD" w:rsidRDefault="001031AD" w:rsidP="001031AD">
            <w:pPr>
              <w:pStyle w:val="Guidance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  <w:lang w:val="en-US"/>
              </w:rPr>
              <w:t xml:space="preserve">Vattaparambil Sudarsan, Sreelakshmi, Ericsson, </w:t>
            </w:r>
            <w:hyperlink r:id="rId16" w:history="1">
              <w:r w:rsidRPr="008702CA">
                <w:rPr>
                  <w:rStyle w:val="Hyperlink"/>
                  <w:i w:val="0"/>
                  <w:iCs/>
                  <w:lang w:val="en-US"/>
                </w:rPr>
                <w:t>sree.vattaparambil.sudarsan@ericsson.com</w:t>
              </w:r>
            </w:hyperlink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05C7BD7" w:rsidR="001E489F" w:rsidRPr="00491010" w:rsidRDefault="00A87DF9" w:rsidP="001E489F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Vattaparambil Sudarsan, Sreelakshmi, </w:t>
      </w:r>
      <w:r w:rsidR="006C10F3">
        <w:rPr>
          <w:i w:val="0"/>
          <w:iCs/>
          <w:lang w:val="en-US"/>
        </w:rPr>
        <w:t xml:space="preserve">Ericsson, </w:t>
      </w:r>
      <w:hyperlink r:id="rId17" w:history="1">
        <w:r w:rsidR="001031AD" w:rsidRPr="008702CA">
          <w:rPr>
            <w:rStyle w:val="Hyperlink"/>
            <w:i w:val="0"/>
            <w:iCs/>
            <w:lang w:val="en-US"/>
          </w:rPr>
          <w:t>sree.vattaparambil.sudarsan@ericsson.com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0AEE" w14:textId="77777777" w:rsidR="001A6941" w:rsidRDefault="001A6941">
      <w:r>
        <w:separator/>
      </w:r>
    </w:p>
  </w:endnote>
  <w:endnote w:type="continuationSeparator" w:id="0">
    <w:p w14:paraId="5BBFCC6A" w14:textId="77777777" w:rsidR="001A6941" w:rsidRDefault="001A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ADBF8" w14:textId="77777777" w:rsidR="001A6941" w:rsidRDefault="001A6941">
      <w:r>
        <w:separator/>
      </w:r>
    </w:p>
  </w:footnote>
  <w:footnote w:type="continuationSeparator" w:id="0">
    <w:p w14:paraId="42150596" w14:textId="77777777" w:rsidR="001A6941" w:rsidRDefault="001A6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44A1"/>
    <w:rsid w:val="0003504B"/>
    <w:rsid w:val="00036975"/>
    <w:rsid w:val="0003771C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C57DD"/>
    <w:rsid w:val="000C583E"/>
    <w:rsid w:val="000D2D27"/>
    <w:rsid w:val="000D3415"/>
    <w:rsid w:val="000D3AD2"/>
    <w:rsid w:val="000D69F2"/>
    <w:rsid w:val="000D6D78"/>
    <w:rsid w:val="000E0429"/>
    <w:rsid w:val="000E0437"/>
    <w:rsid w:val="000E0DB5"/>
    <w:rsid w:val="000E0FC7"/>
    <w:rsid w:val="000F0159"/>
    <w:rsid w:val="000F6E51"/>
    <w:rsid w:val="0010246C"/>
    <w:rsid w:val="00102A24"/>
    <w:rsid w:val="00102FA8"/>
    <w:rsid w:val="001031AD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13A"/>
    <w:rsid w:val="001424CD"/>
    <w:rsid w:val="0014389B"/>
    <w:rsid w:val="0014413C"/>
    <w:rsid w:val="00144660"/>
    <w:rsid w:val="0014674D"/>
    <w:rsid w:val="0015046C"/>
    <w:rsid w:val="00150C36"/>
    <w:rsid w:val="00157F50"/>
    <w:rsid w:val="00157FFB"/>
    <w:rsid w:val="001607AE"/>
    <w:rsid w:val="001629EC"/>
    <w:rsid w:val="00163236"/>
    <w:rsid w:val="00166A1B"/>
    <w:rsid w:val="00167F4A"/>
    <w:rsid w:val="00170EDB"/>
    <w:rsid w:val="0017168B"/>
    <w:rsid w:val="00177564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E14D7"/>
    <w:rsid w:val="001E489F"/>
    <w:rsid w:val="001E6729"/>
    <w:rsid w:val="001F7653"/>
    <w:rsid w:val="00206C46"/>
    <w:rsid w:val="002070CB"/>
    <w:rsid w:val="00210A24"/>
    <w:rsid w:val="00211DE4"/>
    <w:rsid w:val="00212178"/>
    <w:rsid w:val="00214CB6"/>
    <w:rsid w:val="00216619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2D61"/>
    <w:rsid w:val="0027324E"/>
    <w:rsid w:val="00273378"/>
    <w:rsid w:val="00277899"/>
    <w:rsid w:val="00280E9D"/>
    <w:rsid w:val="002835B8"/>
    <w:rsid w:val="002919B7"/>
    <w:rsid w:val="00291EF2"/>
    <w:rsid w:val="00295D61"/>
    <w:rsid w:val="00297C1F"/>
    <w:rsid w:val="002A04F1"/>
    <w:rsid w:val="002A16ED"/>
    <w:rsid w:val="002A20F2"/>
    <w:rsid w:val="002A3F0A"/>
    <w:rsid w:val="002B074C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20536"/>
    <w:rsid w:val="00320A94"/>
    <w:rsid w:val="00325E33"/>
    <w:rsid w:val="003275E6"/>
    <w:rsid w:val="00335610"/>
    <w:rsid w:val="00346403"/>
    <w:rsid w:val="00354553"/>
    <w:rsid w:val="00360B31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61B"/>
    <w:rsid w:val="00430DDB"/>
    <w:rsid w:val="00432048"/>
    <w:rsid w:val="00433829"/>
    <w:rsid w:val="00441B9F"/>
    <w:rsid w:val="00442C65"/>
    <w:rsid w:val="00451122"/>
    <w:rsid w:val="004518DB"/>
    <w:rsid w:val="00455AEC"/>
    <w:rsid w:val="004562FC"/>
    <w:rsid w:val="00457108"/>
    <w:rsid w:val="00474031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53BDE"/>
    <w:rsid w:val="00556F13"/>
    <w:rsid w:val="00562495"/>
    <w:rsid w:val="00563C1F"/>
    <w:rsid w:val="00567093"/>
    <w:rsid w:val="0056730E"/>
    <w:rsid w:val="0057401B"/>
    <w:rsid w:val="00577727"/>
    <w:rsid w:val="005777AF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A18"/>
    <w:rsid w:val="005E32BB"/>
    <w:rsid w:val="005E420E"/>
    <w:rsid w:val="005E4B49"/>
    <w:rsid w:val="005E5BDD"/>
    <w:rsid w:val="005E7235"/>
    <w:rsid w:val="005F041C"/>
    <w:rsid w:val="005F2E94"/>
    <w:rsid w:val="005F369D"/>
    <w:rsid w:val="005F4B34"/>
    <w:rsid w:val="005F7A93"/>
    <w:rsid w:val="00603BF2"/>
    <w:rsid w:val="00610EEA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6DB"/>
    <w:rsid w:val="00665B9B"/>
    <w:rsid w:val="006752D1"/>
    <w:rsid w:val="0067568C"/>
    <w:rsid w:val="0067616E"/>
    <w:rsid w:val="006769BF"/>
    <w:rsid w:val="006774F2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7A1"/>
    <w:rsid w:val="00710142"/>
    <w:rsid w:val="00712E81"/>
    <w:rsid w:val="0071377C"/>
    <w:rsid w:val="00715590"/>
    <w:rsid w:val="007230CA"/>
    <w:rsid w:val="00723919"/>
    <w:rsid w:val="007261D3"/>
    <w:rsid w:val="00733E86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14A8"/>
    <w:rsid w:val="00781A62"/>
    <w:rsid w:val="00781F2F"/>
    <w:rsid w:val="00783C0E"/>
    <w:rsid w:val="007861B8"/>
    <w:rsid w:val="00786810"/>
    <w:rsid w:val="00787383"/>
    <w:rsid w:val="00791B51"/>
    <w:rsid w:val="00795AD1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3C7C"/>
    <w:rsid w:val="007D687A"/>
    <w:rsid w:val="007E1BA0"/>
    <w:rsid w:val="007E3B61"/>
    <w:rsid w:val="007E42EB"/>
    <w:rsid w:val="007E6251"/>
    <w:rsid w:val="007F2297"/>
    <w:rsid w:val="007F55EC"/>
    <w:rsid w:val="007F6574"/>
    <w:rsid w:val="0080182C"/>
    <w:rsid w:val="00822376"/>
    <w:rsid w:val="00823F53"/>
    <w:rsid w:val="00825931"/>
    <w:rsid w:val="00831057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4F67"/>
    <w:rsid w:val="00876BD5"/>
    <w:rsid w:val="00883278"/>
    <w:rsid w:val="00897C84"/>
    <w:rsid w:val="008A06BE"/>
    <w:rsid w:val="008A1BF2"/>
    <w:rsid w:val="008A2B23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B7"/>
    <w:rsid w:val="0091321C"/>
    <w:rsid w:val="00913788"/>
    <w:rsid w:val="0091399A"/>
    <w:rsid w:val="0091780E"/>
    <w:rsid w:val="00917973"/>
    <w:rsid w:val="00922D75"/>
    <w:rsid w:val="009245DD"/>
    <w:rsid w:val="00926791"/>
    <w:rsid w:val="00933BE7"/>
    <w:rsid w:val="00933F5A"/>
    <w:rsid w:val="0093661C"/>
    <w:rsid w:val="00936E66"/>
    <w:rsid w:val="00940736"/>
    <w:rsid w:val="00941253"/>
    <w:rsid w:val="0095038B"/>
    <w:rsid w:val="00950CF7"/>
    <w:rsid w:val="00952220"/>
    <w:rsid w:val="00954B13"/>
    <w:rsid w:val="00956748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6533"/>
    <w:rsid w:val="00996C9F"/>
    <w:rsid w:val="009A0093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50F0"/>
    <w:rsid w:val="009E5DBA"/>
    <w:rsid w:val="009F6047"/>
    <w:rsid w:val="009F79F4"/>
    <w:rsid w:val="00A00CF7"/>
    <w:rsid w:val="00A01729"/>
    <w:rsid w:val="00A019B0"/>
    <w:rsid w:val="00A03D2A"/>
    <w:rsid w:val="00A05242"/>
    <w:rsid w:val="00A07211"/>
    <w:rsid w:val="00A10ADB"/>
    <w:rsid w:val="00A12B6D"/>
    <w:rsid w:val="00A144AB"/>
    <w:rsid w:val="00A151A1"/>
    <w:rsid w:val="00A17F01"/>
    <w:rsid w:val="00A24557"/>
    <w:rsid w:val="00A248B2"/>
    <w:rsid w:val="00A267D7"/>
    <w:rsid w:val="00A27A64"/>
    <w:rsid w:val="00A27B44"/>
    <w:rsid w:val="00A2FBE8"/>
    <w:rsid w:val="00A32332"/>
    <w:rsid w:val="00A3630E"/>
    <w:rsid w:val="00A37F80"/>
    <w:rsid w:val="00A43ACB"/>
    <w:rsid w:val="00A469F5"/>
    <w:rsid w:val="00A46B3F"/>
    <w:rsid w:val="00A46F30"/>
    <w:rsid w:val="00A529F5"/>
    <w:rsid w:val="00A52E93"/>
    <w:rsid w:val="00A54F77"/>
    <w:rsid w:val="00A553F8"/>
    <w:rsid w:val="00A56A2D"/>
    <w:rsid w:val="00A61169"/>
    <w:rsid w:val="00A63024"/>
    <w:rsid w:val="00A65602"/>
    <w:rsid w:val="00A733D3"/>
    <w:rsid w:val="00A75BC0"/>
    <w:rsid w:val="00A810C4"/>
    <w:rsid w:val="00A81D43"/>
    <w:rsid w:val="00A82FCC"/>
    <w:rsid w:val="00A8479D"/>
    <w:rsid w:val="00A86648"/>
    <w:rsid w:val="00A87044"/>
    <w:rsid w:val="00A87DF9"/>
    <w:rsid w:val="00A906A4"/>
    <w:rsid w:val="00A922AE"/>
    <w:rsid w:val="00A97953"/>
    <w:rsid w:val="00AA0FEB"/>
    <w:rsid w:val="00AA2723"/>
    <w:rsid w:val="00AA2E24"/>
    <w:rsid w:val="00AA4873"/>
    <w:rsid w:val="00AA574E"/>
    <w:rsid w:val="00AA7065"/>
    <w:rsid w:val="00AB2CED"/>
    <w:rsid w:val="00AB4411"/>
    <w:rsid w:val="00AB5D71"/>
    <w:rsid w:val="00AB6990"/>
    <w:rsid w:val="00AC6077"/>
    <w:rsid w:val="00AD324E"/>
    <w:rsid w:val="00AD5B51"/>
    <w:rsid w:val="00AD7B78"/>
    <w:rsid w:val="00AF03B5"/>
    <w:rsid w:val="00AF4118"/>
    <w:rsid w:val="00B00077"/>
    <w:rsid w:val="00B03107"/>
    <w:rsid w:val="00B10820"/>
    <w:rsid w:val="00B1191C"/>
    <w:rsid w:val="00B16603"/>
    <w:rsid w:val="00B16E03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2AFB"/>
    <w:rsid w:val="00B5386C"/>
    <w:rsid w:val="00B5557E"/>
    <w:rsid w:val="00B60E07"/>
    <w:rsid w:val="00B61378"/>
    <w:rsid w:val="00B63284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46C7"/>
    <w:rsid w:val="00BA4DA4"/>
    <w:rsid w:val="00BA758F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E5A51"/>
    <w:rsid w:val="00BF0A84"/>
    <w:rsid w:val="00BF1AEA"/>
    <w:rsid w:val="00BF4326"/>
    <w:rsid w:val="00C03706"/>
    <w:rsid w:val="00C03F46"/>
    <w:rsid w:val="00C05598"/>
    <w:rsid w:val="00C159BC"/>
    <w:rsid w:val="00C15A54"/>
    <w:rsid w:val="00C21DBA"/>
    <w:rsid w:val="00C2214E"/>
    <w:rsid w:val="00C245F1"/>
    <w:rsid w:val="00C247CD"/>
    <w:rsid w:val="00C25008"/>
    <w:rsid w:val="00C2519B"/>
    <w:rsid w:val="00C278EB"/>
    <w:rsid w:val="00C32061"/>
    <w:rsid w:val="00C3703F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567D"/>
    <w:rsid w:val="00C56C15"/>
    <w:rsid w:val="00C63032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B5C"/>
    <w:rsid w:val="00C906DA"/>
    <w:rsid w:val="00C90F1C"/>
    <w:rsid w:val="00C946B7"/>
    <w:rsid w:val="00CA0FFA"/>
    <w:rsid w:val="00CA2B4F"/>
    <w:rsid w:val="00CA5DB0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794B"/>
    <w:rsid w:val="00D329A3"/>
    <w:rsid w:val="00D355FB"/>
    <w:rsid w:val="00D35D84"/>
    <w:rsid w:val="00D370F0"/>
    <w:rsid w:val="00D43C0B"/>
    <w:rsid w:val="00D43C16"/>
    <w:rsid w:val="00D44A74"/>
    <w:rsid w:val="00D57CD2"/>
    <w:rsid w:val="00D57E66"/>
    <w:rsid w:val="00D61B47"/>
    <w:rsid w:val="00D63C29"/>
    <w:rsid w:val="00D72AC6"/>
    <w:rsid w:val="00D73350"/>
    <w:rsid w:val="00D7779D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B27B2"/>
    <w:rsid w:val="00DB521B"/>
    <w:rsid w:val="00DC0F52"/>
    <w:rsid w:val="00DC2200"/>
    <w:rsid w:val="00DC4726"/>
    <w:rsid w:val="00DC6031"/>
    <w:rsid w:val="00DD0AAB"/>
    <w:rsid w:val="00DD3C66"/>
    <w:rsid w:val="00DD40D2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60B3"/>
    <w:rsid w:val="00E873B6"/>
    <w:rsid w:val="00E97A59"/>
    <w:rsid w:val="00EA57F5"/>
    <w:rsid w:val="00EA662E"/>
    <w:rsid w:val="00EA7F9F"/>
    <w:rsid w:val="00EB07E4"/>
    <w:rsid w:val="00EB5D2F"/>
    <w:rsid w:val="00EB6006"/>
    <w:rsid w:val="00EB64D7"/>
    <w:rsid w:val="00EC001B"/>
    <w:rsid w:val="00EC10EC"/>
    <w:rsid w:val="00EC456C"/>
    <w:rsid w:val="00ED166C"/>
    <w:rsid w:val="00ED417F"/>
    <w:rsid w:val="00ED53F8"/>
    <w:rsid w:val="00ED5FA6"/>
    <w:rsid w:val="00ED6080"/>
    <w:rsid w:val="00EE0176"/>
    <w:rsid w:val="00EE31FA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6433"/>
    <w:rsid w:val="00F0751E"/>
    <w:rsid w:val="00F15D08"/>
    <w:rsid w:val="00F2411F"/>
    <w:rsid w:val="00F25C4C"/>
    <w:rsid w:val="00F26AD1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7365"/>
    <w:rsid w:val="00FA79A7"/>
    <w:rsid w:val="00FB0F63"/>
    <w:rsid w:val="00FB1426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ree.vattaparambil.sudarsa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ree.vattaparambil.sudars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524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3903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Sree Vattaparambil Sudarsan</cp:lastModifiedBy>
  <cp:revision>73</cp:revision>
  <cp:lastPrinted>2001-04-23T18:30:00Z</cp:lastPrinted>
  <dcterms:created xsi:type="dcterms:W3CDTF">2025-09-25T21:19:00Z</dcterms:created>
  <dcterms:modified xsi:type="dcterms:W3CDTF">2025-10-03T15:00:00Z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