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CP-253140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 RedCap UE with long eDRX for RRC_INACTIVE State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18.19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EDRX and PTW for eRedcap subscriptions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C4-255352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Verizon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NR_REDCAP_Ph2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EDRX and PTW for eRedcap subscriptions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C4-255353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Verizon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NR_REDCAP_Ph2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CP-253140</vt:lpwstr>
  </property>
  <property fmtid="{D5CDD505-2E9C-101B-9397-08002B2CF9AE}" pid="19" name="CrpackTitle">
    <vt:lpwstr>CR Pack on NR RedCap UE with long eDRX for RRC_INACTIVE State</vt:lpwstr>
  </property>
  <property fmtid="{D5CDD505-2E9C-101B-9397-08002B2CF9AE}" pid="20" name="Agenda#">
    <vt:lpwstr>18.19</vt:lpwstr>
  </property>
  <property fmtid="{D5CDD505-2E9C-101B-9397-08002B2CF9AE}" pid="21" name="Source">
    <vt:lpwstr>CT4</vt:lpwstr>
  </property>
</Properties>
</file>