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297ED" w14:textId="77777777" w:rsidR="009F1E6D" w:rsidRPr="00161B8F" w:rsidRDefault="009F1E6D" w:rsidP="009F1E6D">
      <w:pPr>
        <w:pStyle w:val="Header"/>
        <w:tabs>
          <w:tab w:val="right" w:pos="9639"/>
        </w:tabs>
        <w:rPr>
          <w:i/>
          <w:noProof w:val="0"/>
          <w:sz w:val="28"/>
          <w:lang w:eastAsia="ja-JP"/>
        </w:rPr>
      </w:pPr>
      <w:bookmarkStart w:id="0" w:name="_GoBack"/>
      <w:bookmarkEnd w:id="0"/>
      <w:r>
        <w:rPr>
          <w:noProof w:val="0"/>
          <w:sz w:val="24"/>
        </w:rPr>
        <w:t>3GPP TSG-RAN</w:t>
      </w:r>
      <w:r w:rsidR="00516AD2">
        <w:rPr>
          <w:noProof w:val="0"/>
          <w:sz w:val="24"/>
        </w:rPr>
        <w:t>4 #78</w:t>
      </w:r>
      <w:r w:rsidRPr="00161B8F">
        <w:rPr>
          <w:noProof w:val="0"/>
          <w:sz w:val="24"/>
        </w:rPr>
        <w:tab/>
      </w:r>
      <w:r w:rsidR="00B768B9">
        <w:rPr>
          <w:i/>
          <w:noProof w:val="0"/>
          <w:sz w:val="28"/>
        </w:rPr>
        <w:t>R</w:t>
      </w:r>
      <w:r w:rsidR="00516AD2">
        <w:rPr>
          <w:i/>
          <w:noProof w:val="0"/>
          <w:sz w:val="28"/>
        </w:rPr>
        <w:t>4</w:t>
      </w:r>
      <w:r w:rsidR="00B768B9">
        <w:rPr>
          <w:i/>
          <w:noProof w:val="0"/>
          <w:sz w:val="28"/>
        </w:rPr>
        <w:t>-16</w:t>
      </w:r>
      <w:r w:rsidR="00516AD2">
        <w:rPr>
          <w:i/>
          <w:noProof w:val="0"/>
          <w:sz w:val="28"/>
        </w:rPr>
        <w:t>0004</w:t>
      </w:r>
    </w:p>
    <w:p w14:paraId="328B3318" w14:textId="77777777" w:rsidR="009F1E6D" w:rsidRPr="00161B8F" w:rsidRDefault="00516AD2" w:rsidP="009F1E6D">
      <w:pPr>
        <w:pStyle w:val="Header"/>
        <w:tabs>
          <w:tab w:val="right" w:pos="10206"/>
        </w:tabs>
        <w:rPr>
          <w:noProof w:val="0"/>
          <w:sz w:val="24"/>
        </w:rPr>
      </w:pPr>
      <w:r>
        <w:rPr>
          <w:noProof w:val="0"/>
          <w:sz w:val="24"/>
          <w:lang w:eastAsia="ja-JP"/>
        </w:rPr>
        <w:t>Malta, 15-19 February 2016</w:t>
      </w:r>
    </w:p>
    <w:p w14:paraId="2133EAF3" w14:textId="77777777" w:rsidR="009F1E6D" w:rsidRPr="00161B8F" w:rsidRDefault="009F1E6D" w:rsidP="009F1E6D">
      <w:pPr>
        <w:pStyle w:val="RecCCITT"/>
        <w:keepNext w:val="0"/>
        <w:keepLines w:val="0"/>
        <w:rPr>
          <w:rFonts w:ascii="Arial" w:hAnsi="Arial"/>
        </w:rPr>
      </w:pPr>
    </w:p>
    <w:p w14:paraId="5FC92DD7" w14:textId="77777777"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516AD2">
        <w:rPr>
          <w:rFonts w:ascii="Arial" w:hAnsi="Arial"/>
          <w:sz w:val="24"/>
        </w:rPr>
        <w:t>Sprint</w:t>
      </w:r>
    </w:p>
    <w:p w14:paraId="43F06879" w14:textId="77777777" w:rsidR="009F1E6D" w:rsidRPr="00112836" w:rsidRDefault="009F1E6D" w:rsidP="009F1E6D">
      <w:pPr>
        <w:pStyle w:val="BodyTextIndent"/>
        <w:rPr>
          <w:b w:val="0"/>
        </w:rPr>
      </w:pPr>
      <w:r w:rsidRPr="00161B8F">
        <w:t xml:space="preserve">Title: </w:t>
      </w:r>
      <w:r w:rsidRPr="00161B8F">
        <w:tab/>
      </w:r>
      <w:r w:rsidR="00AC4B6F" w:rsidRPr="00112836">
        <w:rPr>
          <w:b w:val="0"/>
        </w:rPr>
        <w:t>HPUE Handover Parameter Optimization</w:t>
      </w:r>
    </w:p>
    <w:p w14:paraId="78E4BBDA" w14:textId="77777777"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AC4B6F">
        <w:rPr>
          <w:rFonts w:ascii="Arial" w:hAnsi="Arial"/>
          <w:sz w:val="24"/>
        </w:rPr>
        <w:t>9.1</w:t>
      </w:r>
    </w:p>
    <w:p w14:paraId="7A07887D" w14:textId="77777777"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w:t>
      </w:r>
    </w:p>
    <w:p w14:paraId="0E0C0BA4" w14:textId="77777777" w:rsidR="00161A8F" w:rsidRPr="00161B8F" w:rsidRDefault="00161A8F">
      <w:pPr>
        <w:tabs>
          <w:tab w:val="left" w:pos="2127"/>
        </w:tabs>
        <w:spacing w:before="120"/>
        <w:rPr>
          <w:rFonts w:ascii="Arial" w:hAnsi="Arial"/>
          <w:b/>
          <w:sz w:val="24"/>
          <w:lang w:eastAsia="ja-JP"/>
        </w:rPr>
      </w:pPr>
    </w:p>
    <w:p w14:paraId="7F27392A" w14:textId="77777777" w:rsidR="004A1618" w:rsidRDefault="00161A8F" w:rsidP="004A1618">
      <w:pPr>
        <w:pStyle w:val="Heading1"/>
      </w:pPr>
      <w:bookmarkStart w:id="1" w:name="_Ref273610094"/>
      <w:r w:rsidRPr="00161B8F">
        <w:t>Introduction</w:t>
      </w:r>
      <w:bookmarkEnd w:id="1"/>
    </w:p>
    <w:p w14:paraId="1EC8EF01" w14:textId="41FD4976" w:rsidR="00CC086A" w:rsidRPr="00112836" w:rsidRDefault="001E3A7E" w:rsidP="00112836">
      <w:r w:rsidRPr="001E3A7E">
        <w:t xml:space="preserve">In detailed investigations into the HPUE SID, the potential impacts to handover of having a network where there may be different power class devices operating within the same network was reviewed. It was realized that connected mode handover may </w:t>
      </w:r>
      <w:r w:rsidR="00FA4608">
        <w:t>benefit from</w:t>
      </w:r>
      <w:r w:rsidR="00FA4608" w:rsidRPr="001E3A7E">
        <w:t xml:space="preserve"> </w:t>
      </w:r>
      <w:r w:rsidRPr="001E3A7E">
        <w:t xml:space="preserve">further optimization of parameters to </w:t>
      </w:r>
      <w:r w:rsidR="00FA4608">
        <w:t>enable</w:t>
      </w:r>
      <w:r w:rsidRPr="001E3A7E">
        <w:t xml:space="preserve"> the most advantageous expansion of the eNB coverage. This contribution will discuss the handover process and will then propose a simple solution of establishing a new information element for the UE to report its power class to the eNB.</w:t>
      </w:r>
    </w:p>
    <w:p w14:paraId="1D85BED3" w14:textId="77777777" w:rsidR="00894F1F" w:rsidRDefault="00F22535" w:rsidP="00894F1F">
      <w:pPr>
        <w:pStyle w:val="Heading1"/>
        <w:rPr>
          <w:rFonts w:eastAsia="SimSun"/>
          <w:lang w:val="en-US" w:eastAsia="zh-CN"/>
        </w:rPr>
      </w:pPr>
      <w:r>
        <w:rPr>
          <w:rFonts w:eastAsia="SimSun"/>
          <w:lang w:val="en-US" w:eastAsia="zh-CN"/>
        </w:rPr>
        <w:t>Details</w:t>
      </w:r>
    </w:p>
    <w:p w14:paraId="2EF666BE" w14:textId="77777777" w:rsidR="007C3ED1" w:rsidRPr="007C3ED1" w:rsidRDefault="007C3ED1" w:rsidP="007C3ED1">
      <w:pPr>
        <w:rPr>
          <w:lang w:val="en-US" w:eastAsia="zh-CN"/>
        </w:rPr>
      </w:pPr>
      <w:r w:rsidRPr="007C3ED1">
        <w:rPr>
          <w:lang w:val="en-US" w:eastAsia="zh-CN"/>
        </w:rPr>
        <w:t>The Idle Mode Cell Selection and Reselection procedures specified in TS 36.304 include a mechanism, P</w:t>
      </w:r>
      <w:r w:rsidRPr="00C8576C">
        <w:rPr>
          <w:vertAlign w:val="subscript"/>
          <w:lang w:val="en-US" w:eastAsia="zh-CN"/>
        </w:rPr>
        <w:t>compensation</w:t>
      </w:r>
      <w:r w:rsidRPr="007C3ED1">
        <w:rPr>
          <w:lang w:val="en-US" w:eastAsia="zh-CN"/>
        </w:rPr>
        <w:t xml:space="preserve">, to account for the differences in UL transmit power between different power classes of UEs.  This mechanisms allows an HPUE to utilize greater coverage, without affecting the coverage of Power Class 3 UEs.  However, inter-cell mobility in RRC Connected Mode is controlled by the eNB, using information on UE radio conditions provided by Measurement Reports and other signaling.  In order for the higher UL power capability of the HPUE to be considered in connected mode mobility, the eNB must know </w:t>
      </w:r>
      <w:r>
        <w:rPr>
          <w:lang w:val="en-US" w:eastAsia="zh-CN"/>
        </w:rPr>
        <w:t>the power capability of the UE.</w:t>
      </w:r>
    </w:p>
    <w:p w14:paraId="3DD04271" w14:textId="77777777" w:rsidR="008740B4" w:rsidRDefault="007C3ED1" w:rsidP="007C3ED1">
      <w:pPr>
        <w:rPr>
          <w:lang w:val="en-US" w:eastAsia="zh-CN"/>
        </w:rPr>
      </w:pPr>
      <w:r w:rsidRPr="007C3ED1">
        <w:rPr>
          <w:lang w:val="en-US" w:eastAsia="zh-CN"/>
        </w:rPr>
        <w:t>Having UE power capability information at the E-UTRAN would be particularly useful for connected mode mobility between cells of different bands, for which the UE may support different power classes.  For example, an eNB implementation might configure a Measurement Event using an RSRP trigger for a handover from a serving cell in Ba</w:t>
      </w:r>
      <w:r w:rsidR="00866FC8">
        <w:rPr>
          <w:lang w:val="en-US" w:eastAsia="zh-CN"/>
        </w:rPr>
        <w:t xml:space="preserve">nd X to a target cell in Band Y. </w:t>
      </w:r>
      <w:r w:rsidR="008740B4">
        <w:rPr>
          <w:lang w:val="en-US" w:eastAsia="zh-CN"/>
        </w:rPr>
        <w:t>Figure 1</w:t>
      </w:r>
      <w:r w:rsidR="00866FC8">
        <w:rPr>
          <w:lang w:val="en-US" w:eastAsia="zh-CN"/>
        </w:rPr>
        <w:t xml:space="preserve"> shows that currently these events would all be clustered at the same points regardless of the UE power class</w:t>
      </w:r>
    </w:p>
    <w:p w14:paraId="7991C476" w14:textId="6922E4C9" w:rsidR="008740B4" w:rsidRDefault="00A75DF3" w:rsidP="00C8576C">
      <w:pPr>
        <w:keepNext/>
      </w:pPr>
      <w:r>
        <w:rPr>
          <w:noProof/>
          <w:lang w:val="en-US"/>
        </w:rPr>
        <w:drawing>
          <wp:inline distT="0" distB="0" distL="0" distR="0" wp14:anchorId="5F5F863C" wp14:editId="162BE2DA">
            <wp:extent cx="6633342" cy="155275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56717" cy="1558227"/>
                    </a:xfrm>
                    <a:prstGeom prst="rect">
                      <a:avLst/>
                    </a:prstGeom>
                    <a:noFill/>
                  </pic:spPr>
                </pic:pic>
              </a:graphicData>
            </a:graphic>
          </wp:inline>
        </w:drawing>
      </w:r>
    </w:p>
    <w:p w14:paraId="682AD3C8" w14:textId="77777777" w:rsidR="008740B4" w:rsidRDefault="008740B4" w:rsidP="00C8576C">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p>
    <w:p w14:paraId="4E0B95AB" w14:textId="77777777" w:rsidR="00EA6FA3" w:rsidRDefault="00EA6FA3">
      <w:pPr>
        <w:spacing w:after="0"/>
        <w:rPr>
          <w:lang w:val="en-US" w:eastAsia="zh-CN"/>
        </w:rPr>
      </w:pPr>
      <w:r>
        <w:rPr>
          <w:lang w:val="en-US" w:eastAsia="zh-CN"/>
        </w:rPr>
        <w:br w:type="page"/>
      </w:r>
    </w:p>
    <w:p w14:paraId="2D799E2F" w14:textId="77777777" w:rsidR="008740B4" w:rsidRDefault="008740B4" w:rsidP="007C3ED1">
      <w:pPr>
        <w:rPr>
          <w:lang w:val="en-US" w:eastAsia="zh-CN"/>
        </w:rPr>
      </w:pPr>
    </w:p>
    <w:p w14:paraId="2DB63B7B" w14:textId="77777777" w:rsidR="007C3ED1" w:rsidRDefault="007C3ED1" w:rsidP="007C3ED1">
      <w:pPr>
        <w:rPr>
          <w:lang w:val="en-US" w:eastAsia="zh-CN"/>
        </w:rPr>
      </w:pPr>
      <w:r w:rsidRPr="007C3ED1">
        <w:rPr>
          <w:lang w:val="en-US" w:eastAsia="zh-CN"/>
        </w:rPr>
        <w:t>The operator may wish to take the UE’s power capabilities into account in the determination of the threshold RSRP values to be used in the Measurement configuration – allowing a Band X HPUE to remain on the Band X cell at lower RSR</w:t>
      </w:r>
      <w:r w:rsidR="008740B4">
        <w:rPr>
          <w:lang w:val="en-US" w:eastAsia="zh-CN"/>
        </w:rPr>
        <w:t>P than a Power Class 3 UE would as shown in Figure 2.</w:t>
      </w:r>
    </w:p>
    <w:p w14:paraId="43149F52" w14:textId="739B8FCC" w:rsidR="008740B4" w:rsidRDefault="00A75DF3" w:rsidP="00C8576C">
      <w:pPr>
        <w:keepNext/>
      </w:pPr>
      <w:r>
        <w:rPr>
          <w:noProof/>
          <w:lang w:val="en-US"/>
        </w:rPr>
        <w:drawing>
          <wp:inline distT="0" distB="0" distL="0" distR="0" wp14:anchorId="638C21C0" wp14:editId="3FEFCD39">
            <wp:extent cx="6696542" cy="15675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41908" cy="1578217"/>
                    </a:xfrm>
                    <a:prstGeom prst="rect">
                      <a:avLst/>
                    </a:prstGeom>
                    <a:noFill/>
                  </pic:spPr>
                </pic:pic>
              </a:graphicData>
            </a:graphic>
          </wp:inline>
        </w:drawing>
      </w:r>
    </w:p>
    <w:p w14:paraId="0930EB21" w14:textId="77777777" w:rsidR="008740B4" w:rsidRDefault="008740B4" w:rsidP="00C8576C">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14:paraId="34B8F867" w14:textId="77777777" w:rsidR="008740B4" w:rsidRPr="00C8576C" w:rsidRDefault="008740B4" w:rsidP="00EA6FA3"/>
    <w:p w14:paraId="371E4FBA" w14:textId="77777777" w:rsidR="007C3ED1" w:rsidRDefault="007C3ED1" w:rsidP="007C3ED1">
      <w:pPr>
        <w:rPr>
          <w:lang w:val="en-US" w:eastAsia="zh-CN"/>
        </w:rPr>
      </w:pPr>
      <w:r w:rsidRPr="007C3ED1">
        <w:rPr>
          <w:lang w:val="en-US" w:eastAsia="zh-CN"/>
        </w:rPr>
        <w:t>In addition, there may be other areas for potential optimization for which UE power capability information would be useful, such as sche</w:t>
      </w:r>
      <w:r>
        <w:rPr>
          <w:lang w:val="en-US" w:eastAsia="zh-CN"/>
        </w:rPr>
        <w:t>duling and resource allocation.</w:t>
      </w:r>
    </w:p>
    <w:p w14:paraId="20E550EA" w14:textId="77777777" w:rsidR="00866FC8" w:rsidRDefault="000B7D8C" w:rsidP="007C3ED1">
      <w:pPr>
        <w:rPr>
          <w:lang w:val="en-US" w:eastAsia="zh-CN"/>
        </w:rPr>
      </w:pPr>
      <w:r>
        <w:rPr>
          <w:lang w:val="en-US" w:eastAsia="zh-CN"/>
        </w:rPr>
        <w:t>Not having the ability for the network to know the power class of the UE will not prevent some</w:t>
      </w:r>
      <w:r w:rsidR="00866FC8">
        <w:rPr>
          <w:lang w:val="en-US" w:eastAsia="zh-CN"/>
        </w:rPr>
        <w:t xml:space="preserve"> improvement to UL coverage</w:t>
      </w:r>
      <w:r>
        <w:rPr>
          <w:lang w:val="en-US" w:eastAsia="zh-CN"/>
        </w:rPr>
        <w:t xml:space="preserve">. But </w:t>
      </w:r>
      <w:r w:rsidR="00866FC8">
        <w:rPr>
          <w:lang w:val="en-US" w:eastAsia="zh-CN"/>
        </w:rPr>
        <w:t>without this change</w:t>
      </w:r>
      <w:r>
        <w:rPr>
          <w:lang w:val="en-US" w:eastAsia="zh-CN"/>
        </w:rPr>
        <w:t>,</w:t>
      </w:r>
      <w:r w:rsidR="00866FC8">
        <w:rPr>
          <w:lang w:val="en-US" w:eastAsia="zh-CN"/>
        </w:rPr>
        <w:t xml:space="preserve"> the full benefits of HPUE will be difficult to realize within a system that has deployed multi-powerclass UEs. </w:t>
      </w:r>
    </w:p>
    <w:p w14:paraId="185DD948" w14:textId="77777777" w:rsidR="000631FE" w:rsidRPr="00C8576C" w:rsidRDefault="000631FE" w:rsidP="00C8576C">
      <w:pPr>
        <w:pStyle w:val="Heading1"/>
        <w:rPr>
          <w:rFonts w:eastAsia="SimSun"/>
          <w:lang w:val="en-US" w:eastAsia="zh-CN"/>
        </w:rPr>
      </w:pPr>
      <w:r>
        <w:rPr>
          <w:rFonts w:eastAsia="SimSun"/>
          <w:lang w:val="en-US" w:eastAsia="zh-CN"/>
        </w:rPr>
        <w:t>Conclusions</w:t>
      </w:r>
    </w:p>
    <w:p w14:paraId="63656271" w14:textId="77777777" w:rsidR="00F22535" w:rsidRDefault="007C3ED1" w:rsidP="007C3ED1">
      <w:pPr>
        <w:rPr>
          <w:lang w:val="en-US" w:eastAsia="zh-CN"/>
        </w:rPr>
      </w:pPr>
      <w:r w:rsidRPr="007C3ED1">
        <w:rPr>
          <w:lang w:val="en-US" w:eastAsia="zh-CN"/>
        </w:rPr>
        <w:t>For these reasons, it is proposed that an IE be added to UE Capability information to allow UE to communicate its Power Class to the E-UTRAN.  This IE could be located in the BandParametersUL IE within the BandCombinationParameters structure.  This location would allow the PowerClass information to be reported separately for each Band and for each Band Combination, allowing UE OEMs flexibility in which CA Band Combinations could be supported with which Power Class.</w:t>
      </w:r>
    </w:p>
    <w:p w14:paraId="437E673C" w14:textId="10BF035C" w:rsidR="000631FE" w:rsidRPr="00112836" w:rsidRDefault="00364DB1" w:rsidP="007C3ED1">
      <w:pPr>
        <w:rPr>
          <w:lang w:val="en-US" w:eastAsia="zh-CN"/>
        </w:rPr>
      </w:pPr>
      <w:r>
        <w:rPr>
          <w:lang w:val="en-US" w:eastAsia="zh-CN"/>
        </w:rPr>
        <w:t>T</w:t>
      </w:r>
      <w:r w:rsidR="005E0C05">
        <w:rPr>
          <w:lang w:val="en-US" w:eastAsia="zh-CN"/>
        </w:rPr>
        <w:t>his proposal was not originally anticipated by the SID because previously other power clas</w:t>
      </w:r>
      <w:r w:rsidR="000B7D8C">
        <w:rPr>
          <w:lang w:val="en-US" w:eastAsia="zh-CN"/>
        </w:rPr>
        <w:t>s ha</w:t>
      </w:r>
      <w:r>
        <w:rPr>
          <w:lang w:val="en-US" w:eastAsia="zh-CN"/>
        </w:rPr>
        <w:t>ve</w:t>
      </w:r>
      <w:r w:rsidR="000B7D8C">
        <w:rPr>
          <w:lang w:val="en-US" w:eastAsia="zh-CN"/>
        </w:rPr>
        <w:t xml:space="preserve"> been standardized and it had been thought such a matter would have been addressed by those WIDs. </w:t>
      </w:r>
      <w:r>
        <w:rPr>
          <w:lang w:val="en-US" w:eastAsia="zh-CN"/>
        </w:rPr>
        <w:t>Therefore, i</w:t>
      </w:r>
      <w:r w:rsidR="005E0C05">
        <w:rPr>
          <w:lang w:val="en-US" w:eastAsia="zh-CN"/>
        </w:rPr>
        <w:t xml:space="preserve">t is </w:t>
      </w:r>
      <w:r>
        <w:rPr>
          <w:lang w:val="en-US" w:eastAsia="zh-CN"/>
        </w:rPr>
        <w:t>further</w:t>
      </w:r>
      <w:r w:rsidR="005E0C05">
        <w:rPr>
          <w:lang w:val="en-US" w:eastAsia="zh-CN"/>
        </w:rPr>
        <w:t xml:space="preserve"> proposed that RAN4 notify RAN2 of this </w:t>
      </w:r>
      <w:r w:rsidR="000B7D8C">
        <w:rPr>
          <w:lang w:val="en-US" w:eastAsia="zh-CN"/>
        </w:rPr>
        <w:t xml:space="preserve">HO </w:t>
      </w:r>
      <w:r w:rsidR="005E0C05">
        <w:rPr>
          <w:lang w:val="en-US" w:eastAsia="zh-CN"/>
        </w:rPr>
        <w:t xml:space="preserve">optimization </w:t>
      </w:r>
      <w:r w:rsidR="000B7D8C">
        <w:rPr>
          <w:lang w:val="en-US" w:eastAsia="zh-CN"/>
        </w:rPr>
        <w:t>proposal that</w:t>
      </w:r>
      <w:r w:rsidR="005E0C05">
        <w:rPr>
          <w:lang w:val="en-US" w:eastAsia="zh-CN"/>
        </w:rPr>
        <w:t xml:space="preserve"> require</w:t>
      </w:r>
      <w:r w:rsidR="000B7D8C">
        <w:rPr>
          <w:lang w:val="en-US" w:eastAsia="zh-CN"/>
        </w:rPr>
        <w:t>s</w:t>
      </w:r>
      <w:r w:rsidR="005E0C05">
        <w:rPr>
          <w:lang w:val="en-US" w:eastAsia="zh-CN"/>
        </w:rPr>
        <w:t xml:space="preserve"> a new IE</w:t>
      </w:r>
      <w:r w:rsidR="000B7D8C">
        <w:rPr>
          <w:lang w:val="en-US" w:eastAsia="zh-CN"/>
        </w:rPr>
        <w:t>. RAN2 should</w:t>
      </w:r>
      <w:r w:rsidR="005E0C05">
        <w:rPr>
          <w:lang w:val="en-US" w:eastAsia="zh-CN"/>
        </w:rPr>
        <w:t xml:space="preserve"> </w:t>
      </w:r>
      <w:r w:rsidR="000B7D8C">
        <w:rPr>
          <w:lang w:val="en-US" w:eastAsia="zh-CN"/>
        </w:rPr>
        <w:t>review this</w:t>
      </w:r>
      <w:r w:rsidR="005E0C05">
        <w:rPr>
          <w:lang w:val="en-US" w:eastAsia="zh-CN"/>
        </w:rPr>
        <w:t xml:space="preserve"> proposal</w:t>
      </w:r>
      <w:r w:rsidR="000B7D8C">
        <w:rPr>
          <w:lang w:val="en-US" w:eastAsia="zh-CN"/>
        </w:rPr>
        <w:t xml:space="preserve"> and respond back to RAN4 on the feasibility, timeline and effort it would take to implement the change to their specification</w:t>
      </w:r>
      <w:r w:rsidR="005E0C05">
        <w:rPr>
          <w:lang w:val="en-US" w:eastAsia="zh-CN"/>
        </w:rPr>
        <w:t xml:space="preserve">. </w:t>
      </w:r>
      <w:r>
        <w:rPr>
          <w:lang w:val="en-US" w:eastAsia="zh-CN"/>
        </w:rPr>
        <w:t>It is a</w:t>
      </w:r>
      <w:r w:rsidR="005E0C05">
        <w:rPr>
          <w:lang w:val="en-US" w:eastAsia="zh-CN"/>
        </w:rPr>
        <w:t>lso</w:t>
      </w:r>
      <w:r>
        <w:rPr>
          <w:lang w:val="en-US" w:eastAsia="zh-CN"/>
        </w:rPr>
        <w:t xml:space="preserve"> proposed</w:t>
      </w:r>
      <w:r w:rsidR="005E0C05">
        <w:rPr>
          <w:lang w:val="en-US" w:eastAsia="zh-CN"/>
        </w:rPr>
        <w:t xml:space="preserve"> that the SID be updated at the next plenary meeting to include RAN2 as part of the SID. </w:t>
      </w:r>
    </w:p>
    <w:p w14:paraId="2C201AA8" w14:textId="77777777" w:rsidR="00C54E42" w:rsidRPr="00C72423" w:rsidRDefault="00C54E42" w:rsidP="00C54E42">
      <w:pPr>
        <w:rPr>
          <w:sz w:val="18"/>
          <w:lang w:val="en-US"/>
        </w:rPr>
      </w:pPr>
    </w:p>
    <w:sectPr w:rsidR="00C54E42" w:rsidRPr="00C72423" w:rsidSect="00360844">
      <w:headerReference w:type="default" r:id="rId11"/>
      <w:footerReference w:type="even" r:id="rId12"/>
      <w:footerReference w:type="default" r:id="rId13"/>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4AE8F" w14:textId="77777777" w:rsidR="00BC396E" w:rsidRDefault="00BC396E">
      <w:r>
        <w:separator/>
      </w:r>
    </w:p>
  </w:endnote>
  <w:endnote w:type="continuationSeparator" w:id="0">
    <w:p w14:paraId="50ED26DA" w14:textId="77777777" w:rsidR="00BC396E" w:rsidRDefault="00BC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0B491" w14:textId="77777777"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105BEC61" w14:textId="77777777"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11E3A" w14:textId="77777777"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0B65F" w14:textId="77777777" w:rsidR="00BC396E" w:rsidRDefault="00BC396E">
      <w:r>
        <w:separator/>
      </w:r>
    </w:p>
  </w:footnote>
  <w:footnote w:type="continuationSeparator" w:id="0">
    <w:p w14:paraId="61301FBE" w14:textId="77777777" w:rsidR="00BC396E" w:rsidRDefault="00BC3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7106D" w14:textId="77777777"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047BA3"/>
    <w:multiLevelType w:val="hybridMultilevel"/>
    <w:tmpl w:val="CCB23FDA"/>
    <w:lvl w:ilvl="0" w:tplc="2276506E">
      <w:start w:val="1"/>
      <w:numFmt w:val="bullet"/>
      <w:lvlText w:val="•"/>
      <w:lvlJc w:val="left"/>
      <w:pPr>
        <w:tabs>
          <w:tab w:val="num" w:pos="720"/>
        </w:tabs>
        <w:ind w:left="720" w:hanging="360"/>
      </w:pPr>
      <w:rPr>
        <w:rFonts w:ascii="Arial" w:hAnsi="Arial" w:hint="default"/>
      </w:rPr>
    </w:lvl>
    <w:lvl w:ilvl="1" w:tplc="E28C9A2A" w:tentative="1">
      <w:start w:val="1"/>
      <w:numFmt w:val="bullet"/>
      <w:lvlText w:val="•"/>
      <w:lvlJc w:val="left"/>
      <w:pPr>
        <w:tabs>
          <w:tab w:val="num" w:pos="1440"/>
        </w:tabs>
        <w:ind w:left="1440" w:hanging="360"/>
      </w:pPr>
      <w:rPr>
        <w:rFonts w:ascii="Arial" w:hAnsi="Arial" w:hint="default"/>
      </w:rPr>
    </w:lvl>
    <w:lvl w:ilvl="2" w:tplc="E7C634E4">
      <w:start w:val="1"/>
      <w:numFmt w:val="bullet"/>
      <w:lvlText w:val="•"/>
      <w:lvlJc w:val="left"/>
      <w:pPr>
        <w:tabs>
          <w:tab w:val="num" w:pos="2160"/>
        </w:tabs>
        <w:ind w:left="2160" w:hanging="360"/>
      </w:pPr>
      <w:rPr>
        <w:rFonts w:ascii="Arial" w:hAnsi="Arial" w:hint="default"/>
      </w:rPr>
    </w:lvl>
    <w:lvl w:ilvl="3" w:tplc="55D400A2" w:tentative="1">
      <w:start w:val="1"/>
      <w:numFmt w:val="bullet"/>
      <w:lvlText w:val="•"/>
      <w:lvlJc w:val="left"/>
      <w:pPr>
        <w:tabs>
          <w:tab w:val="num" w:pos="2880"/>
        </w:tabs>
        <w:ind w:left="2880" w:hanging="360"/>
      </w:pPr>
      <w:rPr>
        <w:rFonts w:ascii="Arial" w:hAnsi="Arial" w:hint="default"/>
      </w:rPr>
    </w:lvl>
    <w:lvl w:ilvl="4" w:tplc="8D546AAC" w:tentative="1">
      <w:start w:val="1"/>
      <w:numFmt w:val="bullet"/>
      <w:lvlText w:val="•"/>
      <w:lvlJc w:val="left"/>
      <w:pPr>
        <w:tabs>
          <w:tab w:val="num" w:pos="3600"/>
        </w:tabs>
        <w:ind w:left="3600" w:hanging="360"/>
      </w:pPr>
      <w:rPr>
        <w:rFonts w:ascii="Arial" w:hAnsi="Arial" w:hint="default"/>
      </w:rPr>
    </w:lvl>
    <w:lvl w:ilvl="5" w:tplc="D71007CC" w:tentative="1">
      <w:start w:val="1"/>
      <w:numFmt w:val="bullet"/>
      <w:lvlText w:val="•"/>
      <w:lvlJc w:val="left"/>
      <w:pPr>
        <w:tabs>
          <w:tab w:val="num" w:pos="4320"/>
        </w:tabs>
        <w:ind w:left="4320" w:hanging="360"/>
      </w:pPr>
      <w:rPr>
        <w:rFonts w:ascii="Arial" w:hAnsi="Arial" w:hint="default"/>
      </w:rPr>
    </w:lvl>
    <w:lvl w:ilvl="6" w:tplc="5E7071F2" w:tentative="1">
      <w:start w:val="1"/>
      <w:numFmt w:val="bullet"/>
      <w:lvlText w:val="•"/>
      <w:lvlJc w:val="left"/>
      <w:pPr>
        <w:tabs>
          <w:tab w:val="num" w:pos="5040"/>
        </w:tabs>
        <w:ind w:left="5040" w:hanging="360"/>
      </w:pPr>
      <w:rPr>
        <w:rFonts w:ascii="Arial" w:hAnsi="Arial" w:hint="default"/>
      </w:rPr>
    </w:lvl>
    <w:lvl w:ilvl="7" w:tplc="B6B845B0" w:tentative="1">
      <w:start w:val="1"/>
      <w:numFmt w:val="bullet"/>
      <w:lvlText w:val="•"/>
      <w:lvlJc w:val="left"/>
      <w:pPr>
        <w:tabs>
          <w:tab w:val="num" w:pos="5760"/>
        </w:tabs>
        <w:ind w:left="5760" w:hanging="360"/>
      </w:pPr>
      <w:rPr>
        <w:rFonts w:ascii="Arial" w:hAnsi="Arial" w:hint="default"/>
      </w:rPr>
    </w:lvl>
    <w:lvl w:ilvl="8" w:tplc="BE5EB7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3"/>
  </w:num>
  <w:num w:numId="4">
    <w:abstractNumId w:val="2"/>
  </w:num>
  <w:num w:numId="5">
    <w:abstractNumId w:val="10"/>
  </w:num>
  <w:num w:numId="6">
    <w:abstractNumId w:val="14"/>
  </w:num>
  <w:num w:numId="7">
    <w:abstractNumId w:val="4"/>
  </w:num>
  <w:num w:numId="8">
    <w:abstractNumId w:val="1"/>
  </w:num>
  <w:num w:numId="9">
    <w:abstractNumId w:val="5"/>
  </w:num>
  <w:num w:numId="10">
    <w:abstractNumId w:val="3"/>
  </w:num>
  <w:num w:numId="11">
    <w:abstractNumId w:val="12"/>
  </w:num>
  <w:num w:numId="12">
    <w:abstractNumId w:val="15"/>
  </w:num>
  <w:num w:numId="13">
    <w:abstractNumId w:val="7"/>
  </w:num>
  <w:num w:numId="14">
    <w:abstractNumId w:val="8"/>
  </w:num>
  <w:num w:numId="15">
    <w:abstractNumId w:val="11"/>
  </w:num>
  <w:num w:numId="16">
    <w:abstractNumId w:val="0"/>
  </w:num>
  <w:num w:numId="17">
    <w:abstractNumId w:val="6"/>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activeWritingStyle w:appName="MSWord" w:lang="en-AU"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5E31"/>
    <w:rsid w:val="000468CC"/>
    <w:rsid w:val="000471D0"/>
    <w:rsid w:val="00050F29"/>
    <w:rsid w:val="00053CBD"/>
    <w:rsid w:val="000545BC"/>
    <w:rsid w:val="00055486"/>
    <w:rsid w:val="00056485"/>
    <w:rsid w:val="00061DCD"/>
    <w:rsid w:val="00062613"/>
    <w:rsid w:val="000631FE"/>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B7D8C"/>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0F94"/>
    <w:rsid w:val="000F15F5"/>
    <w:rsid w:val="000F4CCD"/>
    <w:rsid w:val="000F7719"/>
    <w:rsid w:val="001021C1"/>
    <w:rsid w:val="0010262C"/>
    <w:rsid w:val="001029BA"/>
    <w:rsid w:val="00103BC5"/>
    <w:rsid w:val="0010505C"/>
    <w:rsid w:val="00111E8D"/>
    <w:rsid w:val="00112836"/>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2150"/>
    <w:rsid w:val="00194C94"/>
    <w:rsid w:val="00195088"/>
    <w:rsid w:val="00196128"/>
    <w:rsid w:val="001A294A"/>
    <w:rsid w:val="001A3029"/>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3A7E"/>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533D"/>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5A7"/>
    <w:rsid w:val="00343A77"/>
    <w:rsid w:val="00344B21"/>
    <w:rsid w:val="003472A7"/>
    <w:rsid w:val="0035039F"/>
    <w:rsid w:val="00350C7F"/>
    <w:rsid w:val="00353274"/>
    <w:rsid w:val="00356785"/>
    <w:rsid w:val="00357914"/>
    <w:rsid w:val="00357B3D"/>
    <w:rsid w:val="003603F9"/>
    <w:rsid w:val="00360844"/>
    <w:rsid w:val="0036391C"/>
    <w:rsid w:val="00363EF7"/>
    <w:rsid w:val="00364DB1"/>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1C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1EC9"/>
    <w:rsid w:val="00513B19"/>
    <w:rsid w:val="00514161"/>
    <w:rsid w:val="0051480F"/>
    <w:rsid w:val="0051548F"/>
    <w:rsid w:val="005155F2"/>
    <w:rsid w:val="005155F5"/>
    <w:rsid w:val="00515682"/>
    <w:rsid w:val="00516AD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0C0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47FC"/>
    <w:rsid w:val="006D61F9"/>
    <w:rsid w:val="006D62F2"/>
    <w:rsid w:val="006E0526"/>
    <w:rsid w:val="006E1015"/>
    <w:rsid w:val="006E14CA"/>
    <w:rsid w:val="006E230F"/>
    <w:rsid w:val="006E2DCB"/>
    <w:rsid w:val="006E4BE8"/>
    <w:rsid w:val="006E6905"/>
    <w:rsid w:val="006E767D"/>
    <w:rsid w:val="006F1AD1"/>
    <w:rsid w:val="006F2E94"/>
    <w:rsid w:val="006F499C"/>
    <w:rsid w:val="006F590B"/>
    <w:rsid w:val="006F5FEE"/>
    <w:rsid w:val="006F73DD"/>
    <w:rsid w:val="006F7A2E"/>
    <w:rsid w:val="007016E6"/>
    <w:rsid w:val="0070193E"/>
    <w:rsid w:val="007019C3"/>
    <w:rsid w:val="007048F9"/>
    <w:rsid w:val="00704BEF"/>
    <w:rsid w:val="00705B20"/>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ED1"/>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3FEE"/>
    <w:rsid w:val="00846841"/>
    <w:rsid w:val="00846D80"/>
    <w:rsid w:val="00850F68"/>
    <w:rsid w:val="008603FD"/>
    <w:rsid w:val="00864F15"/>
    <w:rsid w:val="00865D32"/>
    <w:rsid w:val="00866A41"/>
    <w:rsid w:val="00866FC8"/>
    <w:rsid w:val="00867EF2"/>
    <w:rsid w:val="00872405"/>
    <w:rsid w:val="008740B4"/>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5DF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4B6F"/>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15FA"/>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68B9"/>
    <w:rsid w:val="00B77086"/>
    <w:rsid w:val="00B80E46"/>
    <w:rsid w:val="00B82DC2"/>
    <w:rsid w:val="00B82FFD"/>
    <w:rsid w:val="00B84015"/>
    <w:rsid w:val="00B85B2A"/>
    <w:rsid w:val="00B86143"/>
    <w:rsid w:val="00B86996"/>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B7B8B"/>
    <w:rsid w:val="00BC276C"/>
    <w:rsid w:val="00BC2E1B"/>
    <w:rsid w:val="00BC2E48"/>
    <w:rsid w:val="00BC2FD2"/>
    <w:rsid w:val="00BC374C"/>
    <w:rsid w:val="00BC396E"/>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5E22"/>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54E42"/>
    <w:rsid w:val="00C60879"/>
    <w:rsid w:val="00C63A5D"/>
    <w:rsid w:val="00C63AB5"/>
    <w:rsid w:val="00C64844"/>
    <w:rsid w:val="00C650DD"/>
    <w:rsid w:val="00C66C75"/>
    <w:rsid w:val="00C67324"/>
    <w:rsid w:val="00C709CB"/>
    <w:rsid w:val="00C71C0D"/>
    <w:rsid w:val="00C72423"/>
    <w:rsid w:val="00C72E00"/>
    <w:rsid w:val="00C73097"/>
    <w:rsid w:val="00C80BE4"/>
    <w:rsid w:val="00C84BC5"/>
    <w:rsid w:val="00C85741"/>
    <w:rsid w:val="00C8576C"/>
    <w:rsid w:val="00C8624E"/>
    <w:rsid w:val="00C900A7"/>
    <w:rsid w:val="00C914E4"/>
    <w:rsid w:val="00C97527"/>
    <w:rsid w:val="00CA1493"/>
    <w:rsid w:val="00CA71CD"/>
    <w:rsid w:val="00CA7FA0"/>
    <w:rsid w:val="00CB00DB"/>
    <w:rsid w:val="00CB1288"/>
    <w:rsid w:val="00CB2512"/>
    <w:rsid w:val="00CB3110"/>
    <w:rsid w:val="00CB4D83"/>
    <w:rsid w:val="00CC086A"/>
    <w:rsid w:val="00CC3BCF"/>
    <w:rsid w:val="00CC3D3D"/>
    <w:rsid w:val="00CC4A0F"/>
    <w:rsid w:val="00CC6378"/>
    <w:rsid w:val="00CC7126"/>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44E89"/>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4F3F"/>
    <w:rsid w:val="00DA5068"/>
    <w:rsid w:val="00DA542A"/>
    <w:rsid w:val="00DA5C66"/>
    <w:rsid w:val="00DB01DF"/>
    <w:rsid w:val="00DB2972"/>
    <w:rsid w:val="00DB53E3"/>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17FA"/>
    <w:rsid w:val="00DF7F21"/>
    <w:rsid w:val="00E025B2"/>
    <w:rsid w:val="00E044FA"/>
    <w:rsid w:val="00E0601C"/>
    <w:rsid w:val="00E1090C"/>
    <w:rsid w:val="00E17618"/>
    <w:rsid w:val="00E17BC2"/>
    <w:rsid w:val="00E20680"/>
    <w:rsid w:val="00E239ED"/>
    <w:rsid w:val="00E251B8"/>
    <w:rsid w:val="00E272DE"/>
    <w:rsid w:val="00E30687"/>
    <w:rsid w:val="00E33AB2"/>
    <w:rsid w:val="00E377FF"/>
    <w:rsid w:val="00E410FE"/>
    <w:rsid w:val="00E43D32"/>
    <w:rsid w:val="00E47161"/>
    <w:rsid w:val="00E47B8E"/>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A6FA3"/>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0621"/>
    <w:rsid w:val="00F03B34"/>
    <w:rsid w:val="00F062C2"/>
    <w:rsid w:val="00F07ADE"/>
    <w:rsid w:val="00F12842"/>
    <w:rsid w:val="00F12B6F"/>
    <w:rsid w:val="00F14E0F"/>
    <w:rsid w:val="00F17D4F"/>
    <w:rsid w:val="00F22535"/>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608"/>
    <w:rsid w:val="00FA494C"/>
    <w:rsid w:val="00FA53E9"/>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14:docId w14:val="682ED40F"/>
  <w15:docId w15:val="{EF52AE22-9B6A-43EF-A51C-24B31942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803351575">
      <w:bodyDiv w:val="1"/>
      <w:marLeft w:val="0"/>
      <w:marRight w:val="0"/>
      <w:marTop w:val="0"/>
      <w:marBottom w:val="0"/>
      <w:divBdr>
        <w:top w:val="none" w:sz="0" w:space="0" w:color="auto"/>
        <w:left w:val="none" w:sz="0" w:space="0" w:color="auto"/>
        <w:bottom w:val="none" w:sz="0" w:space="0" w:color="auto"/>
        <w:right w:val="none" w:sz="0" w:space="0" w:color="auto"/>
      </w:divBdr>
      <w:divsChild>
        <w:div w:id="1446773688">
          <w:marLeft w:val="1800"/>
          <w:marRight w:val="0"/>
          <w:marTop w:val="72"/>
          <w:marBottom w:val="0"/>
          <w:divBdr>
            <w:top w:val="none" w:sz="0" w:space="0" w:color="auto"/>
            <w:left w:val="none" w:sz="0" w:space="0" w:color="auto"/>
            <w:bottom w:val="none" w:sz="0" w:space="0" w:color="auto"/>
            <w:right w:val="none" w:sz="0" w:space="0" w:color="auto"/>
          </w:divBdr>
        </w:div>
        <w:div w:id="70590557">
          <w:marLeft w:val="1800"/>
          <w:marRight w:val="0"/>
          <w:marTop w:val="72"/>
          <w:marBottom w:val="0"/>
          <w:divBdr>
            <w:top w:val="none" w:sz="0" w:space="0" w:color="auto"/>
            <w:left w:val="none" w:sz="0" w:space="0" w:color="auto"/>
            <w:bottom w:val="none" w:sz="0" w:space="0" w:color="auto"/>
            <w:right w:val="none" w:sz="0" w:space="0" w:color="auto"/>
          </w:divBdr>
        </w:div>
        <w:div w:id="1484001790">
          <w:marLeft w:val="1800"/>
          <w:marRight w:val="0"/>
          <w:marTop w:val="72"/>
          <w:marBottom w:val="0"/>
          <w:divBdr>
            <w:top w:val="none" w:sz="0" w:space="0" w:color="auto"/>
            <w:left w:val="none" w:sz="0" w:space="0" w:color="auto"/>
            <w:bottom w:val="none" w:sz="0" w:space="0" w:color="auto"/>
            <w:right w:val="none" w:sz="0" w:space="0" w:color="auto"/>
          </w:divBdr>
        </w:div>
        <w:div w:id="1679887400">
          <w:marLeft w:val="1800"/>
          <w:marRight w:val="0"/>
          <w:marTop w:val="72"/>
          <w:marBottom w:val="0"/>
          <w:divBdr>
            <w:top w:val="none" w:sz="0" w:space="0" w:color="auto"/>
            <w:left w:val="none" w:sz="0" w:space="0" w:color="auto"/>
            <w:bottom w:val="none" w:sz="0" w:space="0" w:color="auto"/>
            <w:right w:val="none" w:sz="0" w:space="0" w:color="auto"/>
          </w:divBdr>
        </w:div>
        <w:div w:id="500195463">
          <w:marLeft w:val="1800"/>
          <w:marRight w:val="0"/>
          <w:marTop w:val="72"/>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0676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06211">
          <w:marLeft w:val="1800"/>
          <w:marRight w:val="0"/>
          <w:marTop w:val="72"/>
          <w:marBottom w:val="0"/>
          <w:divBdr>
            <w:top w:val="none" w:sz="0" w:space="0" w:color="auto"/>
            <w:left w:val="none" w:sz="0" w:space="0" w:color="auto"/>
            <w:bottom w:val="none" w:sz="0" w:space="0" w:color="auto"/>
            <w:right w:val="none" w:sz="0" w:space="0" w:color="auto"/>
          </w:divBdr>
        </w:div>
        <w:div w:id="1511947229">
          <w:marLeft w:val="1800"/>
          <w:marRight w:val="0"/>
          <w:marTop w:val="72"/>
          <w:marBottom w:val="0"/>
          <w:divBdr>
            <w:top w:val="none" w:sz="0" w:space="0" w:color="auto"/>
            <w:left w:val="none" w:sz="0" w:space="0" w:color="auto"/>
            <w:bottom w:val="none" w:sz="0" w:space="0" w:color="auto"/>
            <w:right w:val="none" w:sz="0" w:space="0" w:color="auto"/>
          </w:divBdr>
        </w:div>
        <w:div w:id="1073703633">
          <w:marLeft w:val="1800"/>
          <w:marRight w:val="0"/>
          <w:marTop w:val="72"/>
          <w:marBottom w:val="0"/>
          <w:divBdr>
            <w:top w:val="none" w:sz="0" w:space="0" w:color="auto"/>
            <w:left w:val="none" w:sz="0" w:space="0" w:color="auto"/>
            <w:bottom w:val="none" w:sz="0" w:space="0" w:color="auto"/>
            <w:right w:val="none" w:sz="0" w:space="0" w:color="auto"/>
          </w:divBdr>
        </w:div>
        <w:div w:id="936014177">
          <w:marLeft w:val="1800"/>
          <w:marRight w:val="0"/>
          <w:marTop w:val="72"/>
          <w:marBottom w:val="0"/>
          <w:divBdr>
            <w:top w:val="none" w:sz="0" w:space="0" w:color="auto"/>
            <w:left w:val="none" w:sz="0" w:space="0" w:color="auto"/>
            <w:bottom w:val="none" w:sz="0" w:space="0" w:color="auto"/>
            <w:right w:val="none" w:sz="0" w:space="0" w:color="auto"/>
          </w:divBdr>
        </w:div>
        <w:div w:id="118574995">
          <w:marLeft w:val="1800"/>
          <w:marRight w:val="0"/>
          <w:marTop w:val="72"/>
          <w:marBottom w:val="0"/>
          <w:divBdr>
            <w:top w:val="none" w:sz="0" w:space="0" w:color="auto"/>
            <w:left w:val="none" w:sz="0" w:space="0" w:color="auto"/>
            <w:bottom w:val="none" w:sz="0" w:space="0" w:color="auto"/>
            <w:right w:val="none" w:sz="0" w:space="0" w:color="auto"/>
          </w:divBdr>
        </w:div>
      </w:divsChild>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 w:id="2093550422">
      <w:bodyDiv w:val="1"/>
      <w:marLeft w:val="0"/>
      <w:marRight w:val="0"/>
      <w:marTop w:val="0"/>
      <w:marBottom w:val="0"/>
      <w:divBdr>
        <w:top w:val="none" w:sz="0" w:space="0" w:color="auto"/>
        <w:left w:val="none" w:sz="0" w:space="0" w:color="auto"/>
        <w:bottom w:val="none" w:sz="0" w:space="0" w:color="auto"/>
        <w:right w:val="none" w:sz="0" w:space="0" w:color="auto"/>
      </w:divBdr>
      <w:divsChild>
        <w:div w:id="1447038198">
          <w:marLeft w:val="1800"/>
          <w:marRight w:val="0"/>
          <w:marTop w:val="72"/>
          <w:marBottom w:val="0"/>
          <w:divBdr>
            <w:top w:val="none" w:sz="0" w:space="0" w:color="auto"/>
            <w:left w:val="none" w:sz="0" w:space="0" w:color="auto"/>
            <w:bottom w:val="none" w:sz="0" w:space="0" w:color="auto"/>
            <w:right w:val="none" w:sz="0" w:space="0" w:color="auto"/>
          </w:divBdr>
        </w:div>
        <w:div w:id="2079668679">
          <w:marLeft w:val="1800"/>
          <w:marRight w:val="0"/>
          <w:marTop w:val="72"/>
          <w:marBottom w:val="0"/>
          <w:divBdr>
            <w:top w:val="none" w:sz="0" w:space="0" w:color="auto"/>
            <w:left w:val="none" w:sz="0" w:space="0" w:color="auto"/>
            <w:bottom w:val="none" w:sz="0" w:space="0" w:color="auto"/>
            <w:right w:val="none" w:sz="0" w:space="0" w:color="auto"/>
          </w:divBdr>
        </w:div>
        <w:div w:id="1267538706">
          <w:marLeft w:val="1800"/>
          <w:marRight w:val="0"/>
          <w:marTop w:val="72"/>
          <w:marBottom w:val="0"/>
          <w:divBdr>
            <w:top w:val="none" w:sz="0" w:space="0" w:color="auto"/>
            <w:left w:val="none" w:sz="0" w:space="0" w:color="auto"/>
            <w:bottom w:val="none" w:sz="0" w:space="0" w:color="auto"/>
            <w:right w:val="none" w:sz="0" w:space="0" w:color="auto"/>
          </w:divBdr>
        </w:div>
        <w:div w:id="1204905249">
          <w:marLeft w:val="1800"/>
          <w:marRight w:val="0"/>
          <w:marTop w:val="72"/>
          <w:marBottom w:val="0"/>
          <w:divBdr>
            <w:top w:val="none" w:sz="0" w:space="0" w:color="auto"/>
            <w:left w:val="none" w:sz="0" w:space="0" w:color="auto"/>
            <w:bottom w:val="none" w:sz="0" w:space="0" w:color="auto"/>
            <w:right w:val="none" w:sz="0" w:space="0" w:color="auto"/>
          </w:divBdr>
        </w:div>
        <w:div w:id="60045729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67B8D-8FEE-479B-8273-02A8B4F1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Migaldi, Scott [CTO]</cp:lastModifiedBy>
  <cp:revision>2</cp:revision>
  <cp:lastPrinted>2014-01-24T00:49:00Z</cp:lastPrinted>
  <dcterms:created xsi:type="dcterms:W3CDTF">2016-01-25T15:46:00Z</dcterms:created>
  <dcterms:modified xsi:type="dcterms:W3CDTF">2016-01-25T15:46:00Z</dcterms:modified>
</cp:coreProperties>
</file>