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17"/>
        <w:gridCol w:w="200"/>
        <w:gridCol w:w="567"/>
        <w:gridCol w:w="2793"/>
        <w:gridCol w:w="480"/>
        <w:gridCol w:w="554"/>
        <w:gridCol w:w="567"/>
        <w:gridCol w:w="3345"/>
      </w:tblGrid>
      <w:tr w:rsidR="00F60FDB" w:rsidRPr="00F60FDB">
        <w:trPr>
          <w:cantSplit/>
        </w:trPr>
        <w:tc>
          <w:tcPr>
            <w:tcW w:w="1417" w:type="dxa"/>
            <w:vMerge w:val="restart"/>
          </w:tcPr>
          <w:p w:rsidR="00F60FDB" w:rsidRPr="00F60FDB" w:rsidRDefault="00F60FDB" w:rsidP="00F60FDB">
            <w:bookmarkStart w:id="0" w:name="InsertLogo"/>
            <w:bookmarkStart w:id="1" w:name="dnum" w:colFirst="2" w:colLast="2"/>
            <w:bookmarkStart w:id="2" w:name="dtableau"/>
            <w:bookmarkEnd w:id="0"/>
            <w:r w:rsidRPr="00F60FDB">
              <w:rPr>
                <w:b/>
                <w:noProof/>
                <w:sz w:val="36"/>
                <w:lang w:eastAsia="zh-CN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F60FDB" w:rsidRPr="00F60FDB" w:rsidRDefault="00F60FDB" w:rsidP="00F60FDB">
            <w:pPr>
              <w:rPr>
                <w:sz w:val="20"/>
              </w:rPr>
            </w:pPr>
            <w:r w:rsidRPr="00F60FDB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F60FDB" w:rsidRPr="00F60FDB" w:rsidRDefault="00F60FDB" w:rsidP="00F60FDB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COM 16 – LS 172 – E</w:t>
            </w:r>
          </w:p>
        </w:tc>
      </w:tr>
      <w:tr w:rsidR="00F60FDB" w:rsidRPr="00F60FDB">
        <w:trPr>
          <w:cantSplit/>
          <w:trHeight w:val="355"/>
        </w:trPr>
        <w:tc>
          <w:tcPr>
            <w:tcW w:w="1417" w:type="dxa"/>
            <w:vMerge/>
          </w:tcPr>
          <w:p w:rsidR="00F60FDB" w:rsidRPr="00F60FDB" w:rsidRDefault="00F60FDB" w:rsidP="00F60FDB">
            <w:bookmarkStart w:id="3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F60FDB" w:rsidRPr="00F60FDB" w:rsidRDefault="00F60FDB" w:rsidP="00F60FDB">
            <w:pPr>
              <w:rPr>
                <w:b/>
                <w:bCs/>
                <w:sz w:val="26"/>
              </w:rPr>
            </w:pPr>
            <w:r w:rsidRPr="00F60FDB">
              <w:rPr>
                <w:b/>
                <w:bCs/>
                <w:sz w:val="26"/>
              </w:rPr>
              <w:t>TELECOMMUNICATION</w:t>
            </w:r>
            <w:r w:rsidRPr="00F60FDB">
              <w:rPr>
                <w:b/>
                <w:bCs/>
                <w:sz w:val="26"/>
              </w:rPr>
              <w:br/>
              <w:t>STANDARDIZATION SECTOR</w:t>
            </w:r>
          </w:p>
          <w:p w:rsidR="00F60FDB" w:rsidRPr="00F60FDB" w:rsidRDefault="00F60FDB" w:rsidP="00F60FDB">
            <w:pPr>
              <w:rPr>
                <w:smallCaps/>
                <w:sz w:val="20"/>
              </w:rPr>
            </w:pPr>
            <w:r w:rsidRPr="00F60FDB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2009-2012</w:t>
            </w:r>
          </w:p>
        </w:tc>
        <w:tc>
          <w:tcPr>
            <w:tcW w:w="4466" w:type="dxa"/>
            <w:gridSpan w:val="3"/>
          </w:tcPr>
          <w:p w:rsidR="00F60FDB" w:rsidRPr="00F60FDB" w:rsidRDefault="00F60FDB" w:rsidP="00F60FDB">
            <w:pPr>
              <w:jc w:val="right"/>
              <w:rPr>
                <w:b/>
                <w:bCs/>
              </w:rPr>
            </w:pPr>
          </w:p>
        </w:tc>
      </w:tr>
      <w:tr w:rsidR="00F60FDB" w:rsidRPr="00F60FDB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F60FDB" w:rsidRPr="00F60FDB" w:rsidRDefault="00F60FDB" w:rsidP="00F60FDB">
            <w:bookmarkStart w:id="4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F60FDB" w:rsidRPr="00F60FDB" w:rsidRDefault="00F60FDB" w:rsidP="00F60FDB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F60FDB" w:rsidRDefault="00F60FDB" w:rsidP="00F60FDB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F60FDB" w:rsidRPr="00F60FDB" w:rsidRDefault="00F60FDB" w:rsidP="00F60FDB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F60FDB" w:rsidRPr="00F60FDB">
        <w:trPr>
          <w:cantSplit/>
          <w:trHeight w:val="357"/>
        </w:trPr>
        <w:tc>
          <w:tcPr>
            <w:tcW w:w="1617" w:type="dxa"/>
            <w:gridSpan w:val="2"/>
          </w:tcPr>
          <w:p w:rsidR="00F60FDB" w:rsidRPr="00F60FDB" w:rsidRDefault="00F60FDB" w:rsidP="00F60FDB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F60FDB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F60FDB" w:rsidRPr="00F60FDB" w:rsidRDefault="00F60FDB" w:rsidP="00F60FDB">
            <w:r w:rsidRPr="00F60FDB">
              <w:t>16/16</w:t>
            </w:r>
          </w:p>
        </w:tc>
        <w:tc>
          <w:tcPr>
            <w:tcW w:w="4946" w:type="dxa"/>
            <w:gridSpan w:val="4"/>
          </w:tcPr>
          <w:p w:rsidR="00F60FDB" w:rsidRPr="00F60FDB" w:rsidRDefault="00F60FDB" w:rsidP="00F60FDB">
            <w:pPr>
              <w:jc w:val="right"/>
            </w:pPr>
            <w:r w:rsidRPr="00F60FDB">
              <w:t>Geneva, 19 - 30 July 2010</w:t>
            </w:r>
          </w:p>
        </w:tc>
      </w:tr>
      <w:tr w:rsidR="00F60FDB" w:rsidRPr="00F60FDB">
        <w:trPr>
          <w:cantSplit/>
          <w:trHeight w:val="357"/>
        </w:trPr>
        <w:tc>
          <w:tcPr>
            <w:tcW w:w="9923" w:type="dxa"/>
            <w:gridSpan w:val="8"/>
          </w:tcPr>
          <w:p w:rsidR="00F60FDB" w:rsidRPr="00F60FDB" w:rsidRDefault="00F60FDB" w:rsidP="00F60FDB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F60FDB">
              <w:rPr>
                <w:b/>
                <w:bCs/>
              </w:rPr>
              <w:t>LIAISON STATEMENT</w:t>
            </w:r>
          </w:p>
        </w:tc>
      </w:tr>
      <w:tr w:rsidR="00F60FDB" w:rsidRPr="00F60FDB">
        <w:trPr>
          <w:cantSplit/>
          <w:trHeight w:val="357"/>
        </w:trPr>
        <w:tc>
          <w:tcPr>
            <w:tcW w:w="1617" w:type="dxa"/>
            <w:gridSpan w:val="2"/>
          </w:tcPr>
          <w:p w:rsidR="00F60FDB" w:rsidRPr="00F60FDB" w:rsidRDefault="00F60FDB" w:rsidP="00F60FDB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F60FDB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F60FDB" w:rsidRPr="00F60FDB" w:rsidRDefault="00F60FDB" w:rsidP="00F60FDB">
            <w:r>
              <w:t xml:space="preserve">ITU-T SG </w:t>
            </w:r>
            <w:r w:rsidRPr="00F60FDB">
              <w:t>16</w:t>
            </w:r>
          </w:p>
        </w:tc>
      </w:tr>
      <w:tr w:rsidR="00F60FDB" w:rsidRPr="00F60FDB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F60FDB" w:rsidRPr="00F60FDB" w:rsidRDefault="00F60FDB" w:rsidP="00F60FDB">
            <w:pPr>
              <w:spacing w:after="120"/>
            </w:pPr>
            <w:bookmarkStart w:id="9" w:name="dtitle1" w:colFirst="1" w:colLast="1"/>
            <w:bookmarkEnd w:id="8"/>
            <w:r w:rsidRPr="00F60FDB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F60FDB" w:rsidRPr="00F60FDB" w:rsidRDefault="00F60FDB" w:rsidP="00F60FDB">
            <w:pPr>
              <w:spacing w:after="120"/>
            </w:pPr>
            <w:r w:rsidRPr="00F60FDB">
              <w:t>Reply LS to ETSI TC STQ and 3GPP SA, TC TISPAN, ITU-T SG 12 on procedures for the identification and selection of common modes of de-jitter buffers and echo cancellers</w:t>
            </w:r>
          </w:p>
        </w:tc>
      </w:tr>
      <w:bookmarkEnd w:id="2"/>
      <w:bookmarkEnd w:id="9"/>
      <w:tr w:rsidR="00F60FDB" w:rsidRPr="002E6A1A" w:rsidTr="0049180E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F60FDB" w:rsidRPr="002E6A1A" w:rsidRDefault="00F60FDB" w:rsidP="00F60FDB">
            <w:pPr>
              <w:ind w:left="360"/>
              <w:jc w:val="center"/>
              <w:rPr>
                <w:b/>
              </w:rPr>
            </w:pPr>
            <w:r w:rsidRPr="002E6A1A">
              <w:rPr>
                <w:b/>
              </w:rPr>
              <w:t>LIAISON STATEMENT</w:t>
            </w:r>
          </w:p>
        </w:tc>
      </w:tr>
      <w:tr w:rsidR="00F60FDB" w:rsidRPr="002E6A1A" w:rsidTr="0049180E">
        <w:trPr>
          <w:cantSplit/>
          <w:trHeight w:val="357"/>
        </w:trPr>
        <w:tc>
          <w:tcPr>
            <w:tcW w:w="2184" w:type="dxa"/>
            <w:gridSpan w:val="3"/>
          </w:tcPr>
          <w:p w:rsidR="00F60FDB" w:rsidRPr="002E6A1A" w:rsidRDefault="00F60FDB" w:rsidP="0049180E">
            <w:pPr>
              <w:rPr>
                <w:b/>
                <w:bCs/>
              </w:rPr>
            </w:pPr>
            <w:r w:rsidRPr="002E6A1A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F60FDB" w:rsidRPr="002E6A1A" w:rsidRDefault="00F60FDB" w:rsidP="0049180E">
            <w:pPr>
              <w:pStyle w:val="LSForAction"/>
            </w:pPr>
            <w:bookmarkStart w:id="10" w:name="_Toc268615451"/>
            <w:r w:rsidRPr="002E6A1A">
              <w:t>ETSI TC STQ</w:t>
            </w:r>
            <w:bookmarkEnd w:id="10"/>
          </w:p>
        </w:tc>
      </w:tr>
      <w:tr w:rsidR="00F60FDB" w:rsidRPr="002E6A1A" w:rsidTr="0049180E">
        <w:trPr>
          <w:cantSplit/>
          <w:trHeight w:val="357"/>
        </w:trPr>
        <w:tc>
          <w:tcPr>
            <w:tcW w:w="2184" w:type="dxa"/>
            <w:gridSpan w:val="3"/>
          </w:tcPr>
          <w:p w:rsidR="00F60FDB" w:rsidRPr="002E6A1A" w:rsidRDefault="00F60FDB" w:rsidP="0049180E">
            <w:pPr>
              <w:rPr>
                <w:b/>
                <w:bCs/>
              </w:rPr>
            </w:pPr>
            <w:r w:rsidRPr="002E6A1A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F60FDB" w:rsidRPr="002E6A1A" w:rsidRDefault="00F60FDB" w:rsidP="0049180E">
            <w:pPr>
              <w:pStyle w:val="LSForComment"/>
            </w:pPr>
            <w:bookmarkStart w:id="11" w:name="_Toc268615452"/>
            <w:r w:rsidRPr="002E6A1A">
              <w:t>-</w:t>
            </w:r>
            <w:bookmarkEnd w:id="11"/>
          </w:p>
        </w:tc>
      </w:tr>
      <w:tr w:rsidR="00F60FDB" w:rsidRPr="00F60FDB" w:rsidTr="0049180E">
        <w:trPr>
          <w:cantSplit/>
          <w:trHeight w:val="357"/>
        </w:trPr>
        <w:tc>
          <w:tcPr>
            <w:tcW w:w="2184" w:type="dxa"/>
            <w:gridSpan w:val="3"/>
          </w:tcPr>
          <w:p w:rsidR="00F60FDB" w:rsidRPr="002E6A1A" w:rsidRDefault="00F60FDB" w:rsidP="0049180E">
            <w:pPr>
              <w:rPr>
                <w:b/>
                <w:bCs/>
              </w:rPr>
            </w:pPr>
            <w:r w:rsidRPr="002E6A1A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F60FDB" w:rsidRPr="00F60FDB" w:rsidRDefault="00F60FDB" w:rsidP="0049180E">
            <w:pPr>
              <w:pStyle w:val="LSForInfo"/>
              <w:rPr>
                <w:lang w:val="fr-CH"/>
              </w:rPr>
            </w:pPr>
            <w:bookmarkStart w:id="12" w:name="_Toc268615453"/>
            <w:r w:rsidRPr="00F60FDB">
              <w:rPr>
                <w:lang w:val="fr-CH" w:eastAsia="ja-JP"/>
              </w:rPr>
              <w:t>3GPP SA, TC TISPAN, ITU-T SG 12</w:t>
            </w:r>
            <w:bookmarkEnd w:id="12"/>
          </w:p>
        </w:tc>
      </w:tr>
      <w:tr w:rsidR="00F60FDB" w:rsidRPr="002E6A1A" w:rsidTr="0049180E">
        <w:trPr>
          <w:cantSplit/>
          <w:trHeight w:val="357"/>
        </w:trPr>
        <w:tc>
          <w:tcPr>
            <w:tcW w:w="2184" w:type="dxa"/>
            <w:gridSpan w:val="3"/>
          </w:tcPr>
          <w:p w:rsidR="00F60FDB" w:rsidRPr="002E6A1A" w:rsidRDefault="00F60FDB" w:rsidP="0049180E">
            <w:pPr>
              <w:rPr>
                <w:b/>
                <w:bCs/>
              </w:rPr>
            </w:pPr>
            <w:r w:rsidRPr="002E6A1A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F60FDB" w:rsidRPr="002E6A1A" w:rsidRDefault="00F60FDB" w:rsidP="0049180E">
            <w:pPr>
              <w:rPr>
                <w:b/>
              </w:rPr>
            </w:pPr>
            <w:r w:rsidRPr="002E6A1A">
              <w:rPr>
                <w:b/>
              </w:rPr>
              <w:t>ITU-T SG 16 meeting (</w:t>
            </w:r>
            <w:smartTag w:uri="urn:schemas-microsoft-com:office:smarttags" w:element="place">
              <w:smartTag w:uri="urn:schemas-microsoft-com:office:smarttags" w:element="City">
                <w:r w:rsidRPr="002E6A1A">
                  <w:rPr>
                    <w:b/>
                    <w:color w:val="000000"/>
                  </w:rPr>
                  <w:t>Geneva</w:t>
                </w:r>
              </w:smartTag>
            </w:smartTag>
            <w:r w:rsidRPr="002E6A1A">
              <w:rPr>
                <w:b/>
                <w:color w:val="000000"/>
              </w:rPr>
              <w:t>, 19-30 July 2010</w:t>
            </w:r>
            <w:r w:rsidRPr="002E6A1A">
              <w:rPr>
                <w:b/>
              </w:rPr>
              <w:t>)</w:t>
            </w:r>
          </w:p>
        </w:tc>
      </w:tr>
      <w:tr w:rsidR="00F60FDB" w:rsidRPr="002E6A1A" w:rsidTr="0049180E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F60FDB" w:rsidRPr="002E6A1A" w:rsidRDefault="00F60FDB" w:rsidP="0049180E">
            <w:pPr>
              <w:rPr>
                <w:b/>
                <w:bCs/>
              </w:rPr>
            </w:pPr>
            <w:r w:rsidRPr="002E6A1A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F60FDB" w:rsidRPr="002E6A1A" w:rsidRDefault="00F60FDB" w:rsidP="0049180E">
            <w:pPr>
              <w:pStyle w:val="LSDeadline"/>
            </w:pPr>
            <w:bookmarkStart w:id="13" w:name="_Toc268615454"/>
            <w:r w:rsidRPr="002E6A1A">
              <w:t>31 October 2010</w:t>
            </w:r>
            <w:bookmarkEnd w:id="13"/>
          </w:p>
        </w:tc>
      </w:tr>
      <w:tr w:rsidR="00F60FDB" w:rsidRPr="002E6A1A" w:rsidTr="0049180E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F60FDB" w:rsidRPr="002E6A1A" w:rsidRDefault="00F60FDB" w:rsidP="0049180E">
            <w:pPr>
              <w:rPr>
                <w:b/>
                <w:bCs/>
              </w:rPr>
            </w:pPr>
            <w:r w:rsidRPr="002E6A1A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F60FDB" w:rsidRPr="002E6A1A" w:rsidRDefault="00F60FDB" w:rsidP="0049180E">
            <w:r w:rsidRPr="002E6A1A">
              <w:t>Bob Reeves</w:t>
            </w:r>
            <w:r w:rsidRPr="002E6A1A">
              <w:br/>
              <w:t>BT</w:t>
            </w:r>
            <w:r w:rsidRPr="002E6A1A">
              <w:br/>
            </w:r>
            <w:smartTag w:uri="urn:schemas-microsoft-com:office:smarttags" w:element="country-region">
              <w:smartTag w:uri="urn:schemas-microsoft-com:office:smarttags" w:element="place">
                <w:r w:rsidRPr="002E6A1A">
                  <w:t>UK</w:t>
                </w:r>
              </w:smartTag>
            </w:smartTag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F60FDB" w:rsidRPr="002E6A1A" w:rsidRDefault="00F60FDB" w:rsidP="0049180E">
            <w:r w:rsidRPr="002E6A1A">
              <w:t>Tel:</w:t>
            </w:r>
            <w:r w:rsidRPr="002E6A1A">
              <w:tab/>
              <w:t>+44 1473 644654</w:t>
            </w:r>
            <w:r w:rsidRPr="002E6A1A">
              <w:br/>
              <w:t>Fax:</w:t>
            </w:r>
            <w:r w:rsidRPr="002E6A1A">
              <w:tab/>
              <w:t>+44 1473 649777</w:t>
            </w:r>
            <w:r w:rsidRPr="002E6A1A">
              <w:br/>
              <w:t>Email:</w:t>
            </w:r>
            <w:r w:rsidRPr="002E6A1A">
              <w:tab/>
            </w:r>
            <w:hyperlink r:id="rId8" w:history="1">
              <w:r w:rsidRPr="002E6A1A">
                <w:rPr>
                  <w:rStyle w:val="Hyperlink"/>
                </w:rPr>
                <w:t>bob.reeves@bt.com</w:t>
              </w:r>
            </w:hyperlink>
          </w:p>
        </w:tc>
      </w:tr>
      <w:tr w:rsidR="00F60FDB" w:rsidRPr="002E6A1A" w:rsidTr="0049180E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F60FDB" w:rsidRPr="002E6A1A" w:rsidRDefault="00F60FDB" w:rsidP="0049180E">
            <w:pPr>
              <w:spacing w:before="0"/>
              <w:rPr>
                <w:sz w:val="18"/>
              </w:rPr>
            </w:pPr>
          </w:p>
        </w:tc>
      </w:tr>
    </w:tbl>
    <w:p w:rsidR="00F60FDB" w:rsidRPr="002E6A1A" w:rsidRDefault="00F60FDB" w:rsidP="00F60FDB">
      <w:pPr>
        <w:spacing w:before="240"/>
      </w:pPr>
      <w:r w:rsidRPr="002E6A1A">
        <w:t xml:space="preserve">ITU-T SG 16 Question 16/16 thanks ETSI STQ for the liaison statement (your STQ(10)0103r3, our </w:t>
      </w:r>
      <w:hyperlink r:id="rId9" w:history="1">
        <w:r w:rsidRPr="002E6A1A">
          <w:rPr>
            <w:rStyle w:val="Hyperlink"/>
          </w:rPr>
          <w:t>TD 287/Gen</w:t>
        </w:r>
      </w:hyperlink>
      <w:r w:rsidRPr="002E6A1A">
        <w:t>) informing us of your new work item regarding “</w:t>
      </w:r>
      <w:r w:rsidRPr="002E6A1A">
        <w:rPr>
          <w:i/>
          <w:iCs/>
        </w:rPr>
        <w:t>Procedures for the identification and selection of common modes of de-jitter buffers and echo cancellers</w:t>
      </w:r>
      <w:r w:rsidRPr="002E6A1A">
        <w:t>”.</w:t>
      </w:r>
    </w:p>
    <w:p w:rsidR="00F60FDB" w:rsidRPr="002E6A1A" w:rsidRDefault="00F60FDB" w:rsidP="00F60FDB">
      <w:r w:rsidRPr="002E6A1A">
        <w:t>Q16/16 has reviewed V.0.0.4 of this document and we have the following comments:</w:t>
      </w:r>
    </w:p>
    <w:p w:rsidR="00F60FDB" w:rsidRPr="002E6A1A" w:rsidRDefault="00F60FDB" w:rsidP="00F60FDB">
      <w:pPr>
        <w:numPr>
          <w:ilvl w:val="0"/>
          <w:numId w:val="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2E6A1A">
        <w:t>It is noted that this is a very early draft and although echo cancellers are within scope, there appears to be no detail concerning their operation in the body of the document.</w:t>
      </w:r>
    </w:p>
    <w:p w:rsidR="00F60FDB" w:rsidRPr="002E6A1A" w:rsidRDefault="00F60FDB" w:rsidP="00F60FDB">
      <w:pPr>
        <w:numPr>
          <w:ilvl w:val="0"/>
          <w:numId w:val="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2E6A1A">
        <w:t>It is not clear whether the attachment is a Technical Report (TR) or a Technical Specification (TS) since both are referred to (e.g. Forward and Introduction)</w:t>
      </w:r>
    </w:p>
    <w:p w:rsidR="00F60FDB" w:rsidRPr="002E6A1A" w:rsidRDefault="00F60FDB" w:rsidP="00F60FDB">
      <w:pPr>
        <w:numPr>
          <w:ilvl w:val="0"/>
          <w:numId w:val="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2E6A1A">
        <w:t>Given that the document covers both de-jitter buffers and echo cancellers, it would be useful to show the relative location of these two functions in a suitable diagram towards the beginning of the document. It is noted that Figures 2 and 3 currently only show the de-jitter buffer function.</w:t>
      </w:r>
    </w:p>
    <w:p w:rsidR="00F60FDB" w:rsidRPr="002E6A1A" w:rsidRDefault="00F60FDB" w:rsidP="00F60FDB">
      <w:pPr>
        <w:numPr>
          <w:ilvl w:val="0"/>
          <w:numId w:val="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2E6A1A">
        <w:t xml:space="preserve">Section 5.8 contains the following statement: </w:t>
      </w:r>
      <w:r w:rsidRPr="002E6A1A">
        <w:rPr>
          <w:i/>
        </w:rPr>
        <w:t>“The adaptive jitter buffer may activate for signal drop-outs higher than 100 ms”</w:t>
      </w:r>
      <w:r w:rsidRPr="002E6A1A">
        <w:t xml:space="preserve">. We strongly advise against this requirement, due to its potential effect on non-continuous carrier data modem signals which may be severely degraded by mid-call de-jitter buffer adaptations. Our recommendation would be to fix the de-jitter buffer on detection of the appropriate tone and remain fixed for the duration of the call. </w:t>
      </w:r>
      <w:r w:rsidRPr="002E6A1A">
        <w:lastRenderedPageBreak/>
        <w:t>The downside of this is accidental fixing of the de-jitter buffer due to speech, but it is considered to be the lesser of the two evils.</w:t>
      </w:r>
    </w:p>
    <w:p w:rsidR="00F60FDB" w:rsidRPr="002E6A1A" w:rsidRDefault="00F60FDB" w:rsidP="00F60FDB">
      <w:r w:rsidRPr="002E6A1A">
        <w:t>Q16/16 request that ETSI TC STQ keep us informed on further developments related to this work item.</w:t>
      </w:r>
    </w:p>
    <w:p w:rsidR="00F60FDB" w:rsidRPr="002E6A1A" w:rsidRDefault="00F60FDB" w:rsidP="00F60FDB">
      <w:pPr>
        <w:jc w:val="center"/>
        <w:rPr>
          <w:rFonts w:ascii="TimesNewRoman" w:hAnsi="TimesNewRoman" w:cs="TimesNewRoman"/>
        </w:rPr>
      </w:pPr>
      <w:r w:rsidRPr="002E6A1A">
        <w:rPr>
          <w:rFonts w:ascii="TimesNewRoman" w:hAnsi="TimesNewRoman" w:cs="TimesNewRoman"/>
        </w:rPr>
        <w:t>______________________</w:t>
      </w:r>
    </w:p>
    <w:p w:rsidR="00772DF2" w:rsidRDefault="00772DF2"/>
    <w:sectPr w:rsidR="00772DF2" w:rsidSect="00F60FDB">
      <w:headerReference w:type="default" r:id="rId10"/>
      <w:footerReference w:type="default" r:id="rId11"/>
      <w:footerReference w:type="first" r:id="rId12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FDB" w:rsidRDefault="00F60FDB" w:rsidP="00F60FDB">
      <w:pPr>
        <w:spacing w:before="0"/>
      </w:pPr>
      <w:r>
        <w:separator/>
      </w:r>
    </w:p>
  </w:endnote>
  <w:endnote w:type="continuationSeparator" w:id="0">
    <w:p w:rsidR="00F60FDB" w:rsidRDefault="00F60FDB" w:rsidP="00F60FDB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FDB" w:rsidRPr="00F60FDB" w:rsidRDefault="00F60FDB" w:rsidP="00F60FDB">
    <w:pPr>
      <w:pStyle w:val="Footer"/>
      <w:rPr>
        <w:sz w:val="16"/>
        <w:lang w:val="fr-CH"/>
      </w:rPr>
    </w:pPr>
    <w:r w:rsidRPr="00F60FDB">
      <w:rPr>
        <w:sz w:val="16"/>
        <w:lang w:val="fr-CH"/>
      </w:rPr>
      <w:t>ITU-T\COM-T\COM16\LS\172E.DOC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F60FDB" w:rsidRPr="00F60FDB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F60FDB" w:rsidRPr="00F60FDB" w:rsidRDefault="00F60FDB" w:rsidP="00F60FDB">
          <w:pPr>
            <w:spacing w:before="0"/>
            <w:rPr>
              <w:sz w:val="18"/>
            </w:rPr>
          </w:pPr>
          <w:r w:rsidRPr="00F60FDB">
            <w:rPr>
              <w:b/>
              <w:bCs/>
              <w:sz w:val="18"/>
            </w:rPr>
            <w:t>Attention:</w:t>
          </w:r>
          <w:r w:rsidRPr="00F60FDB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F60FDB" w:rsidRPr="00F60FDB" w:rsidRDefault="00F60FDB" w:rsidP="00F60FDB">
          <w:pPr>
            <w:spacing w:before="0"/>
            <w:rPr>
              <w:sz w:val="18"/>
            </w:rPr>
          </w:pPr>
          <w:r w:rsidRPr="00F60FDB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F60FDB" w:rsidRPr="00F60FDB" w:rsidRDefault="00F60FDB" w:rsidP="00F60FDB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FDB" w:rsidRDefault="00F60FDB" w:rsidP="00F60FDB">
      <w:pPr>
        <w:spacing w:before="0"/>
      </w:pPr>
      <w:r>
        <w:separator/>
      </w:r>
    </w:p>
  </w:footnote>
  <w:footnote w:type="continuationSeparator" w:id="0">
    <w:p w:rsidR="00F60FDB" w:rsidRDefault="00F60FDB" w:rsidP="00F60FDB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FDB" w:rsidRPr="00F60FDB" w:rsidRDefault="00F60FDB" w:rsidP="00F60FDB">
    <w:pPr>
      <w:pStyle w:val="Header"/>
      <w:jc w:val="center"/>
      <w:rPr>
        <w:sz w:val="18"/>
      </w:rPr>
    </w:pPr>
    <w:r w:rsidRPr="00F60FDB">
      <w:rPr>
        <w:sz w:val="18"/>
      </w:rPr>
      <w:t xml:space="preserve">- </w:t>
    </w:r>
    <w:r w:rsidRPr="00F60FDB">
      <w:rPr>
        <w:sz w:val="18"/>
      </w:rPr>
      <w:fldChar w:fldCharType="begin"/>
    </w:r>
    <w:r w:rsidRPr="00F60FDB">
      <w:rPr>
        <w:sz w:val="18"/>
      </w:rPr>
      <w:instrText xml:space="preserve"> PAGE  \* MERGEFORMAT </w:instrText>
    </w:r>
    <w:r w:rsidRPr="00F60FDB">
      <w:rPr>
        <w:sz w:val="18"/>
      </w:rPr>
      <w:fldChar w:fldCharType="separate"/>
    </w:r>
    <w:r>
      <w:rPr>
        <w:noProof/>
        <w:sz w:val="18"/>
      </w:rPr>
      <w:t>2</w:t>
    </w:r>
    <w:r w:rsidRPr="00F60FDB">
      <w:rPr>
        <w:sz w:val="18"/>
      </w:rPr>
      <w:fldChar w:fldCharType="end"/>
    </w:r>
    <w:r w:rsidRPr="00F60FDB">
      <w:rPr>
        <w:sz w:val="18"/>
      </w:rPr>
      <w:t xml:space="preserve"> -</w:t>
    </w:r>
  </w:p>
  <w:p w:rsidR="00F60FDB" w:rsidRPr="00F60FDB" w:rsidRDefault="00F60FDB" w:rsidP="00F60FDB">
    <w:pPr>
      <w:pStyle w:val="Header"/>
      <w:spacing w:after="240"/>
      <w:jc w:val="center"/>
      <w:rPr>
        <w:sz w:val="18"/>
      </w:rPr>
    </w:pPr>
    <w:r w:rsidRPr="00F60FDB">
      <w:rPr>
        <w:sz w:val="18"/>
      </w:rPr>
      <w:t>COM 16 – LS 172 – 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2629E"/>
    <w:multiLevelType w:val="hybridMultilevel"/>
    <w:tmpl w:val="047C4D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218AF"/>
    <w:multiLevelType w:val="hybridMultilevel"/>
    <w:tmpl w:val="70DE9698"/>
    <w:lvl w:ilvl="0" w:tplc="753E41C8">
      <w:start w:val="158"/>
      <w:numFmt w:val="decimal"/>
      <w:lvlText w:val="COM16-LS-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60FDB"/>
    <w:rsid w:val="00772DF2"/>
    <w:rsid w:val="00F60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FD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Title">
    <w:name w:val="LSTitle"/>
    <w:basedOn w:val="Normal"/>
    <w:link w:val="LSTitleChar"/>
    <w:rsid w:val="00F60FDB"/>
    <w:rPr>
      <w:b/>
      <w:bCs/>
    </w:rPr>
  </w:style>
  <w:style w:type="paragraph" w:customStyle="1" w:styleId="LSSource">
    <w:name w:val="LSSource"/>
    <w:basedOn w:val="Normal"/>
    <w:rsid w:val="00F60FDB"/>
    <w:rPr>
      <w:b/>
      <w:bCs/>
    </w:rPr>
  </w:style>
  <w:style w:type="paragraph" w:customStyle="1" w:styleId="LSDeadline">
    <w:name w:val="LSDeadline"/>
    <w:basedOn w:val="Normal"/>
    <w:rsid w:val="00F60FDB"/>
    <w:rPr>
      <w:b/>
      <w:bCs/>
    </w:rPr>
  </w:style>
  <w:style w:type="character" w:styleId="Hyperlink">
    <w:name w:val="Hyperlink"/>
    <w:basedOn w:val="DefaultParagraphFont"/>
    <w:uiPriority w:val="99"/>
    <w:rsid w:val="00F60FDB"/>
    <w:rPr>
      <w:color w:val="0000FF"/>
      <w:u w:val="single"/>
    </w:rPr>
  </w:style>
  <w:style w:type="character" w:customStyle="1" w:styleId="LSTitleChar">
    <w:name w:val="LSTitle Char"/>
    <w:basedOn w:val="DefaultParagraphFont"/>
    <w:link w:val="LSTitle"/>
    <w:rsid w:val="00F60FDB"/>
    <w:rPr>
      <w:rFonts w:ascii="Times New Roman" w:eastAsia="Times New Roman" w:hAnsi="Times New Roman" w:cs="Times New Roman"/>
      <w:b/>
      <w:bCs/>
      <w:sz w:val="24"/>
      <w:szCs w:val="20"/>
      <w:lang w:val="en-GB" w:eastAsia="en-US"/>
    </w:rPr>
  </w:style>
  <w:style w:type="paragraph" w:customStyle="1" w:styleId="LSForAction">
    <w:name w:val="LSForAction"/>
    <w:basedOn w:val="Normal"/>
    <w:rsid w:val="00F60FDB"/>
    <w:rPr>
      <w:b/>
      <w:bCs/>
    </w:rPr>
  </w:style>
  <w:style w:type="paragraph" w:customStyle="1" w:styleId="LSForInfo">
    <w:name w:val="LSForInfo"/>
    <w:basedOn w:val="LSForAction"/>
    <w:rsid w:val="00F60FDB"/>
  </w:style>
  <w:style w:type="paragraph" w:customStyle="1" w:styleId="LSForComment">
    <w:name w:val="LSForComment"/>
    <w:basedOn w:val="LSForAction"/>
    <w:rsid w:val="00F60FDB"/>
  </w:style>
  <w:style w:type="paragraph" w:styleId="Header">
    <w:name w:val="header"/>
    <w:basedOn w:val="Normal"/>
    <w:link w:val="HeaderChar"/>
    <w:uiPriority w:val="99"/>
    <w:semiHidden/>
    <w:unhideWhenUsed/>
    <w:rsid w:val="00F60FDB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0FDB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0FDB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F60FDB"/>
    <w:rPr>
      <w:rFonts w:ascii="Times New Roman" w:eastAsia="Times New Roman" w:hAnsi="Times New Roman" w:cs="Times New Roman"/>
      <w:sz w:val="24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b.reeves@bt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meetingdoc.asp?lang=en&amp;parent=T09-SG16-100719-TD-GEN-028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406</Words>
  <Characters>2141</Characters>
  <Application>Microsoft Office Word</Application>
  <DocSecurity>0</DocSecurity>
  <Lines>76</Lines>
  <Paragraphs>54</Paragraphs>
  <ScaleCrop>false</ScaleCrop>
  <Manager>ITU-T</Manager>
  <Company>International Telecommunication Union (ITU)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to ETSI TC STQ and 3GPP SA, TC TISPAN, ITU-T SG 12 on procedures for the identification and selection of common modes of de-jitter buffers and echo cancellers</dc:title>
  <dc:subject/>
  <dc:creator>Rapporteur Q16/16</dc:creator>
  <cp:keywords>16/16</cp:keywords>
  <dc:description>COM 16 – LS 172 – E  For: Geneva, 19 - 30 July 2010_x000d_Document date: _x000d_Saved by RA-106969 at 14:39:19 on 04.08.2010</dc:description>
  <cp:lastModifiedBy>Angeles</cp:lastModifiedBy>
  <cp:revision>1</cp:revision>
  <cp:lastPrinted>2010-08-04T12:40:00Z</cp:lastPrinted>
  <dcterms:created xsi:type="dcterms:W3CDTF">2010-08-04T12:39:00Z</dcterms:created>
  <dcterms:modified xsi:type="dcterms:W3CDTF">2010-08-04T12:40:00Z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16 – LS 172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16/16</vt:lpwstr>
  </property>
  <property fmtid="{D5CDD505-2E9C-101B-9397-08002B2CF9AE}" pid="6" name="Docdest">
    <vt:lpwstr>Geneva, 19 - 30 July 2010</vt:lpwstr>
  </property>
  <property fmtid="{D5CDD505-2E9C-101B-9397-08002B2CF9AE}" pid="7" name="Docauthor">
    <vt:lpwstr>Rapporteur Q16/16</vt:lpwstr>
  </property>
</Properties>
</file>