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24DB5" w14:textId="45588D66" w:rsidR="00145811" w:rsidRDefault="001511E4" w:rsidP="00F870EF">
      <w:pPr>
        <w:pStyle w:val="Title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Rapporteurs</w:t>
      </w:r>
      <w:r w:rsidR="002D52BA">
        <w:rPr>
          <w:b/>
          <w:bCs/>
          <w:sz w:val="44"/>
          <w:szCs w:val="44"/>
        </w:rPr>
        <w:t>’</w:t>
      </w:r>
      <w:r>
        <w:rPr>
          <w:b/>
          <w:bCs/>
          <w:sz w:val="44"/>
          <w:szCs w:val="44"/>
        </w:rPr>
        <w:t xml:space="preserve"> </w:t>
      </w:r>
      <w:r w:rsidR="00145811">
        <w:rPr>
          <w:b/>
          <w:bCs/>
          <w:sz w:val="44"/>
          <w:szCs w:val="44"/>
        </w:rPr>
        <w:t xml:space="preserve">Rel-18 topics </w:t>
      </w:r>
      <w:r>
        <w:rPr>
          <w:b/>
          <w:bCs/>
          <w:sz w:val="44"/>
          <w:szCs w:val="44"/>
        </w:rPr>
        <w:t>s</w:t>
      </w:r>
      <w:r w:rsidR="00F711CD" w:rsidRPr="00BD0E6A">
        <w:rPr>
          <w:b/>
          <w:bCs/>
          <w:sz w:val="44"/>
          <w:szCs w:val="44"/>
        </w:rPr>
        <w:t xml:space="preserve">tatus </w:t>
      </w:r>
      <w:r w:rsidR="00145811" w:rsidRPr="00BD0E6A">
        <w:rPr>
          <w:b/>
          <w:bCs/>
          <w:sz w:val="44"/>
          <w:szCs w:val="44"/>
        </w:rPr>
        <w:t xml:space="preserve">report </w:t>
      </w:r>
      <w:r w:rsidR="004E29CD">
        <w:rPr>
          <w:b/>
          <w:bCs/>
          <w:sz w:val="44"/>
          <w:szCs w:val="44"/>
        </w:rPr>
        <w:t xml:space="preserve">for eMDAS_Ph2 &amp; AIML MGT and </w:t>
      </w:r>
      <w:r w:rsidR="00145811">
        <w:rPr>
          <w:b/>
          <w:bCs/>
          <w:sz w:val="44"/>
          <w:szCs w:val="44"/>
        </w:rPr>
        <w:t xml:space="preserve">Rel-19 </w:t>
      </w:r>
      <w:r w:rsidR="004E29CD">
        <w:rPr>
          <w:b/>
          <w:bCs/>
          <w:sz w:val="44"/>
          <w:szCs w:val="44"/>
        </w:rPr>
        <w:t xml:space="preserve">AIML MGT_Ph2 </w:t>
      </w:r>
      <w:r w:rsidR="00145811">
        <w:rPr>
          <w:b/>
          <w:bCs/>
          <w:sz w:val="44"/>
          <w:szCs w:val="44"/>
        </w:rPr>
        <w:t xml:space="preserve">TU allocation scheduling forecast </w:t>
      </w:r>
    </w:p>
    <w:p w14:paraId="09190E64" w14:textId="77777777" w:rsidR="00197BF0" w:rsidRDefault="00197BF0" w:rsidP="00904C7B">
      <w:pPr>
        <w:pStyle w:val="Title"/>
        <w:rPr>
          <w:rFonts w:cstheme="majorHAnsi"/>
          <w:b/>
          <w:bCs/>
          <w:sz w:val="28"/>
          <w:szCs w:val="28"/>
        </w:rPr>
      </w:pPr>
    </w:p>
    <w:p w14:paraId="5297179B" w14:textId="37210712" w:rsidR="002D52BA" w:rsidRPr="00C11981" w:rsidRDefault="00145811" w:rsidP="00904C7B">
      <w:pPr>
        <w:pStyle w:val="Title"/>
        <w:rPr>
          <w:rFonts w:cstheme="majorHAnsi"/>
          <w:b/>
          <w:bCs/>
          <w:sz w:val="28"/>
          <w:szCs w:val="28"/>
        </w:rPr>
      </w:pPr>
      <w:r w:rsidRPr="00C11981">
        <w:rPr>
          <w:rFonts w:cstheme="majorHAnsi"/>
          <w:b/>
          <w:bCs/>
          <w:sz w:val="28"/>
          <w:szCs w:val="28"/>
        </w:rPr>
        <w:t xml:space="preserve">NEC &amp; </w:t>
      </w:r>
      <w:r w:rsidR="002D52BA" w:rsidRPr="00C11981">
        <w:rPr>
          <w:rFonts w:cstheme="majorHAnsi"/>
          <w:b/>
          <w:bCs/>
          <w:sz w:val="28"/>
          <w:szCs w:val="28"/>
        </w:rPr>
        <w:t>Intel</w:t>
      </w:r>
    </w:p>
    <w:p w14:paraId="2627E228" w14:textId="77777777" w:rsidR="00197BF0" w:rsidRDefault="00197BF0" w:rsidP="00904C7B">
      <w:pPr>
        <w:pStyle w:val="Title"/>
        <w:rPr>
          <w:rFonts w:cstheme="majorHAnsi"/>
          <w:b/>
          <w:bCs/>
          <w:sz w:val="24"/>
          <w:szCs w:val="24"/>
        </w:rPr>
      </w:pPr>
    </w:p>
    <w:p w14:paraId="11979AC7" w14:textId="28D88261" w:rsidR="00904C7B" w:rsidRPr="00C11981" w:rsidRDefault="004E29CD" w:rsidP="00904C7B">
      <w:pPr>
        <w:pStyle w:val="Title"/>
        <w:rPr>
          <w:rFonts w:cstheme="majorHAnsi"/>
          <w:sz w:val="24"/>
          <w:szCs w:val="24"/>
        </w:rPr>
      </w:pPr>
      <w:r>
        <w:rPr>
          <w:rFonts w:cstheme="majorHAnsi"/>
          <w:sz w:val="24"/>
          <w:szCs w:val="24"/>
        </w:rPr>
        <w:t>3GPP SA5 Rapporteur call 11</w:t>
      </w:r>
      <w:r w:rsidRPr="004E29CD">
        <w:rPr>
          <w:rFonts w:cstheme="majorHAnsi"/>
          <w:sz w:val="24"/>
          <w:szCs w:val="24"/>
          <w:vertAlign w:val="superscript"/>
        </w:rPr>
        <w:t>th</w:t>
      </w:r>
      <w:r>
        <w:rPr>
          <w:rFonts w:cstheme="majorHAnsi"/>
          <w:sz w:val="24"/>
          <w:szCs w:val="24"/>
        </w:rPr>
        <w:t xml:space="preserve"> </w:t>
      </w:r>
      <w:r w:rsidR="002D52BA" w:rsidRPr="00C11981">
        <w:rPr>
          <w:rFonts w:cstheme="majorHAnsi"/>
          <w:sz w:val="24"/>
          <w:szCs w:val="24"/>
        </w:rPr>
        <w:t>January</w:t>
      </w:r>
      <w:r w:rsidR="00904C7B" w:rsidRPr="00C11981">
        <w:rPr>
          <w:rFonts w:cstheme="majorHAnsi"/>
          <w:sz w:val="24"/>
          <w:szCs w:val="24"/>
        </w:rPr>
        <w:t xml:space="preserve"> 2024</w:t>
      </w:r>
    </w:p>
    <w:p w14:paraId="5BC77E54" w14:textId="00196D35" w:rsidR="00F711CD" w:rsidRPr="00145811" w:rsidRDefault="00F711CD">
      <w:pPr>
        <w:rPr>
          <w:rFonts w:asciiTheme="majorHAnsi" w:hAnsiTheme="majorHAnsi" w:cstheme="majorHAnsi"/>
          <w:b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4"/>
        <w:gridCol w:w="3589"/>
        <w:gridCol w:w="3527"/>
      </w:tblGrid>
      <w:tr w:rsidR="00F870EF" w:rsidRPr="00F711CD" w14:paraId="1B3CEA48" w14:textId="3BDE4D24" w:rsidTr="00D41180">
        <w:trPr>
          <w:tblCellSpacing w:w="0" w:type="dxa"/>
        </w:trPr>
        <w:tc>
          <w:tcPr>
            <w:tcW w:w="9086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1764031E" w14:textId="074232CB" w:rsidR="00F870EF" w:rsidRPr="001511E4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lang w:val="en-US" w:eastAsia="en-GB"/>
              </w:rPr>
            </w:pPr>
            <w:bookmarkStart w:id="0" w:name="_Hlk155731247"/>
            <w:r w:rsidRPr="00F711CD">
              <w:rPr>
                <w:rFonts w:ascii="Arial" w:eastAsia="SimSun" w:hAnsi="Arial" w:cs="Arial"/>
                <w:b/>
                <w:color w:val="000000"/>
                <w:lang w:val="en-US" w:eastAsia="en-GB"/>
              </w:rPr>
              <w:t>Management Data Analytics phase 2</w:t>
            </w:r>
            <w:r w:rsidR="004E29CD">
              <w:rPr>
                <w:rFonts w:ascii="Arial" w:eastAsia="SimSun" w:hAnsi="Arial" w:cs="Arial"/>
                <w:b/>
                <w:color w:val="000000"/>
                <w:lang w:val="en-US" w:eastAsia="en-GB"/>
              </w:rPr>
              <w:t xml:space="preserve"> </w:t>
            </w:r>
            <w:r w:rsidRPr="00F711CD">
              <w:rPr>
                <w:rFonts w:ascii="Arial" w:eastAsia="SimSun" w:hAnsi="Arial" w:cs="Arial"/>
                <w:b/>
                <w:color w:val="000000"/>
                <w:lang w:val="en-US" w:eastAsia="en-GB"/>
              </w:rPr>
              <w:t xml:space="preserve">(eMDAS_Ph2) (Intel, NEC) </w:t>
            </w:r>
            <w:r w:rsidRPr="001511E4">
              <w:rPr>
                <w:rFonts w:ascii="Arial" w:eastAsia="SimSun" w:hAnsi="Arial" w:cs="Arial"/>
                <w:b/>
                <w:color w:val="000000"/>
                <w:lang w:val="en-US" w:eastAsia="en-GB"/>
              </w:rPr>
              <w:t xml:space="preserve"> </w:t>
            </w:r>
          </w:p>
          <w:p w14:paraId="72D86638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en-GB"/>
              </w:rPr>
            </w:pPr>
            <w:r w:rsidRPr="001511E4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en-GB"/>
              </w:rPr>
              <w:t xml:space="preserve">Approved WID: </w:t>
            </w:r>
            <w:r w:rsidRPr="00F711CD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val="en-US" w:eastAsia="en-GB"/>
              </w:rPr>
              <w:t>SP-220981</w:t>
            </w:r>
          </w:p>
          <w:p w14:paraId="5A422496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F870EF" w:rsidRPr="00F711CD" w14:paraId="17B5BB93" w14:textId="36826569" w:rsidTr="009A1817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5534160" w14:textId="651F20CD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Current completion</w:t>
            </w:r>
          </w:p>
        </w:tc>
        <w:tc>
          <w:tcPr>
            <w:tcW w:w="71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3793B98" w14:textId="61981566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F711CD">
              <w:rPr>
                <w:rFonts w:ascii="Arial" w:eastAsia="SimSun" w:hAnsi="Arial" w:cs="Arial" w:hint="eastAsia"/>
                <w:b/>
                <w:color w:val="000000"/>
                <w:sz w:val="18"/>
                <w:szCs w:val="18"/>
                <w:lang w:val="en-US" w:eastAsia="zh-CN"/>
              </w:rPr>
              <w:t>8</w:t>
            </w:r>
            <w:r w:rsidRPr="00F711CD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7%</w:t>
            </w:r>
          </w:p>
        </w:tc>
      </w:tr>
      <w:tr w:rsidR="00F870EF" w:rsidRPr="00F711CD" w14:paraId="6AF88795" w14:textId="1CF016E1" w:rsidTr="007041F2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E47E991" w14:textId="7DDE07A1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Completion t</w:t>
            </w: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arget</w:t>
            </w:r>
          </w:p>
        </w:tc>
        <w:tc>
          <w:tcPr>
            <w:tcW w:w="7190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1AA755A" w14:textId="2DBB86F8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  <w:t>SA5#153/SA#103 (Mar 2024)</w:t>
            </w:r>
          </w:p>
        </w:tc>
      </w:tr>
      <w:tr w:rsidR="00F870EF" w:rsidRPr="00F711CD" w14:paraId="2CC57355" w14:textId="4364DFB4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456B3333" w14:textId="1E8D0BCC" w:rsidR="00F870EF" w:rsidRPr="00F870EF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870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WoP</w:t>
            </w:r>
            <w:proofErr w:type="spellEnd"/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3C97F602" w14:textId="240950B8" w:rsidR="00F870EF" w:rsidRPr="00F870EF" w:rsidRDefault="00F870EF" w:rsidP="00F711CD">
            <w:pPr>
              <w:spacing w:after="0" w:line="240" w:lineRule="auto"/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0FE6C659" w14:textId="68E40E19" w:rsidR="00F870EF" w:rsidRPr="00F870EF" w:rsidRDefault="00F870EF" w:rsidP="00F711CD">
            <w:pPr>
              <w:spacing w:after="0" w:line="240" w:lineRule="auto"/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Status</w:t>
            </w:r>
            <w:r w:rsidR="004B65F5"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&amp; plan</w:t>
            </w:r>
          </w:p>
        </w:tc>
      </w:tr>
      <w:tr w:rsidR="00F870EF" w:rsidRPr="00F711CD" w14:paraId="04B885A8" w14:textId="23540286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1E9BCFC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eMDAS_Ph2_WoP#1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F03ED6E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Definition of recommended actions related to non-3GPP domain where relevant (e.g., recommended interactions with ETSI NFV MANO or other domains based on the existing operations defined by the corresponding SDOs)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4553EA3" w14:textId="7EEE7294" w:rsidR="00BD0E6A" w:rsidRPr="00BD0E6A" w:rsidRDefault="00BD0E6A" w:rsidP="00BD0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2D14DB2C" w14:textId="205D5BC4" w:rsidR="00590B3E" w:rsidRPr="00590B3E" w:rsidRDefault="00BD0E6A" w:rsidP="00590B3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Cs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Addressed by adding </w:t>
            </w:r>
            <w:r w:rsidRPr="00BD0E6A">
              <w:rPr>
                <w:rFonts w:ascii="Arial" w:eastAsiaTheme="minorEastAsia" w:hAnsi="Arial" w:cs="Times New Roman"/>
                <w:sz w:val="18"/>
                <w:szCs w:val="20"/>
                <w:lang w:eastAsia="zh-CN"/>
              </w:rPr>
              <w:t>“</w:t>
            </w:r>
            <w:r w:rsidRPr="00BD0E6A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recommendedNon3GPPActions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” IE to the </w:t>
            </w:r>
            <w:bookmarkStart w:id="1" w:name="MCCQCTEMPBM_00000038"/>
            <w:proofErr w:type="spellStart"/>
            <w:r w:rsidR="00590B3E" w:rsidRPr="00BC0026">
              <w:rPr>
                <w:rFonts w:ascii="Courier New" w:hAnsi="Courier New" w:cs="Courier New"/>
              </w:rPr>
              <w:t>RecommendedAction</w:t>
            </w:r>
            <w:proofErr w:type="spellEnd"/>
            <w:r w:rsidRPr="00BC0026">
              <w:rPr>
                <w:rFonts w:ascii="Courier New" w:hAnsi="Courier New" w:cs="Courier New"/>
              </w:rPr>
              <w:t xml:space="preserve"> </w:t>
            </w:r>
            <w:r w:rsidRPr="003639A0">
              <w:rPr>
                <w:rFonts w:ascii="Courier New" w:hAnsi="Courier New" w:cs="Courier New"/>
                <w:sz w:val="18"/>
                <w:szCs w:val="18"/>
              </w:rPr>
              <w:t>&lt;&lt;</w:t>
            </w:r>
            <w:proofErr w:type="spellStart"/>
            <w:r w:rsidRPr="003639A0">
              <w:rPr>
                <w:rFonts w:ascii="Courier New" w:hAnsi="Courier New" w:cs="Courier New"/>
                <w:sz w:val="18"/>
                <w:szCs w:val="18"/>
              </w:rPr>
              <w:t>dataType</w:t>
            </w:r>
            <w:proofErr w:type="spellEnd"/>
            <w:r w:rsidRPr="003639A0">
              <w:rPr>
                <w:rFonts w:ascii="Courier New" w:hAnsi="Courier New" w:cs="Courier New"/>
                <w:sz w:val="18"/>
                <w:szCs w:val="18"/>
              </w:rPr>
              <w:t>&gt;&gt;</w:t>
            </w:r>
            <w:bookmarkEnd w:id="1"/>
            <w:r w:rsidR="00590B3E" w:rsidRPr="003639A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3639A0" w:rsidRPr="003639A0">
              <w:rPr>
                <w:rFonts w:ascii="Courier New" w:hAnsi="Courier New" w:cs="Courier New"/>
                <w:sz w:val="18"/>
                <w:szCs w:val="18"/>
              </w:rPr>
              <w:t>(</w:t>
            </w:r>
            <w:r w:rsidR="00590B3E" w:rsidRPr="003639A0">
              <w:rPr>
                <w:rFonts w:ascii="Arial" w:hAnsi="Arial" w:cs="Arial"/>
                <w:bCs/>
                <w:sz w:val="18"/>
                <w:szCs w:val="18"/>
              </w:rPr>
              <w:t>Table 8.5.1.2-1</w:t>
            </w:r>
            <w:r w:rsidR="003639A0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  <w:p w14:paraId="68F19F60" w14:textId="1428EC39" w:rsidR="00F870EF" w:rsidRPr="00BD0E6A" w:rsidRDefault="00F870EF" w:rsidP="003639A0">
            <w:pPr>
              <w:pStyle w:val="ListParagraph"/>
              <w:spacing w:after="0" w:line="240" w:lineRule="auto"/>
              <w:ind w:left="502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F870EF" w:rsidRPr="00F711CD" w14:paraId="613A1B72" w14:textId="187C17C5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5EC38B3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eMDAS_Ph2_WoP#2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2480D7C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Analytics (statistics and/or predictions) for an existing management data, like PM (Ref. TS 28.552), KPI (Ref. TS 28.554) and alarm (Ref. TS 28.532)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57251718" w14:textId="77777777" w:rsidR="00BD0E6A" w:rsidRDefault="00BD0E6A" w:rsidP="00BD0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12FB5F72" w14:textId="7B51348B" w:rsidR="00BD0E6A" w:rsidRDefault="00BD0E6A" w:rsidP="00BD0E6A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>Addressed</w:t>
            </w:r>
            <w:r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 by adding new </w:t>
            </w:r>
            <w:r w:rsidR="00590B3E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relevant </w:t>
            </w:r>
            <w:r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>use cases</w:t>
            </w:r>
            <w:r w:rsidR="003639A0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, requirements and </w:t>
            </w:r>
            <w:r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set of relevant </w:t>
            </w:r>
            <w:r w:rsidR="003639A0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enabling data and </w:t>
            </w:r>
            <w:r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>analytics output</w:t>
            </w:r>
            <w:r w:rsidR="003639A0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>, (Clause 7.2.x, 8.4.y)</w:t>
            </w:r>
          </w:p>
          <w:p w14:paraId="6BA897A3" w14:textId="69F3A724" w:rsidR="003639A0" w:rsidRPr="00BD0E6A" w:rsidRDefault="003639A0" w:rsidP="003639A0">
            <w:pPr>
              <w:pStyle w:val="ListParagraph"/>
              <w:spacing w:after="0" w:line="240" w:lineRule="auto"/>
              <w:ind w:left="502"/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</w:pPr>
          </w:p>
        </w:tc>
      </w:tr>
      <w:bookmarkEnd w:id="0"/>
      <w:tr w:rsidR="00F870EF" w:rsidRPr="00F711CD" w14:paraId="0C165961" w14:textId="3DCE3576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0D3BD69C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eMDAS_Ph2_WoP#3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BA4CB41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Coordination between MDAFs (e.g., cross-domain MDAF and domain specific MDAF) for the specific cases where needed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E5D84E8" w14:textId="77777777" w:rsidR="00337785" w:rsidRDefault="00337785" w:rsidP="003377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2AE5C36A" w14:textId="45BF80F9" w:rsidR="00F870EF" w:rsidRPr="00337785" w:rsidRDefault="00337785" w:rsidP="003377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Supporting text was added to existing and newly introduced use cases and corresponding requirements where required including use cases e.g., </w:t>
            </w:r>
            <w:r w:rsidRPr="0033778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NF resource utilization analysis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, </w:t>
            </w:r>
            <w:r w:rsidRPr="0033778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Service experience analysis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, </w:t>
            </w:r>
            <w:r w:rsidRPr="0033778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Network slice throughput analysis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, </w:t>
            </w:r>
            <w:r w:rsidRPr="0033778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Failure prediction</w:t>
            </w:r>
          </w:p>
        </w:tc>
      </w:tr>
      <w:tr w:rsidR="00F870EF" w:rsidRPr="00F711CD" w14:paraId="3863C3C6" w14:textId="4B86814A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06F8CC5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eMDAS_Ph2_WoP#4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27833B0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Control of MDA process (the process for making analytics for the request from a consumer) without impacting the network and services and without disclosing the vendor’s proprietary analytics algorithm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21ACE2D" w14:textId="70C5274D" w:rsidR="00F870EF" w:rsidRPr="00337785" w:rsidRDefault="00031A40" w:rsidP="0033778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031A40">
              <w:rPr>
                <w:rFonts w:ascii="Arial" w:eastAsia="DengXian" w:hAnsi="Arial" w:cs="Arial"/>
                <w:color w:val="FF0000"/>
                <w:kern w:val="24"/>
                <w:sz w:val="18"/>
                <w:szCs w:val="18"/>
                <w:lang w:eastAsia="en-GB"/>
              </w:rPr>
              <w:t xml:space="preserve">To be </w:t>
            </w:r>
            <w:r w:rsidR="00C92E25">
              <w:rPr>
                <w:rFonts w:ascii="Arial" w:eastAsia="DengXian" w:hAnsi="Arial" w:cs="Arial"/>
                <w:color w:val="FF0000"/>
                <w:kern w:val="24"/>
                <w:sz w:val="18"/>
                <w:szCs w:val="18"/>
                <w:lang w:eastAsia="en-GB"/>
              </w:rPr>
              <w:t>further discussed in SA5#153</w:t>
            </w:r>
          </w:p>
        </w:tc>
      </w:tr>
      <w:tr w:rsidR="00F870EF" w:rsidRPr="00F711CD" w14:paraId="1AACFF9A" w14:textId="5964431A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65A5ECA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eMDAS_Ph2_WoP#5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3F35FBF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Interaction and coordination between MDAF and other functions acting as MDAS consumer, including COSLA and SON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66F2379" w14:textId="53EF88D8" w:rsidR="00F870EF" w:rsidRPr="00CA03F2" w:rsidRDefault="00C92E25" w:rsidP="00CA03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C92E25">
              <w:rPr>
                <w:rFonts w:ascii="Arial" w:eastAsia="DengXian" w:hAnsi="Arial" w:cs="Arial"/>
                <w:color w:val="FF0000"/>
                <w:kern w:val="24"/>
                <w:sz w:val="18"/>
                <w:szCs w:val="18"/>
                <w:lang w:eastAsia="en-GB"/>
              </w:rPr>
              <w:t>To be addressed as part of Rel-19 SID Study on closed control loop management, WT.5.</w:t>
            </w:r>
            <w:r w:rsidRPr="00C92E25">
              <w:rPr>
                <w:rFonts w:ascii="Arial" w:eastAsia="DengXian" w:hAnsi="Arial" w:cs="Arial"/>
                <w:color w:val="FF0000"/>
                <w:kern w:val="24"/>
                <w:sz w:val="18"/>
                <w:szCs w:val="18"/>
                <w:lang w:eastAsia="en-GB"/>
              </w:rPr>
              <w:tab/>
            </w:r>
          </w:p>
        </w:tc>
      </w:tr>
      <w:tr w:rsidR="00F870EF" w:rsidRPr="00F711CD" w14:paraId="30D39202" w14:textId="20B0C06F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9D668EB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eMDAS_Ph2_WoP#6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184057E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Enhancement of existing MDA capabilities, in terms of the use cases, requirements and data definitions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7F19E798" w14:textId="77777777" w:rsidR="00CA03F2" w:rsidRDefault="00CA03F2" w:rsidP="00CA03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6FA6225C" w14:textId="1ED24AB3" w:rsidR="00F870EF" w:rsidRDefault="00763DFF" w:rsidP="00CA03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Added new use case, corresponding requirements, enabling data and analytics output for prediction and statistics </w:t>
            </w:r>
            <w:r w:rsid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for management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data (clause 7.2.x, 8.4.y)</w:t>
            </w:r>
          </w:p>
          <w:p w14:paraId="41B46D6E" w14:textId="66E94A3F" w:rsidR="00E67D58" w:rsidRDefault="00E67D58" w:rsidP="00CA03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Added new use case, corresponding requirements, enabling data and analytics output for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Control plane congestion analysis</w:t>
            </w:r>
            <w:r w:rsidR="00031A4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(clause 7.2.x, 8.4.x)</w:t>
            </w: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.</w:t>
            </w:r>
          </w:p>
          <w:p w14:paraId="0B8B5ABE" w14:textId="5A1A0BFA" w:rsidR="00E67D58" w:rsidRPr="00E67D58" w:rsidRDefault="00E67D58" w:rsidP="00E67D58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Added new use case, corresponding requirements, enabling data and </w:t>
            </w: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lastRenderedPageBreak/>
              <w:t>analytics output for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  <w:r w:rsidRPr="00E67D58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Filtering analytics recommendations</w:t>
            </w:r>
            <w:r w:rsidR="00031A4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(clause 7.3.x,)</w:t>
            </w:r>
          </w:p>
          <w:p w14:paraId="37D33652" w14:textId="7C24DC9F" w:rsidR="00E67D58" w:rsidRPr="00CA03F2" w:rsidRDefault="00E67D58" w:rsidP="00CA03F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F870EF" w:rsidRPr="00F711CD" w14:paraId="3F073144" w14:textId="3CD7B305" w:rsidTr="00F870EF">
        <w:trPr>
          <w:tblCellSpacing w:w="0" w:type="dxa"/>
        </w:trPr>
        <w:tc>
          <w:tcPr>
            <w:tcW w:w="18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F952B65" w14:textId="77777777" w:rsidR="00F870EF" w:rsidRPr="00F711CD" w:rsidRDefault="00F870EF" w:rsidP="00F711CD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lastRenderedPageBreak/>
              <w:t>eMDAS_Ph2_WoP#7</w:t>
            </w:r>
          </w:p>
        </w:tc>
        <w:tc>
          <w:tcPr>
            <w:tcW w:w="365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8AEA545" w14:textId="77777777" w:rsidR="00F870EF" w:rsidRPr="00F711CD" w:rsidRDefault="00F870EF" w:rsidP="00F711CD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Use cases, requirements, enabling data, MDA types and MDA outputs for the MDA capabilities related to resource related analytics</w:t>
            </w:r>
          </w:p>
        </w:tc>
        <w:tc>
          <w:tcPr>
            <w:tcW w:w="3538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643FF561" w14:textId="77777777" w:rsidR="00CA03F2" w:rsidRPr="00CA03F2" w:rsidRDefault="00CA03F2" w:rsidP="00CA03F2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CA03F2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555AC498" w14:textId="6E0780B8" w:rsidR="00F870EF" w:rsidRDefault="00203F06" w:rsidP="00203F0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New use cases, corresponding requirements, enabling data definitions and analytics output were added </w:t>
            </w:r>
            <w:r w:rsidR="00763DFF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for NF resource analytics 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(clause 7.2.x, 8.4.x)</w:t>
            </w:r>
          </w:p>
          <w:p w14:paraId="39FB8861" w14:textId="05B80033" w:rsidR="00763DFF" w:rsidRPr="00763DFF" w:rsidRDefault="00763DFF" w:rsidP="00763DFF">
            <w:pPr>
              <w:spacing w:after="0" w:line="240" w:lineRule="auto"/>
              <w:ind w:left="142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</w:tbl>
    <w:p w14:paraId="43423B09" w14:textId="77777777" w:rsidR="00F711CD" w:rsidRDefault="00F711CD"/>
    <w:p w14:paraId="6928BF99" w14:textId="6A00F7AE" w:rsidR="00031A40" w:rsidRPr="009019B5" w:rsidRDefault="00031A40">
      <w:pPr>
        <w:rPr>
          <w:rFonts w:ascii="Arial" w:hAnsi="Arial" w:cs="Arial"/>
          <w:b/>
          <w:bCs/>
        </w:rPr>
      </w:pPr>
      <w:bookmarkStart w:id="2" w:name="_Hlk155731793"/>
      <w:r w:rsidRPr="009019B5">
        <w:rPr>
          <w:rFonts w:ascii="Arial" w:hAnsi="Arial" w:cs="Arial"/>
          <w:b/>
          <w:bCs/>
        </w:rPr>
        <w:t>Plan for SA5#153</w:t>
      </w:r>
      <w:r w:rsidR="00B814F4">
        <w:rPr>
          <w:rFonts w:ascii="Arial" w:hAnsi="Arial" w:cs="Arial"/>
          <w:b/>
          <w:bCs/>
        </w:rPr>
        <w:t xml:space="preserve"> – </w:t>
      </w:r>
      <w:r w:rsidR="00B814F4" w:rsidRPr="00F711CD">
        <w:rPr>
          <w:rFonts w:ascii="Arial" w:hAnsi="Arial" w:cs="Arial"/>
          <w:b/>
          <w:bCs/>
          <w:lang w:val="en-US"/>
        </w:rPr>
        <w:t>eMDAS_Ph2</w:t>
      </w:r>
      <w:r w:rsidR="00B814F4">
        <w:rPr>
          <w:rFonts w:ascii="Arial" w:hAnsi="Arial" w:cs="Arial"/>
          <w:b/>
          <w:bCs/>
          <w:lang w:val="en-US"/>
        </w:rPr>
        <w:t>:</w:t>
      </w:r>
    </w:p>
    <w:p w14:paraId="75DF57A7" w14:textId="78C18448" w:rsidR="00031A40" w:rsidRPr="009019B5" w:rsidRDefault="00B814F4" w:rsidP="00031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Discussion o</w:t>
      </w:r>
      <w:r w:rsidR="00BD30E9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WoP#4</w:t>
      </w:r>
      <w:r w:rsidR="00031A40" w:rsidRPr="009019B5">
        <w:rPr>
          <w:rFonts w:ascii="Arial" w:hAnsi="Arial" w:cs="Arial"/>
        </w:rPr>
        <w:t>,</w:t>
      </w:r>
    </w:p>
    <w:p w14:paraId="5C83678C" w14:textId="470BB80A" w:rsidR="001119B4" w:rsidRPr="009019B5" w:rsidRDefault="00B814F4" w:rsidP="00031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bookmarkStart w:id="3" w:name="_Hlk155801488"/>
      <w:r>
        <w:rPr>
          <w:rFonts w:ascii="Arial" w:hAnsi="Arial" w:cs="Arial"/>
        </w:rPr>
        <w:t xml:space="preserve">Draft </w:t>
      </w:r>
      <w:r w:rsidR="00C92E25" w:rsidRPr="009019B5">
        <w:rPr>
          <w:rFonts w:ascii="Arial" w:hAnsi="Arial" w:cs="Arial"/>
        </w:rPr>
        <w:t xml:space="preserve">CR </w:t>
      </w:r>
      <w:r>
        <w:rPr>
          <w:rFonts w:ascii="Arial" w:hAnsi="Arial" w:cs="Arial"/>
        </w:rPr>
        <w:t xml:space="preserve">cleanup including </w:t>
      </w:r>
      <w:r w:rsidR="00031A40" w:rsidRPr="009019B5">
        <w:rPr>
          <w:rFonts w:ascii="Arial" w:hAnsi="Arial" w:cs="Arial"/>
        </w:rPr>
        <w:t>corrections</w:t>
      </w:r>
      <w:r w:rsidR="00C92E25" w:rsidRPr="009019B5">
        <w:rPr>
          <w:rFonts w:ascii="Arial" w:hAnsi="Arial" w:cs="Arial"/>
        </w:rPr>
        <w:t>/</w:t>
      </w:r>
      <w:r w:rsidR="00031A40" w:rsidRPr="009019B5">
        <w:rPr>
          <w:rFonts w:ascii="Arial" w:hAnsi="Arial" w:cs="Arial"/>
        </w:rPr>
        <w:t>editorials</w:t>
      </w:r>
      <w:r w:rsidR="001119B4" w:rsidRPr="009019B5">
        <w:rPr>
          <w:rFonts w:ascii="Arial" w:hAnsi="Arial" w:cs="Arial"/>
        </w:rPr>
        <w:t>, and</w:t>
      </w:r>
    </w:p>
    <w:p w14:paraId="190DCBD4" w14:textId="5602A0F4" w:rsidR="00031A40" w:rsidRPr="009019B5" w:rsidRDefault="001119B4" w:rsidP="00031A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9B5">
        <w:rPr>
          <w:rFonts w:ascii="Arial" w:hAnsi="Arial" w:cs="Arial"/>
        </w:rPr>
        <w:t>Convert</w:t>
      </w:r>
      <w:r w:rsidR="00031A40" w:rsidRPr="009019B5">
        <w:rPr>
          <w:rFonts w:ascii="Arial" w:hAnsi="Arial" w:cs="Arial"/>
        </w:rPr>
        <w:t xml:space="preserve"> </w:t>
      </w:r>
      <w:r w:rsidRPr="009019B5">
        <w:rPr>
          <w:rFonts w:ascii="Arial" w:hAnsi="Arial" w:cs="Arial"/>
        </w:rPr>
        <w:t xml:space="preserve">the final draft CR </w:t>
      </w:r>
      <w:r w:rsidR="00031A40" w:rsidRPr="009019B5">
        <w:rPr>
          <w:rFonts w:ascii="Arial" w:hAnsi="Arial" w:cs="Arial"/>
        </w:rPr>
        <w:t xml:space="preserve">into CR </w:t>
      </w:r>
      <w:r w:rsidR="00C92E25" w:rsidRPr="009019B5">
        <w:rPr>
          <w:rFonts w:ascii="Arial" w:hAnsi="Arial" w:cs="Arial"/>
        </w:rPr>
        <w:t>&amp;</w:t>
      </w:r>
      <w:r w:rsidR="00031A40" w:rsidRPr="009019B5">
        <w:rPr>
          <w:rFonts w:ascii="Arial" w:hAnsi="Arial" w:cs="Arial"/>
        </w:rPr>
        <w:t xml:space="preserve"> </w:t>
      </w:r>
      <w:r w:rsidR="00B814F4">
        <w:rPr>
          <w:rFonts w:ascii="Arial" w:hAnsi="Arial" w:cs="Arial"/>
        </w:rPr>
        <w:t xml:space="preserve">prepare the </w:t>
      </w:r>
      <w:r w:rsidR="00031A40" w:rsidRPr="009019B5">
        <w:rPr>
          <w:rFonts w:ascii="Arial" w:hAnsi="Arial" w:cs="Arial"/>
        </w:rPr>
        <w:t xml:space="preserve">submission </w:t>
      </w:r>
      <w:r w:rsidR="00505822" w:rsidRPr="009019B5">
        <w:rPr>
          <w:rFonts w:ascii="Arial" w:hAnsi="Arial" w:cs="Arial"/>
        </w:rPr>
        <w:t xml:space="preserve">to SA </w:t>
      </w:r>
      <w:r w:rsidR="00031A40" w:rsidRPr="009019B5">
        <w:rPr>
          <w:rFonts w:ascii="Arial" w:hAnsi="Arial" w:cs="Arial"/>
        </w:rPr>
        <w:t xml:space="preserve">for </w:t>
      </w:r>
      <w:r w:rsidR="00B814F4">
        <w:rPr>
          <w:rFonts w:ascii="Arial" w:hAnsi="Arial" w:cs="Arial"/>
        </w:rPr>
        <w:t xml:space="preserve">final </w:t>
      </w:r>
      <w:r w:rsidR="00031A40" w:rsidRPr="009019B5">
        <w:rPr>
          <w:rFonts w:ascii="Arial" w:hAnsi="Arial" w:cs="Arial"/>
        </w:rPr>
        <w:t>approval.</w:t>
      </w:r>
    </w:p>
    <w:bookmarkEnd w:id="2"/>
    <w:bookmarkEnd w:id="3"/>
    <w:p w14:paraId="13D8C198" w14:textId="77777777" w:rsidR="00F870EF" w:rsidRDefault="00F870EF"/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94"/>
        <w:gridCol w:w="3586"/>
        <w:gridCol w:w="3530"/>
      </w:tblGrid>
      <w:tr w:rsidR="009019B5" w:rsidRPr="00F711CD" w14:paraId="5A57AEF9" w14:textId="77777777" w:rsidTr="001511E4">
        <w:trPr>
          <w:trHeight w:val="664"/>
          <w:tblCellSpacing w:w="0" w:type="dxa"/>
        </w:trPr>
        <w:tc>
          <w:tcPr>
            <w:tcW w:w="9010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3CC4EBD2" w14:textId="351BDAE7" w:rsidR="009019B5" w:rsidRPr="001511E4" w:rsidRDefault="001511E4" w:rsidP="009019B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lang w:eastAsia="en-GB"/>
              </w:rPr>
            </w:pPr>
            <w:r w:rsidRPr="001511E4">
              <w:rPr>
                <w:rFonts w:ascii="Arial" w:eastAsia="SimSun" w:hAnsi="Arial" w:cs="Arial"/>
                <w:b/>
                <w:color w:val="000000"/>
                <w:lang w:eastAsia="en-GB"/>
              </w:rPr>
              <w:t xml:space="preserve">Rel-18 </w:t>
            </w:r>
            <w:r w:rsidR="009019B5" w:rsidRPr="009019B5">
              <w:rPr>
                <w:rFonts w:ascii="Arial" w:eastAsia="SimSun" w:hAnsi="Arial" w:cs="Arial"/>
                <w:b/>
                <w:color w:val="000000"/>
                <w:lang w:eastAsia="en-GB"/>
              </w:rPr>
              <w:t>AI/ML management (AIML_MGT) (Intel,</w:t>
            </w:r>
            <w:r w:rsidR="009019B5" w:rsidRPr="001511E4">
              <w:rPr>
                <w:rFonts w:ascii="Arial" w:eastAsia="SimSun" w:hAnsi="Arial" w:cs="Arial"/>
                <w:b/>
                <w:color w:val="000000"/>
                <w:lang w:eastAsia="en-GB"/>
              </w:rPr>
              <w:t xml:space="preserve"> </w:t>
            </w:r>
            <w:r w:rsidR="009019B5" w:rsidRPr="009019B5">
              <w:rPr>
                <w:rFonts w:ascii="Arial" w:eastAsia="SimSun" w:hAnsi="Arial" w:cs="Arial" w:hint="eastAsia"/>
                <w:b/>
                <w:color w:val="000000"/>
                <w:lang w:eastAsia="en-GB"/>
              </w:rPr>
              <w:t xml:space="preserve">NEC) </w:t>
            </w:r>
          </w:p>
          <w:p w14:paraId="3A2D7E71" w14:textId="7D8D33AE" w:rsidR="009019B5" w:rsidRPr="009019B5" w:rsidRDefault="009019B5" w:rsidP="009019B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n-GB"/>
              </w:rPr>
            </w:pPr>
            <w:r w:rsidRPr="00B814F4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n-GB"/>
              </w:rPr>
              <w:t xml:space="preserve">Approved WID: </w:t>
            </w:r>
            <w:r w:rsidRPr="009019B5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en-GB"/>
              </w:rPr>
              <w:t>(SP-230335)</w:t>
            </w:r>
          </w:p>
          <w:p w14:paraId="6932BBB3" w14:textId="0770FFAE" w:rsidR="009019B5" w:rsidRPr="00F711CD" w:rsidRDefault="009019B5" w:rsidP="009019B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</w:p>
        </w:tc>
      </w:tr>
      <w:tr w:rsidR="009019B5" w:rsidRPr="00F711CD" w14:paraId="34A69AA4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0E06457" w14:textId="77777777" w:rsidR="009019B5" w:rsidRPr="00F711CD" w:rsidRDefault="009019B5" w:rsidP="00C61984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Current completion</w:t>
            </w:r>
          </w:p>
        </w:tc>
        <w:tc>
          <w:tcPr>
            <w:tcW w:w="71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B764E4C" w14:textId="5964B912" w:rsidR="009019B5" w:rsidRPr="00F711CD" w:rsidRDefault="009019B5" w:rsidP="00C61984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F711CD">
              <w:rPr>
                <w:rFonts w:ascii="Arial" w:eastAsia="SimSun" w:hAnsi="Arial" w:cs="Arial" w:hint="eastAsia"/>
                <w:b/>
                <w:color w:val="000000"/>
                <w:sz w:val="18"/>
                <w:szCs w:val="18"/>
                <w:lang w:val="en-US" w:eastAsia="zh-CN"/>
              </w:rPr>
              <w:t>8</w:t>
            </w:r>
            <w:r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0</w:t>
            </w:r>
            <w:r w:rsidRPr="00F711CD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  <w:t>%</w:t>
            </w:r>
          </w:p>
        </w:tc>
      </w:tr>
      <w:tr w:rsidR="009019B5" w:rsidRPr="00F711CD" w14:paraId="174D725B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687681B" w14:textId="77777777" w:rsidR="009019B5" w:rsidRPr="00F711CD" w:rsidRDefault="009019B5" w:rsidP="00C61984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Completion t</w:t>
            </w:r>
            <w:r w:rsidRPr="00F711CD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arget</w:t>
            </w:r>
          </w:p>
        </w:tc>
        <w:tc>
          <w:tcPr>
            <w:tcW w:w="7116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3B1CE8B" w14:textId="77777777" w:rsidR="009019B5" w:rsidRPr="00F711CD" w:rsidRDefault="009019B5" w:rsidP="00C61984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  <w:t>SA5#153/SA#103 (Mar 2024)</w:t>
            </w:r>
          </w:p>
        </w:tc>
      </w:tr>
      <w:tr w:rsidR="009019B5" w:rsidRPr="00F870EF" w14:paraId="65D20A59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1128C7F5" w14:textId="77777777" w:rsidR="009019B5" w:rsidRPr="00F870EF" w:rsidRDefault="009019B5" w:rsidP="00C61984">
            <w:pPr>
              <w:spacing w:after="0" w:line="240" w:lineRule="auto"/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</w:pPr>
            <w:proofErr w:type="spellStart"/>
            <w:r w:rsidRPr="00F870EF">
              <w:rPr>
                <w:rFonts w:ascii="Arial" w:eastAsia="SimSun" w:hAnsi="Arial" w:cs="Arial"/>
                <w:b/>
                <w:bCs/>
                <w:color w:val="000000"/>
                <w:sz w:val="18"/>
                <w:szCs w:val="18"/>
                <w:lang w:eastAsia="en-GB"/>
              </w:rPr>
              <w:t>WoP</w:t>
            </w:r>
            <w:proofErr w:type="spellEnd"/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648BACA3" w14:textId="77777777" w:rsidR="009019B5" w:rsidRPr="00F870EF" w:rsidRDefault="009019B5" w:rsidP="00C61984">
            <w:pPr>
              <w:spacing w:after="0" w:line="240" w:lineRule="auto"/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Description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00"/>
          </w:tcPr>
          <w:p w14:paraId="5D6AD09D" w14:textId="77777777" w:rsidR="009019B5" w:rsidRPr="00F870EF" w:rsidRDefault="009019B5" w:rsidP="00C61984">
            <w:pPr>
              <w:spacing w:after="0" w:line="240" w:lineRule="auto"/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</w:pPr>
            <w:r w:rsidRPr="00F870EF"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>Status</w:t>
            </w:r>
            <w:r>
              <w:rPr>
                <w:rFonts w:ascii="Arial" w:eastAsia="DengXian" w:hAnsi="Arial" w:cs="Arial"/>
                <w:b/>
                <w:bCs/>
                <w:color w:val="000000"/>
                <w:kern w:val="24"/>
                <w:sz w:val="18"/>
                <w:szCs w:val="18"/>
                <w:lang w:eastAsia="en-GB"/>
              </w:rPr>
              <w:t xml:space="preserve"> &amp; plan</w:t>
            </w:r>
          </w:p>
        </w:tc>
      </w:tr>
      <w:tr w:rsidR="009019B5" w:rsidRPr="00BD0E6A" w14:paraId="4CF8C2A3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45E3E713" w14:textId="67595CB3" w:rsidR="009019B5" w:rsidRPr="00F711CD" w:rsidRDefault="009019B5" w:rsidP="009019B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zh-CN"/>
              </w:rPr>
            </w:pPr>
            <w:r w:rsidRPr="00F711CD">
              <w:rPr>
                <w:rFonts w:ascii="Arial" w:eastAsia="DengXian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  <w:t>AIML_MGT</w:t>
            </w:r>
            <w:r w:rsidRPr="00F711CD">
              <w:rPr>
                <w:rFonts w:ascii="Arial" w:eastAsia="DengXian" w:hAnsi="Arial" w:cs="Arial" w:hint="eastAsia"/>
                <w:b/>
                <w:color w:val="000000"/>
                <w:kern w:val="24"/>
                <w:sz w:val="18"/>
                <w:szCs w:val="18"/>
                <w:lang w:eastAsia="zh-CN"/>
              </w:rPr>
              <w:t>_</w:t>
            </w:r>
            <w:r w:rsidRPr="00F711CD">
              <w:rPr>
                <w:rFonts w:ascii="Arial" w:eastAsia="DengXian" w:hAnsi="Arial" w:cs="Arial"/>
                <w:b/>
                <w:color w:val="000000"/>
                <w:kern w:val="24"/>
                <w:sz w:val="18"/>
                <w:szCs w:val="18"/>
                <w:lang w:eastAsia="zh-CN"/>
              </w:rPr>
              <w:t>WoP#1</w:t>
            </w:r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6A4638C9" w14:textId="36B10FF2" w:rsidR="009019B5" w:rsidRPr="00F711CD" w:rsidRDefault="009019B5" w:rsidP="009019B5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To specify the AI/ML management capabilities, including use cases, </w:t>
            </w:r>
            <w:proofErr w:type="gramStart"/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requirements</w:t>
            </w:r>
            <w:proofErr w:type="gramEnd"/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and solutions for each phase of the AI/ML operational workflow for managing the AI/ML capabilities in 5GS (i.e., management and orchestration (e.g., MDA defined in TS 28.104), 5GC (e.g., NWDAF defined in TS 23.288) and NG-RAN (e.g., RAN intelligence defined in TS 38.300 and TS 38.401)), including.</w:t>
            </w:r>
          </w:p>
          <w:p w14:paraId="22FD573B" w14:textId="60ADE820" w:rsidR="009019B5" w:rsidRPr="009019B5" w:rsidRDefault="009019B5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019B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Management capabilities for ML training phase, which includes control of producer-initiated ML training, data management for ML training, performance evaluation for ML training, ML entity validation, ML context management, ML entity capability discovery, ML entity testing.</w:t>
            </w:r>
          </w:p>
          <w:p w14:paraId="6C082E99" w14:textId="71DA6E33" w:rsidR="009019B5" w:rsidRPr="009019B5" w:rsidRDefault="009019B5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019B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Management capabilities for ML deployment phase, including management of ML entity loading; and</w:t>
            </w:r>
          </w:p>
          <w:p w14:paraId="10F09E51" w14:textId="6812CDD6" w:rsidR="009019B5" w:rsidRPr="009019B5" w:rsidRDefault="009019B5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9019B5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Management capabilities for AI/ML inference phase.</w:t>
            </w:r>
          </w:p>
          <w:p w14:paraId="79F65147" w14:textId="77777777" w:rsidR="009019B5" w:rsidRPr="00F711CD" w:rsidRDefault="009019B5" w:rsidP="009019B5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5324AF93" w14:textId="2D049326" w:rsidR="009019B5" w:rsidRPr="00F711CD" w:rsidRDefault="009019B5" w:rsidP="009019B5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417074EA" w14:textId="2C2B8DD7" w:rsidR="009019B5" w:rsidRPr="007138F9" w:rsidRDefault="007138F9" w:rsidP="007138F9">
            <w:p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7138F9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</w:t>
            </w:r>
            <w:r w:rsidR="009019B5" w:rsidRPr="007138F9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ompleted</w:t>
            </w:r>
            <w:r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:</w:t>
            </w:r>
          </w:p>
          <w:p w14:paraId="2C2C7512" w14:textId="288F02DB" w:rsidR="009019B5" w:rsidRDefault="007138F9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Training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/testing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phase capabilities,</w:t>
            </w:r>
          </w:p>
          <w:p w14:paraId="3BD6F95E" w14:textId="77777777" w:rsidR="007138F9" w:rsidRDefault="007138F9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Inference phase capabilities</w:t>
            </w:r>
          </w:p>
          <w:p w14:paraId="2A316A40" w14:textId="572DB587" w:rsidR="00632B90" w:rsidRDefault="00632B90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Deployment phase</w:t>
            </w:r>
          </w:p>
          <w:p w14:paraId="113ACA48" w14:textId="77777777" w:rsidR="007138F9" w:rsidRDefault="007138F9" w:rsidP="007138F9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  <w:p w14:paraId="7EBA68ED" w14:textId="1F4E03DC" w:rsidR="007138F9" w:rsidRDefault="007138F9" w:rsidP="007138F9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highlight w:val="yellow"/>
                <w:lang w:eastAsia="en-GB"/>
              </w:rPr>
              <w:t>Work on-going &amp; to be finalised:</w:t>
            </w:r>
          </w:p>
          <w:p w14:paraId="36426813" w14:textId="0969EAD3" w:rsidR="00632B90" w:rsidRPr="00632B90" w:rsidRDefault="00556CC4" w:rsidP="00632B9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NRMs for AI/ML inference capabilities and functions 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–</w:t>
            </w: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including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,</w:t>
            </w: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</w:p>
          <w:p w14:paraId="7DB03721" w14:textId="76CD586F" w:rsidR="00632B90" w:rsidRPr="00632B90" w:rsidRDefault="00556CC4" w:rsidP="00632B90">
            <w:pPr>
              <w:pStyle w:val="ListParagraph"/>
              <w:spacing w:after="0" w:line="240" w:lineRule="auto"/>
              <w:ind w:left="502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(a) the relation between the AI/ML       capabilities and SON functions, </w:t>
            </w:r>
            <w:proofErr w:type="spellStart"/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MDAFunction</w:t>
            </w:r>
            <w:proofErr w:type="spellEnd"/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, and </w:t>
            </w:r>
            <w:proofErr w:type="spellStart"/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AnLFFunction</w:t>
            </w:r>
            <w:proofErr w:type="spellEnd"/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, and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,</w:t>
            </w: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 xml:space="preserve"> </w:t>
            </w:r>
          </w:p>
          <w:p w14:paraId="2D1F867F" w14:textId="2C9F7DF7" w:rsidR="00556CC4" w:rsidRDefault="00556CC4" w:rsidP="004C78BC">
            <w:pPr>
              <w:pStyle w:val="ListParagraph"/>
              <w:spacing w:after="0" w:line="240" w:lineRule="auto"/>
              <w:ind w:left="502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</w:pPr>
            <w:r w:rsidRPr="00556CC4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(b) configurations for the AI/ML inference capabilities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,</w:t>
            </w:r>
          </w:p>
          <w:p w14:paraId="7CFD7E42" w14:textId="0A3559DC" w:rsidR="004C78BC" w:rsidRPr="00556CC4" w:rsidRDefault="004C78BC" w:rsidP="004C78BC">
            <w:pPr>
              <w:pStyle w:val="ListParagraph"/>
              <w:spacing w:after="0" w:line="240" w:lineRule="auto"/>
              <w:ind w:left="502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val="en-US" w:eastAsia="en-GB"/>
              </w:rPr>
              <w:t>Reporting of inference outcome</w:t>
            </w:r>
          </w:p>
          <w:p w14:paraId="1B52A885" w14:textId="20746014" w:rsidR="00AC02DA" w:rsidRDefault="00AC02DA" w:rsidP="00556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Address any gaps 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in 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the NRM, specially for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deployment and inference phase,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</w:t>
            </w:r>
          </w:p>
          <w:p w14:paraId="43C2FD5B" w14:textId="4BA4E7E4" w:rsidR="007138F9" w:rsidRDefault="006442B4" w:rsidP="00556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Address any proposals for further c</w:t>
            </w:r>
            <w:r w:rsidR="007138F9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apabilities for deployment 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phase</w:t>
            </w:r>
            <w:r w:rsidR="00632B90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,</w:t>
            </w:r>
          </w:p>
          <w:p w14:paraId="589891F3" w14:textId="17E9517D" w:rsidR="007138F9" w:rsidRDefault="006442B4" w:rsidP="00556CC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Discussion on the c</w:t>
            </w:r>
            <w:r w:rsidR="004A6921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apabilities for emulation phase</w:t>
            </w:r>
            <w:r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 xml:space="preserve"> and decide on whether to reschedule the work completely to Rel-19.</w:t>
            </w:r>
          </w:p>
          <w:p w14:paraId="0DAD5093" w14:textId="72FC2ECB" w:rsidR="00556CC4" w:rsidRPr="007138F9" w:rsidRDefault="00556CC4" w:rsidP="00556CC4">
            <w:pPr>
              <w:pStyle w:val="ListParagraph"/>
              <w:spacing w:after="0" w:line="240" w:lineRule="auto"/>
              <w:ind w:left="360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</w:p>
        </w:tc>
      </w:tr>
      <w:tr w:rsidR="009019B5" w:rsidRPr="00BD0E6A" w14:paraId="283C676F" w14:textId="77777777" w:rsidTr="009019B5">
        <w:trPr>
          <w:tblCellSpacing w:w="0" w:type="dxa"/>
        </w:trPr>
        <w:tc>
          <w:tcPr>
            <w:tcW w:w="189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7E4FB9A2" w14:textId="014A6BA9" w:rsidR="009019B5" w:rsidRPr="00F711CD" w:rsidRDefault="009019B5" w:rsidP="009019B5">
            <w:pPr>
              <w:spacing w:after="0" w:line="240" w:lineRule="auto"/>
              <w:rPr>
                <w:rFonts w:ascii="Arial" w:eastAsia="SimSun" w:hAnsi="Arial" w:cs="Arial"/>
                <w:b/>
                <w:color w:val="000000"/>
                <w:sz w:val="18"/>
                <w:szCs w:val="18"/>
                <w:lang w:val="en-US" w:eastAsia="en-GB"/>
              </w:rPr>
            </w:pPr>
            <w:r w:rsidRPr="00F711CD">
              <w:rPr>
                <w:rFonts w:ascii="Arial" w:eastAsia="DengXian" w:hAnsi="Arial" w:cs="Arial"/>
                <w:b/>
                <w:color w:val="000000"/>
                <w:kern w:val="24"/>
                <w:sz w:val="18"/>
                <w:szCs w:val="18"/>
                <w:lang w:eastAsia="en-GB"/>
              </w:rPr>
              <w:t>AIML_MGT</w:t>
            </w:r>
            <w:r w:rsidRPr="00F711CD">
              <w:rPr>
                <w:rFonts w:ascii="Arial" w:eastAsia="DengXian" w:hAnsi="Arial" w:cs="Arial" w:hint="eastAsia"/>
                <w:b/>
                <w:color w:val="000000"/>
                <w:kern w:val="24"/>
                <w:sz w:val="18"/>
                <w:szCs w:val="18"/>
                <w:lang w:eastAsia="zh-CN"/>
              </w:rPr>
              <w:t>_</w:t>
            </w:r>
            <w:r w:rsidRPr="00F711CD">
              <w:rPr>
                <w:rFonts w:ascii="Arial" w:eastAsia="DengXian" w:hAnsi="Arial" w:cs="Arial"/>
                <w:b/>
                <w:color w:val="000000"/>
                <w:kern w:val="24"/>
                <w:sz w:val="18"/>
                <w:szCs w:val="18"/>
                <w:lang w:eastAsia="zh-CN"/>
              </w:rPr>
              <w:t>WoP#2</w:t>
            </w:r>
          </w:p>
        </w:tc>
        <w:tc>
          <w:tcPr>
            <w:tcW w:w="358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auto"/>
          </w:tcPr>
          <w:p w14:paraId="5391748F" w14:textId="1F10DB15" w:rsidR="009019B5" w:rsidRPr="00F711CD" w:rsidRDefault="009019B5" w:rsidP="009019B5">
            <w:pPr>
              <w:spacing w:after="0" w:line="240" w:lineRule="auto"/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</w:pPr>
            <w:r w:rsidRPr="00F711CD">
              <w:rPr>
                <w:rFonts w:ascii="Arial" w:eastAsia="DengXian" w:hAnsi="Arial" w:cs="Arial"/>
                <w:color w:val="000000"/>
                <w:kern w:val="24"/>
                <w:sz w:val="18"/>
                <w:szCs w:val="18"/>
                <w:lang w:eastAsia="en-GB"/>
              </w:rPr>
              <w:t>To describe the deployment scenarios of the AI/ML management capabilities, with consideration of alignment with other relevant 3GPP WGs (e.g., RAN3, SA2) and ETSI ISG ZSM.</w:t>
            </w:r>
          </w:p>
        </w:tc>
        <w:tc>
          <w:tcPr>
            <w:tcW w:w="3530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14:paraId="0E3183C5" w14:textId="77777777" w:rsidR="009019B5" w:rsidRDefault="009019B5" w:rsidP="009019B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</w:pPr>
            <w:r w:rsidRPr="00BD0E6A">
              <w:rPr>
                <w:rFonts w:ascii="Arial" w:eastAsia="DengXian" w:hAnsi="Arial" w:cs="Arial"/>
                <w:b/>
                <w:bCs/>
                <w:color w:val="00B050"/>
                <w:kern w:val="24"/>
                <w:sz w:val="18"/>
                <w:szCs w:val="18"/>
                <w:lang w:eastAsia="en-GB"/>
              </w:rPr>
              <w:t>Completed</w:t>
            </w:r>
          </w:p>
          <w:p w14:paraId="2CF0AD7D" w14:textId="7C871DD5" w:rsidR="009019B5" w:rsidRPr="00BD0E6A" w:rsidRDefault="007138F9" w:rsidP="007138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</w:pPr>
            <w:r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 xml:space="preserve">Addressed in clause </w:t>
            </w:r>
            <w:r w:rsidR="00AC02DA">
              <w:rPr>
                <w:rFonts w:ascii="Arial" w:eastAsia="DengXian" w:hAnsi="Arial" w:cs="Arial"/>
                <w:kern w:val="24"/>
                <w:sz w:val="18"/>
                <w:szCs w:val="18"/>
                <w:lang w:eastAsia="en-GB"/>
              </w:rPr>
              <w:t>4a.2.</w:t>
            </w:r>
          </w:p>
        </w:tc>
      </w:tr>
    </w:tbl>
    <w:p w14:paraId="3A5261E9" w14:textId="77777777" w:rsidR="009019B5" w:rsidRDefault="009019B5"/>
    <w:p w14:paraId="5D45A949" w14:textId="77777777" w:rsidR="009019B5" w:rsidRPr="009019B5" w:rsidRDefault="009019B5" w:rsidP="009019B5">
      <w:pPr>
        <w:rPr>
          <w:rFonts w:ascii="Arial" w:hAnsi="Arial" w:cs="Arial"/>
          <w:b/>
          <w:bCs/>
        </w:rPr>
      </w:pPr>
      <w:r w:rsidRPr="009019B5">
        <w:rPr>
          <w:rFonts w:ascii="Arial" w:hAnsi="Arial" w:cs="Arial"/>
          <w:b/>
          <w:bCs/>
        </w:rPr>
        <w:t xml:space="preserve">Plan for SA5#153: </w:t>
      </w:r>
    </w:p>
    <w:p w14:paraId="3C8FBF33" w14:textId="6735259D" w:rsidR="00556CC4" w:rsidRPr="009019B5" w:rsidRDefault="00632B90" w:rsidP="009019B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Address contributions for WoP#1 focusing on the items identified above and decide </w:t>
      </w:r>
      <w:r w:rsidR="00BD30E9">
        <w:rPr>
          <w:rFonts w:ascii="Arial" w:hAnsi="Arial" w:cs="Arial"/>
        </w:rPr>
        <w:t>upon what</w:t>
      </w:r>
      <w:r>
        <w:rPr>
          <w:rFonts w:ascii="Arial" w:hAnsi="Arial" w:cs="Arial"/>
        </w:rPr>
        <w:t xml:space="preserve"> need</w:t>
      </w:r>
      <w:r w:rsidR="00BD30E9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be rescheduled t</w:t>
      </w:r>
      <w:r w:rsidR="00556CC4">
        <w:rPr>
          <w:rFonts w:ascii="Arial" w:hAnsi="Arial" w:cs="Arial"/>
        </w:rPr>
        <w:t>o Rel-19</w:t>
      </w:r>
      <w:r>
        <w:rPr>
          <w:rFonts w:ascii="Arial" w:hAnsi="Arial" w:cs="Arial"/>
        </w:rPr>
        <w:t>,</w:t>
      </w:r>
    </w:p>
    <w:p w14:paraId="7F54CB9B" w14:textId="6088C610" w:rsidR="00632B90" w:rsidRPr="009019B5" w:rsidRDefault="00632B90" w:rsidP="00632B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Draft </w:t>
      </w:r>
      <w:r w:rsidRPr="009019B5">
        <w:rPr>
          <w:rFonts w:ascii="Arial" w:hAnsi="Arial" w:cs="Arial"/>
        </w:rPr>
        <w:t xml:space="preserve">CR </w:t>
      </w:r>
      <w:r>
        <w:rPr>
          <w:rFonts w:ascii="Arial" w:hAnsi="Arial" w:cs="Arial"/>
        </w:rPr>
        <w:t xml:space="preserve">cleanup, including </w:t>
      </w:r>
      <w:r w:rsidRPr="009019B5">
        <w:rPr>
          <w:rFonts w:ascii="Arial" w:hAnsi="Arial" w:cs="Arial"/>
        </w:rPr>
        <w:t>corrections/editorials, and</w:t>
      </w:r>
    </w:p>
    <w:p w14:paraId="7313FAC8" w14:textId="77777777" w:rsidR="00632B90" w:rsidRPr="009019B5" w:rsidRDefault="00632B90" w:rsidP="00632B9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9019B5">
        <w:rPr>
          <w:rFonts w:ascii="Arial" w:hAnsi="Arial" w:cs="Arial"/>
        </w:rPr>
        <w:t xml:space="preserve">Convert the final draft CR into CR &amp; </w:t>
      </w:r>
      <w:r>
        <w:rPr>
          <w:rFonts w:ascii="Arial" w:hAnsi="Arial" w:cs="Arial"/>
        </w:rPr>
        <w:t xml:space="preserve">prepare the </w:t>
      </w:r>
      <w:r w:rsidRPr="009019B5">
        <w:rPr>
          <w:rFonts w:ascii="Arial" w:hAnsi="Arial" w:cs="Arial"/>
        </w:rPr>
        <w:t xml:space="preserve">submission to SA for </w:t>
      </w:r>
      <w:r>
        <w:rPr>
          <w:rFonts w:ascii="Arial" w:hAnsi="Arial" w:cs="Arial"/>
        </w:rPr>
        <w:t xml:space="preserve">final </w:t>
      </w:r>
      <w:r w:rsidRPr="009019B5">
        <w:rPr>
          <w:rFonts w:ascii="Arial" w:hAnsi="Arial" w:cs="Arial"/>
        </w:rPr>
        <w:t>approval.</w:t>
      </w:r>
    </w:p>
    <w:p w14:paraId="0F04E1DE" w14:textId="77777777" w:rsidR="009019B5" w:rsidRPr="00B814F4" w:rsidRDefault="009019B5" w:rsidP="00B814F4">
      <w:pPr>
        <w:pStyle w:val="Heading1"/>
        <w:rPr>
          <w:b/>
          <w:color w:val="auto"/>
        </w:rPr>
      </w:pPr>
    </w:p>
    <w:p w14:paraId="3579363C" w14:textId="024071A3" w:rsidR="00B814F4" w:rsidRPr="00B814F4" w:rsidRDefault="001511E4" w:rsidP="00B814F4">
      <w:pPr>
        <w:pStyle w:val="Heading1"/>
        <w:rPr>
          <w:rFonts w:ascii="Arial" w:hAnsi="Arial" w:cs="Arial"/>
          <w:b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 xml:space="preserve">Rel-19 </w:t>
      </w:r>
      <w:r w:rsidR="00B814F4" w:rsidRPr="00B814F4">
        <w:rPr>
          <w:rFonts w:ascii="Arial" w:hAnsi="Arial" w:cs="Arial"/>
          <w:b/>
          <w:color w:val="auto"/>
          <w:sz w:val="24"/>
          <w:szCs w:val="24"/>
        </w:rPr>
        <w:t>Study on AI/ML management phase 2 (Intel, NEC):</w:t>
      </w:r>
    </w:p>
    <w:p w14:paraId="6533BC30" w14:textId="77777777" w:rsidR="00B814F4" w:rsidRDefault="00B814F4"/>
    <w:p w14:paraId="42C64628" w14:textId="7BF70093" w:rsidR="005201A3" w:rsidRPr="001511E4" w:rsidRDefault="00B814F4" w:rsidP="001511E4">
      <w:pPr>
        <w:pStyle w:val="ListParagraph"/>
        <w:numPr>
          <w:ilvl w:val="0"/>
          <w:numId w:val="6"/>
        </w:numPr>
        <w:rPr>
          <w:lang w:val="en-US"/>
        </w:rPr>
      </w:pPr>
      <w:r w:rsidRPr="001511E4">
        <w:rPr>
          <w:b/>
          <w:bCs/>
          <w:lang w:val="en-US"/>
        </w:rPr>
        <w:t xml:space="preserve">Potential </w:t>
      </w:r>
      <w:r w:rsidR="005201A3" w:rsidRPr="001511E4">
        <w:rPr>
          <w:b/>
          <w:bCs/>
          <w:lang w:val="en-US"/>
        </w:rPr>
        <w:t>TU plan for SA5#153/#154/#155/#156 according to WTs</w:t>
      </w:r>
      <w:r w:rsidR="005201A3" w:rsidRPr="001511E4">
        <w:rPr>
          <w:lang w:val="en-US"/>
        </w:rPr>
        <w:t xml:space="preserve">. </w:t>
      </w:r>
    </w:p>
    <w:tbl>
      <w:tblPr>
        <w:tblStyle w:val="TableGrid"/>
        <w:tblW w:w="10308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1781"/>
        <w:gridCol w:w="936"/>
        <w:gridCol w:w="936"/>
        <w:gridCol w:w="999"/>
        <w:gridCol w:w="990"/>
        <w:gridCol w:w="990"/>
        <w:gridCol w:w="990"/>
        <w:gridCol w:w="990"/>
      </w:tblGrid>
      <w:tr w:rsidR="004679A5" w:rsidRPr="003F7E40" w14:paraId="156A1359" w14:textId="77777777" w:rsidTr="00E66088">
        <w:trPr>
          <w:jc w:val="center"/>
        </w:trPr>
        <w:tc>
          <w:tcPr>
            <w:tcW w:w="846" w:type="dxa"/>
            <w:shd w:val="clear" w:color="auto" w:fill="FFFF00"/>
          </w:tcPr>
          <w:p w14:paraId="1BD709FC" w14:textId="7C136E7B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proofErr w:type="spellStart"/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Abbr</w:t>
            </w:r>
            <w:proofErr w:type="spellEnd"/>
          </w:p>
        </w:tc>
        <w:tc>
          <w:tcPr>
            <w:tcW w:w="850" w:type="dxa"/>
            <w:shd w:val="clear" w:color="auto" w:fill="FFFF00"/>
          </w:tcPr>
          <w:p w14:paraId="23A6D533" w14:textId="69C1468E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Acronym</w:t>
            </w:r>
          </w:p>
        </w:tc>
        <w:tc>
          <w:tcPr>
            <w:tcW w:w="1781" w:type="dxa"/>
            <w:shd w:val="clear" w:color="auto" w:fill="FFFF00"/>
          </w:tcPr>
          <w:p w14:paraId="4845AE40" w14:textId="77777777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3GP</w:t>
            </w:r>
            <w:r w:rsidR="00D45AE9"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</w:t>
            </w: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 xml:space="preserve"> Rel-19 SA5 Study </w:t>
            </w:r>
            <w:r w:rsidR="00D45AE9"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and Work Items</w:t>
            </w:r>
          </w:p>
          <w:p w14:paraId="524DD866" w14:textId="32B02187" w:rsidR="00D45AE9" w:rsidRPr="003F7E40" w:rsidRDefault="00D45AE9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SID/WID title &amp; WT description</w:t>
            </w:r>
          </w:p>
        </w:tc>
        <w:tc>
          <w:tcPr>
            <w:tcW w:w="936" w:type="dxa"/>
            <w:shd w:val="clear" w:color="auto" w:fill="FFFF00"/>
          </w:tcPr>
          <w:p w14:paraId="0F7396DA" w14:textId="2941B733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Total TU (planned)</w:t>
            </w:r>
          </w:p>
        </w:tc>
        <w:tc>
          <w:tcPr>
            <w:tcW w:w="936" w:type="dxa"/>
            <w:shd w:val="clear" w:color="auto" w:fill="FFFF00"/>
          </w:tcPr>
          <w:p w14:paraId="606EDBD8" w14:textId="155447BE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Study TU (planned)</w:t>
            </w:r>
          </w:p>
        </w:tc>
        <w:tc>
          <w:tcPr>
            <w:tcW w:w="999" w:type="dxa"/>
            <w:shd w:val="clear" w:color="auto" w:fill="FFFF00"/>
          </w:tcPr>
          <w:p w14:paraId="17F4E595" w14:textId="4BEC7E1C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Normative TU (planned)</w:t>
            </w:r>
          </w:p>
        </w:tc>
        <w:tc>
          <w:tcPr>
            <w:tcW w:w="990" w:type="dxa"/>
            <w:shd w:val="clear" w:color="auto" w:fill="FFFF00"/>
          </w:tcPr>
          <w:p w14:paraId="29183F20" w14:textId="2DFE944A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Jan/Feb 2024 (SA5#153)</w:t>
            </w:r>
          </w:p>
        </w:tc>
        <w:tc>
          <w:tcPr>
            <w:tcW w:w="990" w:type="dxa"/>
            <w:shd w:val="clear" w:color="auto" w:fill="FFFF00"/>
          </w:tcPr>
          <w:p w14:paraId="223A78BB" w14:textId="522CEDC6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April 2024 (SA5#154)</w:t>
            </w:r>
          </w:p>
        </w:tc>
        <w:tc>
          <w:tcPr>
            <w:tcW w:w="990" w:type="dxa"/>
            <w:shd w:val="clear" w:color="auto" w:fill="FFFF00"/>
          </w:tcPr>
          <w:p w14:paraId="38366A10" w14:textId="732FA49C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May 2024 (SA5#155)</w:t>
            </w:r>
          </w:p>
        </w:tc>
        <w:tc>
          <w:tcPr>
            <w:tcW w:w="990" w:type="dxa"/>
            <w:shd w:val="clear" w:color="auto" w:fill="FFFF00"/>
          </w:tcPr>
          <w:p w14:paraId="1A8FB045" w14:textId="07F72FC2" w:rsidR="005201A3" w:rsidRPr="003F7E40" w:rsidRDefault="005201A3" w:rsidP="005201A3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3F7E40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Aug 2024 (SA5#156)</w:t>
            </w:r>
          </w:p>
        </w:tc>
      </w:tr>
      <w:tr w:rsidR="00AC5A30" w:rsidRPr="003F7E40" w14:paraId="4742D15D" w14:textId="77777777" w:rsidTr="00E66088">
        <w:trPr>
          <w:jc w:val="center"/>
        </w:trPr>
        <w:tc>
          <w:tcPr>
            <w:tcW w:w="846" w:type="dxa"/>
            <w:shd w:val="clear" w:color="auto" w:fill="D0CECE" w:themeFill="background2" w:themeFillShade="E6"/>
          </w:tcPr>
          <w:p w14:paraId="2174ED5D" w14:textId="62CED439" w:rsidR="005201A3" w:rsidRPr="00AA7750" w:rsidRDefault="00AC5A30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AIML </w:t>
            </w:r>
            <w:r w:rsidR="007C6C20"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</w:t>
            </w:r>
            <w:r w:rsidR="00E6608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GMT</w:t>
            </w:r>
          </w:p>
        </w:tc>
        <w:tc>
          <w:tcPr>
            <w:tcW w:w="850" w:type="dxa"/>
            <w:shd w:val="clear" w:color="auto" w:fill="D0CECE" w:themeFill="background2" w:themeFillShade="E6"/>
          </w:tcPr>
          <w:p w14:paraId="1DC2CCD3" w14:textId="555437FF" w:rsidR="005201A3" w:rsidRPr="00AA7750" w:rsidRDefault="00D45AE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FS_</w:t>
            </w:r>
            <w:r w:rsidRPr="00AA7750">
              <w:rPr>
                <w:rFonts w:ascii="Times New Roman" w:hAnsi="Times New Roman" w:cs="Times New Roman"/>
                <w:sz w:val="16"/>
                <w:szCs w:val="16"/>
                <w:lang w:eastAsia="zh-CN"/>
              </w:rPr>
              <w:t>AIML_MGT_Ph2</w:t>
            </w:r>
            <w:r w:rsidRPr="00AA7750">
              <w:rPr>
                <w:rFonts w:ascii="Times New Roman" w:hAnsi="Times New Roman" w:cs="Times New Roman"/>
                <w:sz w:val="16"/>
                <w:szCs w:val="16"/>
                <w:lang w:eastAsia="ja-JP"/>
              </w:rPr>
              <w:tab/>
            </w:r>
          </w:p>
        </w:tc>
        <w:tc>
          <w:tcPr>
            <w:tcW w:w="1781" w:type="dxa"/>
            <w:shd w:val="clear" w:color="auto" w:fill="D0CECE" w:themeFill="background2" w:themeFillShade="E6"/>
          </w:tcPr>
          <w:p w14:paraId="4DB8F696" w14:textId="77777777" w:rsidR="00D45AE9" w:rsidRPr="00D45AE9" w:rsidRDefault="00D45AE9" w:rsidP="00D45AE9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bookmarkStart w:id="4" w:name="_Hlk155795441"/>
            <w:r w:rsidRPr="00D45AE9">
              <w:rPr>
                <w:rFonts w:ascii="Times New Roman" w:hAnsi="Times New Roman" w:cs="Times New Roman"/>
                <w:bCs/>
                <w:sz w:val="16"/>
                <w:szCs w:val="16"/>
              </w:rPr>
              <w:t>SID Study on AI/ML management phase 2</w:t>
            </w:r>
          </w:p>
          <w:bookmarkEnd w:id="4"/>
          <w:p w14:paraId="55386B6E" w14:textId="77777777" w:rsidR="005201A3" w:rsidRPr="00AA7750" w:rsidRDefault="005201A3" w:rsidP="005201A3">
            <w:pPr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  <w:shd w:val="clear" w:color="auto" w:fill="D0CECE" w:themeFill="background2" w:themeFillShade="E6"/>
          </w:tcPr>
          <w:p w14:paraId="707E3E50" w14:textId="7991476C" w:rsidR="005201A3" w:rsidRPr="00AA7750" w:rsidRDefault="00D45AE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8.1</w:t>
            </w:r>
          </w:p>
        </w:tc>
        <w:tc>
          <w:tcPr>
            <w:tcW w:w="936" w:type="dxa"/>
            <w:shd w:val="clear" w:color="auto" w:fill="D0CECE" w:themeFill="background2" w:themeFillShade="E6"/>
          </w:tcPr>
          <w:p w14:paraId="36297DB9" w14:textId="561F7119" w:rsidR="005201A3" w:rsidRPr="00AA7750" w:rsidRDefault="00D45AE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4.2</w:t>
            </w:r>
          </w:p>
        </w:tc>
        <w:tc>
          <w:tcPr>
            <w:tcW w:w="999" w:type="dxa"/>
            <w:shd w:val="clear" w:color="auto" w:fill="D0CECE" w:themeFill="background2" w:themeFillShade="E6"/>
          </w:tcPr>
          <w:p w14:paraId="70C8E304" w14:textId="33918691" w:rsidR="005201A3" w:rsidRPr="00AA7750" w:rsidRDefault="00D45AE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3.9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65BA1539" w14:textId="113A4BD7" w:rsidR="005201A3" w:rsidRPr="00AA7750" w:rsidRDefault="00D45AE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2ECD26D1" w14:textId="3366D401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1.</w:t>
            </w:r>
            <w:r w:rsidR="00174F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0F56E41D" w14:textId="124191B1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7C6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  <w:tc>
          <w:tcPr>
            <w:tcW w:w="990" w:type="dxa"/>
            <w:shd w:val="clear" w:color="auto" w:fill="D0CECE" w:themeFill="background2" w:themeFillShade="E6"/>
          </w:tcPr>
          <w:p w14:paraId="1379EB41" w14:textId="787EF1B7" w:rsidR="005201A3" w:rsidRPr="00AA7750" w:rsidRDefault="003F7E40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1.</w:t>
            </w:r>
            <w:r w:rsidR="007C6C2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5</w:t>
            </w:r>
          </w:p>
        </w:tc>
      </w:tr>
      <w:tr w:rsidR="003F7E40" w:rsidRPr="003F7E40" w14:paraId="268980CF" w14:textId="77777777" w:rsidTr="00E66088">
        <w:trPr>
          <w:jc w:val="center"/>
        </w:trPr>
        <w:tc>
          <w:tcPr>
            <w:tcW w:w="846" w:type="dxa"/>
          </w:tcPr>
          <w:p w14:paraId="6966B1D4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23C0F213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15984631" w14:textId="554558CE" w:rsidR="003F7E40" w:rsidRPr="00AA7750" w:rsidRDefault="003F7E40" w:rsidP="003F7E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WT.1 Continue the study on AI/ML emulation, AI/ML inference coordination and ML knowledge transfer that are </w:t>
            </w:r>
            <w:proofErr w:type="spellStart"/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leftover</w:t>
            </w:r>
            <w:proofErr w:type="spellEnd"/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from Rel-18.</w:t>
            </w:r>
          </w:p>
          <w:p w14:paraId="3C13977F" w14:textId="77777777" w:rsidR="005201A3" w:rsidRPr="00AA7750" w:rsidRDefault="005201A3" w:rsidP="003F7E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56A7BFBF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7C73EFB4" w14:textId="5D6608C6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999" w:type="dxa"/>
          </w:tcPr>
          <w:p w14:paraId="06BFCD1F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072CD424" w14:textId="1288DC5F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5DD30D31" w14:textId="33FD0AC4" w:rsidR="005201A3" w:rsidRPr="00AA7750" w:rsidRDefault="00615811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0" w:type="dxa"/>
          </w:tcPr>
          <w:p w14:paraId="04ADFFC6" w14:textId="0041F6A4" w:rsidR="005201A3" w:rsidRPr="00AA7750" w:rsidRDefault="00615811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0" w:type="dxa"/>
          </w:tcPr>
          <w:p w14:paraId="223A02C8" w14:textId="36D8F7E7" w:rsidR="005201A3" w:rsidRPr="00AA7750" w:rsidRDefault="00615811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</w:tr>
      <w:tr w:rsidR="003F7E40" w:rsidRPr="003F7E40" w14:paraId="614B1136" w14:textId="77777777" w:rsidTr="00E66088">
        <w:trPr>
          <w:jc w:val="center"/>
        </w:trPr>
        <w:tc>
          <w:tcPr>
            <w:tcW w:w="846" w:type="dxa"/>
          </w:tcPr>
          <w:p w14:paraId="041F49FD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F6618A5" w14:textId="77777777" w:rsidR="005201A3" w:rsidRPr="00AA7750" w:rsidRDefault="005201A3" w:rsidP="003F7E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2E454A62" w14:textId="4E87B817" w:rsidR="003F7E40" w:rsidRPr="00AA7750" w:rsidRDefault="003F7E40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WT-2. Study the management aspects (LCM CM and PM) of AI/ML functionalities defined by other 3GPP WGs, </w:t>
            </w:r>
            <w:r w:rsidR="004679A5" w:rsidRPr="00AA7750">
              <w:rPr>
                <w:rFonts w:ascii="Times New Roman" w:hAnsi="Times New Roman" w:cs="Times New Roman"/>
                <w:sz w:val="16"/>
                <w:szCs w:val="16"/>
              </w:rPr>
              <w:t>including,</w:t>
            </w:r>
          </w:p>
          <w:p w14:paraId="39129E51" w14:textId="77777777" w:rsidR="004679A5" w:rsidRPr="00AA7750" w:rsidRDefault="004679A5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43624D" w14:textId="45D07FE5" w:rsidR="003F7E40" w:rsidRPr="00AA7750" w:rsidRDefault="003F7E40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WT-2.1</w:t>
            </w:r>
            <w:r w:rsidR="004679A5"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AI/ML model transfer in 5GS (SA1, Rel-18 WID 920037 and Rel-19 WID 1000030),</w:t>
            </w:r>
          </w:p>
          <w:p w14:paraId="3F1C502C" w14:textId="77777777" w:rsidR="004679A5" w:rsidRPr="00AA7750" w:rsidRDefault="004679A5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1EEF80" w14:textId="34B2816F" w:rsidR="003F7E40" w:rsidRPr="00AA7750" w:rsidRDefault="003F7E40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WT-2.2.</w:t>
            </w:r>
            <w:r w:rsidR="004679A5"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5GS support for AI/ML-based services (SA2, Rel-18 WID 980019)</w:t>
            </w:r>
          </w:p>
          <w:p w14:paraId="783EEDF8" w14:textId="77777777" w:rsidR="004679A5" w:rsidRPr="00AA7750" w:rsidRDefault="004679A5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D6DEF0" w14:textId="1D340BB6" w:rsidR="003F7E40" w:rsidRPr="00AA7750" w:rsidRDefault="003F7E40" w:rsidP="003F7E4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WT-2.3.</w:t>
            </w:r>
            <w:r w:rsidR="004679A5"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Support for AI/ML services at application enablement layer (SA6, Rel-18 WID 970036),</w:t>
            </w:r>
          </w:p>
          <w:p w14:paraId="4ACC5273" w14:textId="77777777" w:rsidR="005201A3" w:rsidRPr="00AA7750" w:rsidRDefault="005201A3" w:rsidP="003F7E40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1B83DDD2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2CE1852D" w14:textId="2D0685AB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999" w:type="dxa"/>
          </w:tcPr>
          <w:p w14:paraId="62BED88D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4E8684D2" w14:textId="723A7F4C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19A23FD6" w14:textId="0005AEA2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D5006A"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.2</w:t>
            </w:r>
          </w:p>
        </w:tc>
        <w:tc>
          <w:tcPr>
            <w:tcW w:w="990" w:type="dxa"/>
          </w:tcPr>
          <w:p w14:paraId="0077BC87" w14:textId="7A71FE52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D5006A"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</w:tcPr>
          <w:p w14:paraId="0C883AF9" w14:textId="7956F44C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D5006A"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3F7E40" w:rsidRPr="003F7E40" w14:paraId="6375CD96" w14:textId="77777777" w:rsidTr="00E66088">
        <w:trPr>
          <w:jc w:val="center"/>
        </w:trPr>
        <w:tc>
          <w:tcPr>
            <w:tcW w:w="846" w:type="dxa"/>
          </w:tcPr>
          <w:p w14:paraId="17E03726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FB0659B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60B3D50E" w14:textId="41D3D220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 xml:space="preserve">WT-3. Study the management aspects (LCM CM and PM) of AI/ML functionalities defined by 3GPP SA5 WG,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including,</w:t>
            </w:r>
          </w:p>
          <w:p w14:paraId="11D21879" w14:textId="77777777" w:rsidR="004679A5" w:rsidRPr="00AA7750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E017142" w14:textId="0B568498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WT-3.1.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MDA (Management Data Analytics) phase 3 (SA5)</w:t>
            </w:r>
          </w:p>
          <w:p w14:paraId="7D3692A4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31A4ABA5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15599B68" w14:textId="6BC13860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999" w:type="dxa"/>
          </w:tcPr>
          <w:p w14:paraId="29AB9CAE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37A68605" w14:textId="277AEF78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0A703A3F" w14:textId="3E86516D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  <w:r w:rsidR="00D5006A"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.1</w:t>
            </w:r>
          </w:p>
        </w:tc>
        <w:tc>
          <w:tcPr>
            <w:tcW w:w="990" w:type="dxa"/>
          </w:tcPr>
          <w:p w14:paraId="0E7740DB" w14:textId="4052EC3E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0" w:type="dxa"/>
          </w:tcPr>
          <w:p w14:paraId="0FFFCD5B" w14:textId="390BDF15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1406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</w:tr>
      <w:tr w:rsidR="003F7E40" w:rsidRPr="003F7E40" w14:paraId="30C66B0F" w14:textId="77777777" w:rsidTr="00E66088">
        <w:trPr>
          <w:jc w:val="center"/>
        </w:trPr>
        <w:tc>
          <w:tcPr>
            <w:tcW w:w="846" w:type="dxa"/>
          </w:tcPr>
          <w:p w14:paraId="395CCFCE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389CE349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017843C4" w14:textId="6DB92D66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 xml:space="preserve">WT-4.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 xml:space="preserve">Study the AI/ML management and operation capabilities to support different types of 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AI/ML technologies as needed to support the AI/ML in 5GS, such as Federated Learning, Reinforcement Learning, Online and Offline training, Distributed Learning, and Generative AI.</w:t>
            </w:r>
          </w:p>
          <w:p w14:paraId="75C82C00" w14:textId="77777777" w:rsidR="005201A3" w:rsidRPr="00AA7750" w:rsidRDefault="005201A3" w:rsidP="004679A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1B4CFCF4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7390E757" w14:textId="08DF6696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0.9</w:t>
            </w:r>
          </w:p>
        </w:tc>
        <w:tc>
          <w:tcPr>
            <w:tcW w:w="999" w:type="dxa"/>
          </w:tcPr>
          <w:p w14:paraId="1907F87B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61D45488" w14:textId="3241A8F5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29BBDB0C" w14:textId="30E11A1D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0" w:type="dxa"/>
          </w:tcPr>
          <w:p w14:paraId="26CF1595" w14:textId="17A2DAE1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174FE4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990" w:type="dxa"/>
          </w:tcPr>
          <w:p w14:paraId="717BADC6" w14:textId="62C10C00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</w:tr>
      <w:tr w:rsidR="003F7E40" w:rsidRPr="003F7E40" w14:paraId="6AAD9610" w14:textId="77777777" w:rsidTr="00E66088">
        <w:trPr>
          <w:jc w:val="center"/>
        </w:trPr>
        <w:tc>
          <w:tcPr>
            <w:tcW w:w="846" w:type="dxa"/>
          </w:tcPr>
          <w:p w14:paraId="4705E81B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48A61C7D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7A205FAF" w14:textId="0D1A30C7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WT-5. Study the sustainability aspect of AI/ML, including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444DB694" w14:textId="77777777" w:rsidR="004679A5" w:rsidRPr="00AA7750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703A70C" w14:textId="2D0FB8CF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WT-5.1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 xml:space="preserve">Evaluation of energy 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c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onsumption/efficiency impacts associated with AI/ML solutions for all operational phases (training, emulation, deployment, inference).</w:t>
            </w:r>
          </w:p>
          <w:p w14:paraId="279FC898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37DF3940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09A4116A" w14:textId="69228A81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999" w:type="dxa"/>
          </w:tcPr>
          <w:p w14:paraId="763CB5B8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1214461D" w14:textId="1BFB9B18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2ED27A2A" w14:textId="2976C97D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0" w:type="dxa"/>
          </w:tcPr>
          <w:p w14:paraId="5BA55680" w14:textId="60D83947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990" w:type="dxa"/>
          </w:tcPr>
          <w:p w14:paraId="70F46402" w14:textId="42262DE2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</w:tr>
      <w:tr w:rsidR="003F7E40" w:rsidRPr="003F7E40" w14:paraId="6F1AF17E" w14:textId="77777777" w:rsidTr="00E66088">
        <w:trPr>
          <w:jc w:val="center"/>
        </w:trPr>
        <w:tc>
          <w:tcPr>
            <w:tcW w:w="846" w:type="dxa"/>
          </w:tcPr>
          <w:p w14:paraId="2062CF0A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</w:tcPr>
          <w:p w14:paraId="09AD6357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781" w:type="dxa"/>
          </w:tcPr>
          <w:p w14:paraId="7B7E8177" w14:textId="014D0DB5" w:rsidR="004679A5" w:rsidRPr="00AA7750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WT-6. Further study the trustworthiness aspects related to the AI/ML functionalities in 5GS, including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7AB5BF19" w14:textId="77777777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39BD86" w14:textId="6161D59F" w:rsidR="004679A5" w:rsidRPr="00AA7750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WT-6.1Concept of trustworthiness for AI/ML in the context of OAM,</w:t>
            </w:r>
          </w:p>
          <w:p w14:paraId="738C262C" w14:textId="77777777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5288AEF" w14:textId="65C2E6A2" w:rsidR="004679A5" w:rsidRPr="004679A5" w:rsidRDefault="004679A5" w:rsidP="004679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WT-6.2</w:t>
            </w:r>
            <w:r w:rsidRPr="00AA77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679A5">
              <w:rPr>
                <w:rFonts w:ascii="Times New Roman" w:hAnsi="Times New Roman" w:cs="Times New Roman"/>
                <w:sz w:val="16"/>
                <w:szCs w:val="16"/>
              </w:rPr>
              <w:t>Data (e.g., measurements, events) to support calculation of trustworthiness indicators.</w:t>
            </w:r>
          </w:p>
          <w:p w14:paraId="5BC8B6A1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3E1316E7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36" w:type="dxa"/>
          </w:tcPr>
          <w:p w14:paraId="7D6282A4" w14:textId="390119D6" w:rsidR="005201A3" w:rsidRPr="00AA7750" w:rsidRDefault="0066473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0.6</w:t>
            </w:r>
          </w:p>
        </w:tc>
        <w:tc>
          <w:tcPr>
            <w:tcW w:w="999" w:type="dxa"/>
          </w:tcPr>
          <w:p w14:paraId="473ACEE7" w14:textId="77777777" w:rsidR="005201A3" w:rsidRPr="00AA7750" w:rsidRDefault="005201A3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90" w:type="dxa"/>
          </w:tcPr>
          <w:p w14:paraId="3620618A" w14:textId="1E79A443" w:rsidR="005201A3" w:rsidRPr="00AA7750" w:rsidRDefault="00B34549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990" w:type="dxa"/>
          </w:tcPr>
          <w:p w14:paraId="134ABB02" w14:textId="20E5071D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  <w:tc>
          <w:tcPr>
            <w:tcW w:w="990" w:type="dxa"/>
          </w:tcPr>
          <w:p w14:paraId="34F50755" w14:textId="177A0E29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</w:t>
            </w:r>
            <w:r w:rsidR="001406FD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2</w:t>
            </w:r>
          </w:p>
        </w:tc>
        <w:tc>
          <w:tcPr>
            <w:tcW w:w="990" w:type="dxa"/>
          </w:tcPr>
          <w:p w14:paraId="372705EC" w14:textId="7DCF651B" w:rsidR="005201A3" w:rsidRPr="00AA7750" w:rsidRDefault="00D5006A" w:rsidP="005201A3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AA775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0.2</w:t>
            </w:r>
          </w:p>
        </w:tc>
      </w:tr>
    </w:tbl>
    <w:p w14:paraId="623A8045" w14:textId="77777777" w:rsidR="005201A3" w:rsidRPr="005201A3" w:rsidRDefault="005201A3" w:rsidP="005201A3">
      <w:pPr>
        <w:rPr>
          <w:lang w:val="en-US"/>
        </w:rPr>
      </w:pPr>
    </w:p>
    <w:sectPr w:rsidR="005201A3" w:rsidRPr="00520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46D87"/>
    <w:multiLevelType w:val="hybridMultilevel"/>
    <w:tmpl w:val="613CCA1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070FE2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47E84301"/>
    <w:multiLevelType w:val="hybridMultilevel"/>
    <w:tmpl w:val="7898C92E"/>
    <w:lvl w:ilvl="0" w:tplc="B73620A4">
      <w:start w:val="1"/>
      <w:numFmt w:val="upperLetter"/>
      <w:lvlText w:val="%1)"/>
      <w:lvlJc w:val="left"/>
      <w:pPr>
        <w:ind w:left="70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8" w:hanging="360"/>
      </w:pPr>
    </w:lvl>
    <w:lvl w:ilvl="2" w:tplc="0809001B" w:tentative="1">
      <w:start w:val="1"/>
      <w:numFmt w:val="lowerRoman"/>
      <w:lvlText w:val="%3."/>
      <w:lvlJc w:val="right"/>
      <w:pPr>
        <w:ind w:left="2148" w:hanging="180"/>
      </w:pPr>
    </w:lvl>
    <w:lvl w:ilvl="3" w:tplc="0809000F" w:tentative="1">
      <w:start w:val="1"/>
      <w:numFmt w:val="decimal"/>
      <w:lvlText w:val="%4."/>
      <w:lvlJc w:val="left"/>
      <w:pPr>
        <w:ind w:left="2868" w:hanging="360"/>
      </w:pPr>
    </w:lvl>
    <w:lvl w:ilvl="4" w:tplc="08090019" w:tentative="1">
      <w:start w:val="1"/>
      <w:numFmt w:val="lowerLetter"/>
      <w:lvlText w:val="%5."/>
      <w:lvlJc w:val="left"/>
      <w:pPr>
        <w:ind w:left="3588" w:hanging="360"/>
      </w:pPr>
    </w:lvl>
    <w:lvl w:ilvl="5" w:tplc="0809001B" w:tentative="1">
      <w:start w:val="1"/>
      <w:numFmt w:val="lowerRoman"/>
      <w:lvlText w:val="%6."/>
      <w:lvlJc w:val="right"/>
      <w:pPr>
        <w:ind w:left="4308" w:hanging="180"/>
      </w:pPr>
    </w:lvl>
    <w:lvl w:ilvl="6" w:tplc="0809000F" w:tentative="1">
      <w:start w:val="1"/>
      <w:numFmt w:val="decimal"/>
      <w:lvlText w:val="%7."/>
      <w:lvlJc w:val="left"/>
      <w:pPr>
        <w:ind w:left="5028" w:hanging="360"/>
      </w:pPr>
    </w:lvl>
    <w:lvl w:ilvl="7" w:tplc="08090019" w:tentative="1">
      <w:start w:val="1"/>
      <w:numFmt w:val="lowerLetter"/>
      <w:lvlText w:val="%8."/>
      <w:lvlJc w:val="left"/>
      <w:pPr>
        <w:ind w:left="5748" w:hanging="360"/>
      </w:pPr>
    </w:lvl>
    <w:lvl w:ilvl="8" w:tplc="080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3" w15:restartNumberingAfterBreak="0">
    <w:nsid w:val="55C22949"/>
    <w:multiLevelType w:val="hybridMultilevel"/>
    <w:tmpl w:val="242E3B3A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CA6131"/>
    <w:multiLevelType w:val="hybridMultilevel"/>
    <w:tmpl w:val="0ABC3B22"/>
    <w:lvl w:ilvl="0" w:tplc="B9D494E2">
      <w:start w:val="6"/>
      <w:numFmt w:val="bullet"/>
      <w:lvlText w:val="-"/>
      <w:lvlJc w:val="left"/>
      <w:pPr>
        <w:ind w:left="360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7464715C"/>
    <w:multiLevelType w:val="hybridMultilevel"/>
    <w:tmpl w:val="33082C04"/>
    <w:lvl w:ilvl="0" w:tplc="B9D494E2">
      <w:start w:val="6"/>
      <w:numFmt w:val="bullet"/>
      <w:lvlText w:val="-"/>
      <w:lvlJc w:val="left"/>
      <w:pPr>
        <w:ind w:left="502" w:hanging="360"/>
      </w:pPr>
      <w:rPr>
        <w:rFonts w:ascii="Arial" w:eastAsia="DengXi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006515">
    <w:abstractNumId w:val="4"/>
  </w:num>
  <w:num w:numId="2" w16cid:durableId="1522209425">
    <w:abstractNumId w:val="5"/>
  </w:num>
  <w:num w:numId="3" w16cid:durableId="2061394909">
    <w:abstractNumId w:val="3"/>
  </w:num>
  <w:num w:numId="4" w16cid:durableId="1369141367">
    <w:abstractNumId w:val="2"/>
  </w:num>
  <w:num w:numId="5" w16cid:durableId="34504677">
    <w:abstractNumId w:val="1"/>
  </w:num>
  <w:num w:numId="6" w16cid:durableId="2139781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1CD"/>
    <w:rsid w:val="000261AC"/>
    <w:rsid w:val="00031A40"/>
    <w:rsid w:val="0003365E"/>
    <w:rsid w:val="000350B0"/>
    <w:rsid w:val="0006548B"/>
    <w:rsid w:val="001119B4"/>
    <w:rsid w:val="001406FD"/>
    <w:rsid w:val="00145811"/>
    <w:rsid w:val="001511E4"/>
    <w:rsid w:val="00174FE4"/>
    <w:rsid w:val="00197BF0"/>
    <w:rsid w:val="00203F06"/>
    <w:rsid w:val="00216A23"/>
    <w:rsid w:val="002526FB"/>
    <w:rsid w:val="00290C5F"/>
    <w:rsid w:val="002D52BA"/>
    <w:rsid w:val="003070BD"/>
    <w:rsid w:val="00337785"/>
    <w:rsid w:val="003639A0"/>
    <w:rsid w:val="003F7E40"/>
    <w:rsid w:val="00416D5C"/>
    <w:rsid w:val="004679A5"/>
    <w:rsid w:val="004A6921"/>
    <w:rsid w:val="004B65F5"/>
    <w:rsid w:val="004C78BC"/>
    <w:rsid w:val="004D68B2"/>
    <w:rsid w:val="004E29CD"/>
    <w:rsid w:val="00505822"/>
    <w:rsid w:val="005201A3"/>
    <w:rsid w:val="00556CC4"/>
    <w:rsid w:val="00590B3E"/>
    <w:rsid w:val="00615811"/>
    <w:rsid w:val="00632B90"/>
    <w:rsid w:val="006442B4"/>
    <w:rsid w:val="00664733"/>
    <w:rsid w:val="007138F9"/>
    <w:rsid w:val="00763DFF"/>
    <w:rsid w:val="007C6C20"/>
    <w:rsid w:val="007E54DE"/>
    <w:rsid w:val="0080059A"/>
    <w:rsid w:val="009019B5"/>
    <w:rsid w:val="00901C40"/>
    <w:rsid w:val="00904C7B"/>
    <w:rsid w:val="00AA7750"/>
    <w:rsid w:val="00AC02DA"/>
    <w:rsid w:val="00AC5A30"/>
    <w:rsid w:val="00AF74C0"/>
    <w:rsid w:val="00B12AEB"/>
    <w:rsid w:val="00B34549"/>
    <w:rsid w:val="00B814F4"/>
    <w:rsid w:val="00BD0E6A"/>
    <w:rsid w:val="00BD30E9"/>
    <w:rsid w:val="00C11981"/>
    <w:rsid w:val="00C92E25"/>
    <w:rsid w:val="00C94E68"/>
    <w:rsid w:val="00CA03F2"/>
    <w:rsid w:val="00CA1A57"/>
    <w:rsid w:val="00CC3BFC"/>
    <w:rsid w:val="00CE2E11"/>
    <w:rsid w:val="00D45AE9"/>
    <w:rsid w:val="00D5006A"/>
    <w:rsid w:val="00DF707C"/>
    <w:rsid w:val="00E66088"/>
    <w:rsid w:val="00E67D58"/>
    <w:rsid w:val="00F002E1"/>
    <w:rsid w:val="00F711CD"/>
    <w:rsid w:val="00F870EF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08D03"/>
  <w15:chartTrackingRefBased/>
  <w15:docId w15:val="{278A0E16-FFE5-4166-8C66-2105DFBD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14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7D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870E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870E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BD0E6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E67D5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119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119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119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19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19B4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201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14F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1406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63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 EUROPE LTD</Company>
  <LinksUpToDate>false</LinksUpToDate>
  <CharactersWithSpaces>7121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NEC_Hassan Al-Kanani</dc:creator>
  <cp:keywords/>
  <dc:description/>
  <cp:lastModifiedBy>NEC_Hassan Al-Kanani</cp:lastModifiedBy>
  <cp:revision>2</cp:revision>
  <dcterms:created xsi:type="dcterms:W3CDTF">2024-01-11T10:03:00Z</dcterms:created>
  <dcterms:modified xsi:type="dcterms:W3CDTF">2024-01-11T10:03:00Z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78005ce-31f4-4f90-bc26-ec23758efcb0_Enabled">
    <vt:lpwstr>true</vt:lpwstr>
  </property>
  <property fmtid="{D5CDD505-2E9C-101B-9397-08002B2CF9AE}" pid="3" name="MSIP_Label_278005ce-31f4-4f90-bc26-ec23758efcb0_SetDate">
    <vt:lpwstr>2024-01-09T16:35:55Z</vt:lpwstr>
  </property>
  <property fmtid="{D5CDD505-2E9C-101B-9397-08002B2CF9AE}" pid="4" name="MSIP_Label_278005ce-31f4-4f90-bc26-ec23758efcb0_Method">
    <vt:lpwstr>Standard</vt:lpwstr>
  </property>
  <property fmtid="{D5CDD505-2E9C-101B-9397-08002B2CF9AE}" pid="5" name="MSIP_Label_278005ce-31f4-4f90-bc26-ec23758efcb0_Name">
    <vt:lpwstr>General</vt:lpwstr>
  </property>
  <property fmtid="{D5CDD505-2E9C-101B-9397-08002B2CF9AE}" pid="6" name="MSIP_Label_278005ce-31f4-4f90-bc26-ec23758efcb0_SiteId">
    <vt:lpwstr>6d49d47f-3280-4627-8c09-4450bafd1a23</vt:lpwstr>
  </property>
  <property fmtid="{D5CDD505-2E9C-101B-9397-08002B2CF9AE}" pid="7" name="MSIP_Label_278005ce-31f4-4f90-bc26-ec23758efcb0_ActionId">
    <vt:lpwstr>408809fd-8b3d-4dd3-b4ea-b92038291284</vt:lpwstr>
  </property>
  <property fmtid="{D5CDD505-2E9C-101B-9397-08002B2CF9AE}" pid="8" name="MSIP_Label_278005ce-31f4-4f90-bc26-ec23758efcb0_ContentBits">
    <vt:lpwstr>0</vt:lpwstr>
  </property>
</Properties>
</file>