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20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1168</w:t>
      </w:r>
    </w:p>
    <w:p>
      <w:pPr>
        <w:pStyle w:val="62"/>
        <w:rPr>
          <w:rFonts w:hint="default" w:eastAsia="宋体"/>
          <w:sz w:val="22"/>
          <w:szCs w:val="22"/>
          <w:lang w:val="en-US" w:eastAsia="zh-CN"/>
        </w:rPr>
      </w:pPr>
      <w:r>
        <w:rPr>
          <w:rFonts w:cs="Arial"/>
          <w:sz w:val="22"/>
          <w:szCs w:val="22"/>
        </w:rPr>
        <w:t>Athens, Greece, 17 - 21 February 2025</w:t>
      </w:r>
      <w:r>
        <w:rPr>
          <w:rFonts w:hint="eastAsia" w:eastAsia="宋体" w:cs="Arial"/>
          <w:sz w:val="22"/>
          <w:szCs w:val="22"/>
          <w:lang w:val="en-US" w:eastAsia="zh-CN"/>
        </w:rPr>
        <w:t xml:space="preserve">                                                      Revision of </w:t>
      </w:r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0489</w:t>
      </w:r>
    </w:p>
    <w:p>
      <w:pPr>
        <w:pStyle w:val="128"/>
        <w:outlineLvl w:val="0"/>
        <w:rPr>
          <w:b/>
          <w:bCs/>
          <w:sz w:val="24"/>
        </w:rPr>
      </w:pP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  <w:highlight w:val="green"/>
              </w:rPr>
              <w:t>Draft</w:t>
            </w:r>
            <w:r>
              <w:rPr>
                <w:rFonts w:hint="eastAsia" w:eastAsia="宋体"/>
                <w:b/>
                <w:sz w:val="32"/>
                <w:highlight w:val="green"/>
                <w:lang w:val="en-US" w:eastAsia="zh-CN"/>
              </w:rPr>
              <w:t xml:space="preserve"> </w:t>
            </w: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ascii="Arial" w:hAnsi="Arial" w:eastAsia="Times New Roman" w:cs="Times New Roman"/>
                <w:b/>
                <w:sz w:val="28"/>
                <w:lang w:val="en-US" w:eastAsia="zh-CN"/>
              </w:rPr>
              <w:t>33.501</w:t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draft-CR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t>Living CR for</w:t>
            </w:r>
            <w:r>
              <w:rPr>
                <w:rFonts w:hint="eastAsia" w:eastAsia="宋体"/>
                <w:lang w:val="en-US" w:eastAsia="zh-CN"/>
              </w:rPr>
              <w:t xml:space="preserve"> security for PLMN hosting a NPN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Telecom, 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/>
              </w:rPr>
              <w:t>1060067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02-17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Rel-</w:t>
            </w:r>
            <w:r>
              <w:rPr>
                <w:rFonts w:hint="eastAsia" w:eastAsia="宋体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The feature of security for PLMN hosting a NPN needs to be added.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Living CR</w:t>
            </w:r>
            <w:r>
              <w:rPr>
                <w:rFonts w:hint="eastAsia"/>
              </w:rPr>
              <w:t xml:space="preserve"> for how the work on the </w:t>
            </w:r>
            <w:r>
              <w:rPr>
                <w:rFonts w:hint="eastAsia" w:eastAsia="宋体"/>
                <w:lang w:val="en-US" w:eastAsia="zh-CN"/>
              </w:rPr>
              <w:t>security for PLMN hosting a NPN</w:t>
            </w:r>
            <w:r>
              <w:rPr>
                <w:rFonts w:hint="eastAsia"/>
              </w:rPr>
              <w:t xml:space="preserve"> study can be </w:t>
            </w:r>
            <w:r>
              <w:t>implemented</w:t>
            </w:r>
            <w:r>
              <w:rPr>
                <w:rFonts w:hint="eastAsia"/>
              </w:rPr>
              <w:t xml:space="preserve"> in TS 33.501.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This draft CR is intended to compile a list of recommendations</w:t>
            </w:r>
            <w:r>
              <w:rPr>
                <w:rFonts w:hint="eastAsia"/>
              </w:rPr>
              <w:t>, based on the conclusions in TR 33.757, on how to secure the border between PLMN and host</w:t>
            </w:r>
            <w:r>
              <w:rPr>
                <w:rFonts w:hint="eastAsia" w:eastAsia="宋体"/>
                <w:lang w:val="en-US" w:eastAsia="zh-CN"/>
              </w:rPr>
              <w:t>ed</w:t>
            </w:r>
            <w:r>
              <w:rPr>
                <w:rFonts w:hint="eastAsia"/>
              </w:rPr>
              <w:t xml:space="preserve"> NPN when dedicated NFs interacting with PLMN through SBA interface.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The work item is incomplete.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Annex xx(new)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  <w:bookmarkStart w:id="7" w:name="_GoBack"/>
      <w:bookmarkEnd w:id="7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11"/>
        <w:rPr>
          <w:rFonts w:hint="default" w:eastAsia="宋体"/>
          <w:lang w:val="en-US" w:eastAsia="zh-CN"/>
        </w:rPr>
      </w:pPr>
      <w:r>
        <w:t xml:space="preserve">Annex </w:t>
      </w:r>
      <w:r>
        <w:rPr>
          <w:rFonts w:hint="eastAsia" w:eastAsia="宋体"/>
          <w:lang w:val="en-US" w:eastAsia="zh-CN"/>
        </w:rPr>
        <w:t>XX</w:t>
      </w:r>
      <w:r>
        <w:t xml:space="preserve"> (Informative): </w:t>
      </w:r>
      <w:r>
        <w:rPr>
          <w:rFonts w:hint="eastAsia" w:eastAsia="宋体"/>
          <w:lang w:val="en-US" w:eastAsia="zh-CN"/>
        </w:rPr>
        <w:t>Security for PLMN hosting a NPN through SBA interface</w:t>
      </w:r>
    </w:p>
    <w:p>
      <w:pPr>
        <w:pStyle w:val="3"/>
        <w:rPr>
          <w:lang w:eastAsia="zh-CN"/>
        </w:rPr>
      </w:pPr>
      <w:bookmarkStart w:id="1" w:name="_Toc122096528"/>
      <w:bookmarkStart w:id="2" w:name="_Toc44943940"/>
      <w:bookmarkStart w:id="3" w:name="_Toc532211226"/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.1</w:t>
      </w:r>
      <w:r>
        <w:rPr>
          <w:lang w:eastAsia="zh-CN"/>
        </w:rPr>
        <w:tab/>
      </w:r>
      <w:bookmarkEnd w:id="1"/>
      <w:bookmarkEnd w:id="2"/>
      <w:bookmarkEnd w:id="3"/>
      <w:r>
        <w:t>General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color w:val="000000"/>
          <w:lang w:val="en-US" w:eastAsia="zh-CN"/>
        </w:rPr>
      </w:pPr>
      <w:bookmarkStart w:id="4" w:name="_Toc532211227"/>
      <w:bookmarkStart w:id="5" w:name="_Toc122096529"/>
      <w:bookmarkStart w:id="6" w:name="_Toc44943941"/>
      <w:r>
        <w:rPr>
          <w:color w:val="000000"/>
        </w:rPr>
        <w:t xml:space="preserve">This annex </w:t>
      </w:r>
      <w:r>
        <w:rPr>
          <w:rFonts w:hint="eastAsia"/>
        </w:rPr>
        <w:t>specifies</w:t>
      </w:r>
      <w:r>
        <w:rPr>
          <w:rFonts w:hint="eastAsia"/>
          <w:lang w:val="en-US" w:eastAsia="zh-CN"/>
        </w:rPr>
        <w:t xml:space="preserve"> the </w:t>
      </w:r>
      <w:r>
        <w:rPr>
          <w:rFonts w:hint="eastAsia"/>
        </w:rPr>
        <w:t xml:space="preserve">security </w:t>
      </w:r>
      <w:r>
        <w:t>aspects</w:t>
      </w:r>
      <w:r>
        <w:rPr>
          <w:rFonts w:hint="eastAsia"/>
          <w:lang w:val="en-US" w:eastAsia="zh-CN"/>
        </w:rPr>
        <w:t xml:space="preserve"> of PLMN host</w:t>
      </w:r>
      <w:r>
        <w:rPr>
          <w:lang w:val="en-US" w:eastAsia="zh-CN"/>
        </w:rPr>
        <w:t>ing</w:t>
      </w:r>
      <w:r>
        <w:rPr>
          <w:rFonts w:hint="eastAsia"/>
          <w:lang w:val="en-US" w:eastAsia="zh-CN"/>
        </w:rPr>
        <w:t xml:space="preserve"> an NPN with </w:t>
      </w:r>
      <w:r>
        <w:rPr>
          <w:rFonts w:cs="Arial"/>
          <w:lang w:eastAsia="zh-CN"/>
        </w:rPr>
        <w:t xml:space="preserve">dedicated NFs deployed in </w:t>
      </w:r>
      <w:r>
        <w:rPr>
          <w:rFonts w:hint="eastAsia" w:cs="Arial"/>
          <w:lang w:val="en-US" w:eastAsia="zh-CN"/>
        </w:rPr>
        <w:t xml:space="preserve">the </w:t>
      </w:r>
      <w:r>
        <w:rPr>
          <w:rFonts w:hint="eastAsia" w:eastAsia="等线"/>
          <w:lang w:val="en-US" w:eastAsia="zh-CN" w:bidi="ar"/>
        </w:rPr>
        <w:t>PNI_NPN operational domain</w:t>
      </w:r>
      <w:r>
        <w:rPr>
          <w:rFonts w:hint="eastAsia" w:cs="Arial"/>
          <w:lang w:val="en-US" w:eastAsia="zh-CN"/>
        </w:rPr>
        <w:t>.</w:t>
      </w:r>
      <w:r>
        <w:rPr>
          <w:rFonts w:cs="Arial"/>
          <w:lang w:val="en-US" w:eastAsia="zh-CN"/>
        </w:rPr>
        <w:t xml:space="preserve"> </w:t>
      </w:r>
      <w:r>
        <w:rPr>
          <w:rFonts w:hint="eastAsia" w:cs="Arial"/>
          <w:lang w:val="en-US" w:eastAsia="zh-CN"/>
        </w:rPr>
        <w:t>Th</w:t>
      </w:r>
      <w:r>
        <w:rPr>
          <w:rFonts w:cs="Arial"/>
          <w:lang w:val="en-US" w:eastAsia="zh-CN"/>
        </w:rPr>
        <w:t>e</w:t>
      </w:r>
      <w:r>
        <w:rPr>
          <w:rFonts w:hint="eastAsia" w:cs="Arial"/>
          <w:lang w:val="en-US" w:eastAsia="zh-CN"/>
        </w:rPr>
        <w:t xml:space="preserve"> annex describes</w:t>
      </w:r>
      <w:r>
        <w:t xml:space="preserve"> how to secure the boundary between PLMN </w:t>
      </w:r>
      <w:r>
        <w:rPr>
          <w:rFonts w:hint="eastAsia" w:eastAsia="等线"/>
          <w:lang w:val="en-US" w:eastAsia="zh-CN" w:bidi="ar"/>
        </w:rPr>
        <w:t xml:space="preserve">operational domain </w:t>
      </w:r>
      <w:r>
        <w:t xml:space="preserve">and </w:t>
      </w:r>
      <w:r>
        <w:rPr>
          <w:rFonts w:hint="eastAsia" w:eastAsia="等线"/>
          <w:lang w:val="en-US" w:eastAsia="zh-CN" w:bidi="ar"/>
        </w:rPr>
        <w:t>PNI_NPN operational domain</w:t>
      </w:r>
      <w:r>
        <w:t xml:space="preserve"> when dedicated NFs interacting with </w:t>
      </w:r>
      <w:r>
        <w:rPr>
          <w:rFonts w:hint="eastAsia" w:eastAsia="Times New Roman"/>
          <w:lang w:val="en-US" w:eastAsia="zh-CN"/>
        </w:rPr>
        <w:t>PLMN operational domain</w:t>
      </w:r>
      <w:r>
        <w:t xml:space="preserve"> through SBA interface</w:t>
      </w:r>
      <w:r>
        <w:rPr>
          <w:rFonts w:hint="eastAsia"/>
          <w:lang w:val="en-US" w:eastAsia="zh-CN"/>
        </w:rPr>
        <w:t xml:space="preserve"> and vice versa</w:t>
      </w:r>
      <w:r>
        <w:rPr>
          <w:rFonts w:hint="eastAsia"/>
          <w:color w:val="00000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 xml:space="preserve"> </w:t>
      </w:r>
    </w:p>
    <w:p>
      <w:pPr>
        <w:pStyle w:val="121"/>
        <w:ind w:left="0" w:firstLine="0"/>
        <w:rPr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This annex is based on the following assumptions:</w:t>
      </w:r>
    </w:p>
    <w:p>
      <w:pPr>
        <w:pStyle w:val="82"/>
        <w:ind w:left="568" w:hanging="284"/>
        <w:rPr>
          <w:rFonts w:eastAsia="等线"/>
          <w:sz w:val="20"/>
          <w:szCs w:val="20"/>
          <w:lang w:val="en-US" w:eastAsia="zh-CN" w:bidi="ar"/>
        </w:rPr>
      </w:pPr>
      <w:r>
        <w:rPr>
          <w:rFonts w:eastAsia="等线"/>
          <w:sz w:val="20"/>
          <w:szCs w:val="20"/>
          <w:lang w:val="en-US" w:eastAsia="zh-CN" w:bidi="ar"/>
        </w:rPr>
        <w:t>-</w:t>
      </w:r>
      <w:r>
        <w:rPr>
          <w:rFonts w:eastAsia="等线"/>
          <w:sz w:val="20"/>
          <w:szCs w:val="20"/>
          <w:lang w:val="en-US" w:eastAsia="zh-CN" w:bidi="ar"/>
        </w:rPr>
        <w:tab/>
      </w:r>
      <w:r>
        <w:rPr>
          <w:rFonts w:hint="eastAsia" w:eastAsia="等线"/>
          <w:sz w:val="20"/>
          <w:szCs w:val="20"/>
          <w:lang w:val="en-US" w:eastAsia="zh-CN" w:bidi="ar"/>
        </w:rPr>
        <w:t>M</w:t>
      </w:r>
      <w:r>
        <w:rPr>
          <w:rFonts w:eastAsia="等线"/>
          <w:sz w:val="20"/>
          <w:szCs w:val="20"/>
          <w:lang w:val="en-US" w:eastAsia="zh-CN" w:bidi="ar"/>
        </w:rPr>
        <w:t xml:space="preserve">utual trust between </w:t>
      </w:r>
      <w:r>
        <w:rPr>
          <w:rFonts w:hint="eastAsia" w:eastAsia="等线"/>
          <w:sz w:val="20"/>
          <w:szCs w:val="20"/>
          <w:lang w:val="en-US" w:eastAsia="zh-CN" w:bidi="ar"/>
        </w:rPr>
        <w:t>PLMN operational domain and the dedicated Network functions at the PNI_NPN operational domain is not in place</w:t>
      </w:r>
      <w:r>
        <w:rPr>
          <w:rFonts w:eastAsia="等线"/>
          <w:sz w:val="20"/>
          <w:szCs w:val="20"/>
          <w:lang w:val="en-US" w:eastAsia="zh-CN" w:bidi="ar"/>
        </w:rPr>
        <w:t>.</w:t>
      </w:r>
    </w:p>
    <w:p>
      <w:pPr>
        <w:pStyle w:val="82"/>
        <w:ind w:left="568" w:hanging="284"/>
        <w:rPr>
          <w:rFonts w:hint="eastAsia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</w:pPr>
      <w:r>
        <w:rPr>
          <w:rFonts w:eastAsia="等线"/>
          <w:sz w:val="20"/>
          <w:szCs w:val="20"/>
          <w:lang w:val="en-US" w:eastAsia="zh-CN" w:bidi="ar"/>
        </w:rPr>
        <w:t>-</w:t>
      </w:r>
      <w:r>
        <w:rPr>
          <w:rFonts w:eastAsia="等线"/>
          <w:sz w:val="20"/>
          <w:szCs w:val="20"/>
          <w:lang w:val="en-US" w:eastAsia="zh-CN" w:bidi="ar"/>
        </w:rPr>
        <w:tab/>
      </w:r>
      <w:r>
        <w:rPr>
          <w:rFonts w:hint="eastAsia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>A</w:t>
      </w:r>
      <w:r>
        <w:rPr>
          <w:rFonts w:hint="default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 xml:space="preserve">ttacks </w:t>
      </w:r>
      <w:r>
        <w:rPr>
          <w:rFonts w:hint="eastAsia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 xml:space="preserve">may </w:t>
      </w:r>
      <w:r>
        <w:rPr>
          <w:rFonts w:hint="default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 xml:space="preserve">happen from </w:t>
      </w:r>
      <w:r>
        <w:rPr>
          <w:rFonts w:hint="eastAsia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>PNI_</w:t>
      </w:r>
      <w:r>
        <w:rPr>
          <w:rFonts w:hint="default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>NPN</w:t>
      </w:r>
      <w:r>
        <w:rPr>
          <w:rFonts w:hint="eastAsia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 xml:space="preserve"> operational domain</w:t>
      </w:r>
      <w:r>
        <w:rPr>
          <w:rFonts w:hint="default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 xml:space="preserve"> to PLMN</w:t>
      </w:r>
      <w:r>
        <w:rPr>
          <w:rFonts w:hint="eastAsia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 xml:space="preserve"> operational domain and PLMN operational domain to PNI_NPN operational domain.</w:t>
      </w:r>
    </w:p>
    <w:p>
      <w:pPr>
        <w:pStyle w:val="3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XX</w:t>
      </w:r>
      <w:r>
        <w:t>.2</w:t>
      </w:r>
      <w:r>
        <w:tab/>
      </w:r>
      <w:r>
        <w:rPr>
          <w:rFonts w:hint="eastAsia" w:eastAsia="宋体"/>
          <w:lang w:val="en-US" w:eastAsia="zh-CN"/>
        </w:rPr>
        <w:t>Architecture</w:t>
      </w:r>
    </w:p>
    <w:p>
      <w:pPr>
        <w:jc w:val="center"/>
      </w:pPr>
      <w:r>
        <w:drawing>
          <wp:inline distT="0" distB="0" distL="114300" distR="114300">
            <wp:extent cx="6118860" cy="32931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329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t xml:space="preserve">Figure </w:t>
      </w:r>
      <w:r>
        <w:rPr>
          <w:rFonts w:hint="eastAsia"/>
          <w:lang w:val="en-US" w:eastAsia="zh-CN"/>
        </w:rPr>
        <w:t>XX</w:t>
      </w:r>
      <w:r>
        <w:t>.2-1</w:t>
      </w:r>
      <w:r>
        <w:rPr>
          <w:rFonts w:hint="eastAsia"/>
          <w:lang w:val="en-US" w:eastAsia="zh-CN"/>
        </w:rPr>
        <w:t xml:space="preserve"> </w:t>
      </w:r>
      <w:r>
        <w:t>Example of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d</w:t>
      </w:r>
      <w:r>
        <w:t xml:space="preserve">edicated NFs </w:t>
      </w:r>
      <w:r>
        <w:rPr>
          <w:rFonts w:hint="eastAsia"/>
          <w:lang w:val="en-US" w:eastAsia="zh-CN"/>
        </w:rPr>
        <w:t xml:space="preserve">deployed in the </w:t>
      </w:r>
      <w:r>
        <w:rPr>
          <w:rFonts w:hint="eastAsia" w:eastAsia="Times New Roman"/>
          <w:lang w:val="en-US" w:eastAsia="zh-CN"/>
        </w:rPr>
        <w:t>PNI-NPN operational domain</w:t>
      </w:r>
    </w:p>
    <w:p>
      <w:pPr>
        <w:rPr>
          <w:rFonts w:hint="eastAsia" w:cs="Arial"/>
          <w:lang w:val="en-US" w:eastAsia="zh-CN"/>
        </w:rPr>
      </w:pPr>
      <w:r>
        <w:rPr>
          <w:rFonts w:hint="eastAsia" w:cs="Arial"/>
          <w:lang w:val="en-US" w:eastAsia="zh-CN"/>
        </w:rPr>
        <w:t>A</w:t>
      </w:r>
      <w:r>
        <w:rPr>
          <w:rFonts w:cs="Arial"/>
          <w:lang w:val="en-US" w:eastAsia="zh-CN"/>
        </w:rPr>
        <w:t xml:space="preserve">s depicted in </w:t>
      </w:r>
      <w:r>
        <w:rPr>
          <w:rFonts w:hint="eastAsia" w:cs="Arial"/>
          <w:lang w:val="en-US" w:eastAsia="zh-CN"/>
        </w:rPr>
        <w:t xml:space="preserve">Figure </w:t>
      </w:r>
      <w:r>
        <w:rPr>
          <w:rFonts w:hint="eastAsia"/>
          <w:lang w:val="en-US" w:eastAsia="zh-CN"/>
        </w:rPr>
        <w:t>XX</w:t>
      </w:r>
      <w:r>
        <w:t>.2-1</w:t>
      </w:r>
      <w:r>
        <w:rPr>
          <w:rFonts w:hint="eastAsia" w:cs="Arial"/>
          <w:lang w:val="en-US" w:eastAsia="zh-CN"/>
        </w:rPr>
        <w:t xml:space="preserve">, dedicated UPF and part of CP functions are deployed in the </w:t>
      </w:r>
      <w:r>
        <w:rPr>
          <w:rFonts w:eastAsia="等线" w:cs="Arial"/>
          <w:lang w:eastAsia="zh-CN"/>
        </w:rPr>
        <w:t>PNI-NPN operational domain</w:t>
      </w:r>
      <w:r>
        <w:rPr>
          <w:rFonts w:hint="eastAsia" w:cs="Arial"/>
          <w:lang w:val="en-US" w:eastAsia="zh-CN"/>
        </w:rPr>
        <w:t xml:space="preserve">. The interface between the dedicated NFs in the </w:t>
      </w:r>
      <w:r>
        <w:rPr>
          <w:rFonts w:eastAsia="等线" w:cs="Arial"/>
          <w:lang w:eastAsia="zh-CN"/>
        </w:rPr>
        <w:t>PNI-NPN operational domain</w:t>
      </w:r>
      <w:r>
        <w:rPr>
          <w:rFonts w:hint="eastAsia" w:cs="Arial"/>
          <w:lang w:val="en-US" w:eastAsia="zh-CN"/>
        </w:rPr>
        <w:t xml:space="preserve"> and the NFs in the </w:t>
      </w:r>
      <w:r>
        <w:rPr>
          <w:rFonts w:eastAsia="等线" w:cs="Arial"/>
          <w:lang w:eastAsia="zh-CN"/>
        </w:rPr>
        <w:t>PLMN operational domain</w:t>
      </w:r>
      <w:r>
        <w:rPr>
          <w:rFonts w:hint="eastAsia" w:cs="Arial"/>
          <w:lang w:val="en-US" w:eastAsia="zh-CN"/>
        </w:rPr>
        <w:t xml:space="preserve"> is SBA interface. </w:t>
      </w:r>
    </w:p>
    <w:p>
      <w:pPr>
        <w:pStyle w:val="121"/>
        <w:rPr>
          <w:rFonts w:hint="eastAsia" w:cs="Arial"/>
          <w:color w:val="auto"/>
          <w:lang w:val="en-US" w:eastAsia="zh-CN"/>
        </w:rPr>
      </w:pPr>
      <w:r>
        <w:rPr>
          <w:rFonts w:hint="eastAsia" w:cs="Arial"/>
          <w:color w:val="auto"/>
          <w:lang w:val="en-US" w:eastAsia="zh-CN"/>
        </w:rPr>
        <w:t>NOTE: The choice of which of these CP functions (i.e., AMF or SMF, or both or none) are deployed in the PNI-NPN operational domain is a matter for deployment. Whether additional CP functions are deployed in the PNI-NPN operational domain is not considered yet in the present document.</w:t>
      </w:r>
    </w:p>
    <w:p>
      <w:pPr>
        <w:pStyle w:val="121"/>
        <w:ind w:left="0" w:leftChars="0" w:firstLine="0" w:firstLineChars="0"/>
        <w:rPr>
          <w:rFonts w:hint="eastAsia" w:cs="Arial"/>
          <w:color w:val="auto"/>
          <w:lang w:val="en-US" w:eastAsia="zh-CN"/>
        </w:rPr>
      </w:pPr>
      <w:r>
        <w:rPr>
          <w:rFonts w:eastAsia="Times New Roman"/>
          <w:color w:val="000000"/>
          <w:lang w:val="en-US" w:eastAsia="zh-CN" w:bidi="ar"/>
        </w:rPr>
        <w:t>When the AMF is deployed in the PNI-NPN operational domain, there exists a privacy risk regarding SUPI exposure outside the PLMN operational domain. Appropriate measures to mitigate this risk may be considered when choosing this architecture for deployment.</w:t>
      </w:r>
    </w:p>
    <w:p>
      <w:pPr>
        <w:pStyle w:val="3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XX</w:t>
      </w:r>
      <w:r>
        <w:t>.</w:t>
      </w:r>
      <w:r>
        <w:rPr>
          <w:rFonts w:hint="eastAsia" w:eastAsia="宋体"/>
          <w:lang w:val="en-US" w:eastAsia="zh-CN"/>
        </w:rPr>
        <w:t>3</w:t>
      </w:r>
      <w:r>
        <w:tab/>
      </w:r>
      <w:bookmarkEnd w:id="4"/>
      <w:bookmarkEnd w:id="5"/>
      <w:bookmarkEnd w:id="6"/>
      <w:r>
        <w:rPr>
          <w:rFonts w:hint="eastAsia" w:eastAsia="宋体"/>
          <w:lang w:val="en-US" w:eastAsia="zh-CN"/>
        </w:rPr>
        <w:t>Proxy entity at the border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I</w:t>
      </w:r>
      <w:r>
        <w:t>t is recommended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00"/>
          <w:lang w:val="en-US" w:eastAsia="zh-CN"/>
        </w:rPr>
        <w:t xml:space="preserve">to deploy one or more proxy entities at the </w:t>
      </w:r>
      <w:r>
        <w:rPr>
          <w:rFonts w:hint="eastAsia" w:eastAsia="等线"/>
          <w:color w:val="000000"/>
          <w:lang w:val="en-US" w:eastAsia="zh-CN" w:bidi="ar"/>
        </w:rPr>
        <w:t xml:space="preserve">border between PLMN and PNI-NPN operational domains. </w:t>
      </w:r>
      <w:r>
        <w:rPr>
          <w:rFonts w:hint="eastAsia" w:eastAsia="等线"/>
          <w:lang w:val="en-US" w:eastAsia="zh-CN"/>
        </w:rPr>
        <w:t>T</w:t>
      </w:r>
      <w:r>
        <w:rPr>
          <w:rFonts w:hint="eastAsia"/>
        </w:rPr>
        <w:t xml:space="preserve">he security capabilities of these </w:t>
      </w:r>
      <w:r>
        <w:t xml:space="preserve">proxy </w:t>
      </w:r>
      <w:r>
        <w:rPr>
          <w:rFonts w:hint="eastAsia"/>
        </w:rPr>
        <w:t xml:space="preserve">entities </w:t>
      </w:r>
      <w:r>
        <w:rPr>
          <w:rFonts w:hint="eastAsia"/>
          <w:lang w:val="en-US" w:eastAsia="zh-CN"/>
        </w:rPr>
        <w:t xml:space="preserve">are </w:t>
      </w:r>
      <w:r>
        <w:rPr>
          <w:rFonts w:hint="eastAsia"/>
        </w:rPr>
        <w:t>listed below</w:t>
      </w:r>
      <w:r>
        <w:t xml:space="preserve">. </w:t>
      </w:r>
    </w:p>
    <w:p>
      <w:pPr>
        <w:numPr>
          <w:ilvl w:val="0"/>
          <w:numId w:val="5"/>
        </w:numPr>
        <w:ind w:left="508" w:leftChars="0"/>
        <w:rPr>
          <w:rFonts w:hint="eastAsia"/>
        </w:rPr>
      </w:pPr>
      <w:r>
        <w:rPr>
          <w:rFonts w:hint="eastAsia"/>
        </w:rPr>
        <w:t xml:space="preserve">Transport layer protection solution (as defined in clause 13.3) is supported for mutual authentication between the </w:t>
      </w:r>
      <w:r>
        <w:t xml:space="preserve">proxy </w:t>
      </w:r>
      <w:r>
        <w:rPr>
          <w:rFonts w:hint="eastAsia"/>
        </w:rPr>
        <w:t xml:space="preserve">entities and between each </w:t>
      </w:r>
      <w:r>
        <w:t xml:space="preserve">proxy </w:t>
      </w:r>
      <w:r>
        <w:rPr>
          <w:rFonts w:hint="eastAsia"/>
        </w:rPr>
        <w:t>entity and the NFs they serve.</w:t>
      </w:r>
    </w:p>
    <w:p>
      <w:pPr>
        <w:numPr>
          <w:ilvl w:val="0"/>
          <w:numId w:val="5"/>
        </w:numPr>
        <w:ind w:left="508" w:leftChars="0"/>
        <w:rPr>
          <w:rFonts w:hint="eastAsia"/>
        </w:rPr>
      </w:pPr>
      <w:r>
        <w:rPr>
          <w:rFonts w:hint="eastAsia"/>
        </w:rPr>
        <w:t>SBA authorization framework (as defined in clause 13.4) is reused for authorization between NFs in the PLMN and PNI-NPN operational domains.</w:t>
      </w:r>
    </w:p>
    <w:p>
      <w:pPr>
        <w:numPr>
          <w:ilvl w:val="0"/>
          <w:numId w:val="5"/>
        </w:numPr>
        <w:ind w:left="508" w:leftChars="0"/>
        <w:rPr>
          <w:rFonts w:hint="eastAsia"/>
        </w:rPr>
      </w:pPr>
      <w:r>
        <w:rPr>
          <w:rFonts w:hint="eastAsia"/>
        </w:rPr>
        <w:t xml:space="preserve">Topology hiding to IP level (e.g., IP address or FQDN) and application level (e.g., target NFs in the discovery response, Callback URI in the payload of the messages) is supported. </w:t>
      </w:r>
    </w:p>
    <w:p>
      <w:pPr>
        <w:numPr>
          <w:ilvl w:val="0"/>
          <w:numId w:val="5"/>
        </w:numPr>
        <w:ind w:left="508" w:leftChars="0"/>
      </w:pPr>
      <w:r>
        <w:rPr>
          <w:rFonts w:hint="eastAsia"/>
        </w:rPr>
        <w:t>Message inspection and filtering, malformed message handling are supported.</w:t>
      </w:r>
    </w:p>
    <w:p>
      <w:pPr>
        <w:pStyle w:val="103"/>
        <w:ind w:left="767" w:leftChars="100" w:hanging="567"/>
        <w:rPr>
          <w:rFonts w:hint="eastAsia"/>
        </w:rPr>
      </w:pPr>
      <w:r>
        <w:t xml:space="preserve">NOTE: Specific method for above security capabilities c) and d) </w:t>
      </w:r>
      <w:r>
        <w:rPr>
          <w:rFonts w:hint="eastAsia"/>
          <w:lang w:val="en-US" w:eastAsia="zh-CN"/>
        </w:rPr>
        <w:t>is</w:t>
      </w:r>
      <w:r>
        <w:t xml:space="preserve"> left to implementation.</w:t>
      </w:r>
    </w:p>
    <w:p>
      <w:pPr>
        <w:numPr>
          <w:ilvl w:val="0"/>
          <w:numId w:val="0"/>
        </w:numPr>
        <w:ind w:leftChars="0"/>
        <w:rPr>
          <w:lang w:val="en-GB" w:eastAsia="en-US"/>
        </w:rPr>
      </w:pPr>
      <w:r>
        <w:rPr>
          <w:rFonts w:hint="eastAsia"/>
          <w:lang w:val="en-GB" w:eastAsia="en-US"/>
        </w:rPr>
        <w:t xml:space="preserve">Besides </w:t>
      </w:r>
      <w:r>
        <w:rPr>
          <w:rFonts w:hint="eastAsia" w:ascii="Times New Roman" w:hAnsi="Times New Roman" w:eastAsia="宋体" w:cs="Times New Roman"/>
          <w:color w:val="000000"/>
          <w:lang w:val="en-GB" w:eastAsia="en-US"/>
        </w:rPr>
        <w:t xml:space="preserve">the </w:t>
      </w:r>
      <w:r>
        <w:rPr>
          <w:rFonts w:hint="eastAsia"/>
          <w:lang w:val="en-GB" w:eastAsia="en-US"/>
        </w:rPr>
        <w:t xml:space="preserve">security </w:t>
      </w:r>
      <w:r>
        <w:rPr>
          <w:rFonts w:hint="eastAsia"/>
        </w:rPr>
        <w:t>capabilities</w:t>
      </w:r>
      <w:r>
        <w:rPr>
          <w:rFonts w:hint="eastAsia"/>
          <w:lang w:val="en-GB" w:eastAsia="en-US"/>
        </w:rPr>
        <w:t xml:space="preserve"> listed above, the part of the routing functionalities listed below also needs to be supported:</w:t>
      </w:r>
    </w:p>
    <w:p>
      <w:pPr>
        <w:numPr>
          <w:ilvl w:val="0"/>
          <w:numId w:val="5"/>
        </w:numPr>
        <w:ind w:left="508" w:leftChars="0"/>
        <w:rPr>
          <w:rFonts w:ascii="Times New Roman" w:hAnsi="Times New Roman" w:eastAsia="宋体" w:cs="Times New Roman"/>
          <w:lang w:val="en-GB" w:eastAsia="en-US"/>
        </w:rPr>
      </w:pPr>
      <w:r>
        <w:rPr>
          <w:lang w:val="en-GB" w:eastAsia="en-US"/>
        </w:rPr>
        <w:t xml:space="preserve">Indirect Communication (see </w:t>
      </w:r>
      <w:r>
        <w:rPr>
          <w:rFonts w:ascii="Times New Roman" w:hAnsi="Times New Roman" w:eastAsia="宋体" w:cs="Times New Roman"/>
          <w:lang w:val="en-GB" w:eastAsia="en-US"/>
        </w:rPr>
        <w:t>TS 23.501</w:t>
      </w:r>
      <w:r>
        <w:rPr>
          <w:rFonts w:hint="eastAsia" w:ascii="Times New Roman" w:hAnsi="Times New Roman" w:eastAsia="宋体" w:cs="Times New Roman"/>
          <w:lang w:val="en-US" w:eastAsia="zh-CN"/>
        </w:rPr>
        <w:t>[2]</w:t>
      </w:r>
      <w:r>
        <w:rPr>
          <w:rFonts w:ascii="Times New Roman" w:hAnsi="Times New Roman" w:eastAsia="宋体" w:cs="Times New Roman"/>
          <w:lang w:val="en-GB" w:eastAsia="en-US"/>
        </w:rPr>
        <w:t xml:space="preserve"> clause 7.1.1 for details).</w:t>
      </w:r>
    </w:p>
    <w:p>
      <w:pPr>
        <w:numPr>
          <w:ilvl w:val="0"/>
          <w:numId w:val="5"/>
        </w:numPr>
        <w:ind w:left="508" w:leftChars="0"/>
        <w:rPr>
          <w:lang w:val="en-GB" w:eastAsia="en-US"/>
        </w:rPr>
      </w:pPr>
      <w:r>
        <w:rPr>
          <w:rFonts w:ascii="Times New Roman" w:hAnsi="Times New Roman" w:eastAsia="宋体" w:cs="Times New Roman"/>
          <w:lang w:val="en-GB" w:eastAsia="en-US"/>
        </w:rPr>
        <w:t>Delegated Discovery (see TS 23.501</w:t>
      </w:r>
      <w:r>
        <w:rPr>
          <w:rFonts w:hint="eastAsia" w:ascii="Times New Roman" w:hAnsi="Times New Roman" w:eastAsia="宋体" w:cs="Times New Roman"/>
          <w:lang w:val="en-US" w:eastAsia="zh-CN"/>
        </w:rPr>
        <w:t>[2]</w:t>
      </w:r>
      <w:r>
        <w:rPr>
          <w:rFonts w:ascii="Times New Roman" w:hAnsi="Times New Roman" w:eastAsia="宋体" w:cs="Times New Roman"/>
          <w:lang w:val="en-GB" w:eastAsia="en-US"/>
        </w:rPr>
        <w:t xml:space="preserve"> clauses</w:t>
      </w:r>
      <w:r>
        <w:rPr>
          <w:lang w:val="en-GB" w:eastAsia="en-US"/>
        </w:rPr>
        <w:t xml:space="preserve"> 7.1.1 and 6.3.1 for details).</w:t>
      </w:r>
    </w:p>
    <w:p>
      <w:pPr>
        <w:numPr>
          <w:ilvl w:val="0"/>
          <w:numId w:val="5"/>
        </w:numPr>
        <w:ind w:left="508" w:leftChars="0"/>
        <w:rPr>
          <w:lang w:val="en-GB" w:eastAsia="en-US"/>
        </w:rPr>
      </w:pPr>
      <w:r>
        <w:rPr>
          <w:lang w:val="en-GB" w:eastAsia="en-US"/>
        </w:rPr>
        <w:t>Message forwarding and routing to destination NF/NF service.</w:t>
      </w:r>
    </w:p>
    <w:p>
      <w:pPr>
        <w:numPr>
          <w:ilvl w:val="0"/>
          <w:numId w:val="5"/>
        </w:numPr>
        <w:ind w:left="508" w:leftChars="0"/>
        <w:rPr>
          <w:rFonts w:hint="default" w:eastAsia="宋体"/>
          <w:lang w:val="en-US" w:eastAsia="zh-CN"/>
        </w:rPr>
      </w:pPr>
      <w:r>
        <w:rPr>
          <w:lang w:val="en-GB" w:eastAsia="en-US"/>
        </w:rPr>
        <w:t>Message forwarding and routing to a next hop. (Required for bi-directional protection)</w:t>
      </w:r>
    </w:p>
    <w:p>
      <w:pPr>
        <w:pStyle w:val="3"/>
        <w:rPr>
          <w:rFonts w:hint="default"/>
          <w:lang w:val="en-US"/>
        </w:rPr>
      </w:pPr>
      <w:r>
        <w:rPr>
          <w:rFonts w:hint="eastAsia" w:eastAsia="宋体"/>
          <w:lang w:val="en-US" w:eastAsia="zh-CN"/>
        </w:rPr>
        <w:t>XX</w:t>
      </w:r>
      <w:r>
        <w:rPr>
          <w:lang w:val="en-US"/>
        </w:rPr>
        <w:t>.</w:t>
      </w:r>
      <w:r>
        <w:rPr>
          <w:rFonts w:hint="eastAsia" w:eastAsia="宋体"/>
          <w:lang w:val="en-US" w:eastAsia="zh-CN"/>
        </w:rPr>
        <w:t>4</w:t>
      </w:r>
      <w:r>
        <w:rPr>
          <w:lang w:val="en-US"/>
        </w:rPr>
        <w:tab/>
      </w:r>
      <w:r>
        <w:rPr>
          <w:rFonts w:hint="eastAsia" w:eastAsia="宋体"/>
          <w:lang w:val="en-US" w:eastAsia="zh-CN"/>
        </w:rPr>
        <w:t xml:space="preserve">Security for </w:t>
      </w:r>
      <w:r>
        <w:rPr>
          <w:rFonts w:hint="eastAsia"/>
          <w:color w:val="000000"/>
          <w:lang w:val="en-US" w:eastAsia="zh-CN"/>
        </w:rPr>
        <w:t>DNS messages crossing the border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DNS messages crossing the trust boundary can be protected. Security configuration and profiling of DNS servers is left to implementation. The dedicated NFs in the PNI-NPN operational domain are provisioned with the DNS security configuration, for example using one of the following methods:</w:t>
      </w:r>
    </w:p>
    <w:p>
      <w:pPr>
        <w:pStyle w:val="82"/>
        <w:ind w:left="568" w:hanging="284"/>
        <w:rPr>
          <w:rFonts w:eastAsia="等线"/>
          <w:sz w:val="20"/>
          <w:szCs w:val="20"/>
          <w:lang w:val="en-US" w:eastAsia="zh-CN" w:bidi="ar"/>
        </w:rPr>
      </w:pPr>
      <w:r>
        <w:rPr>
          <w:rFonts w:eastAsia="等线"/>
          <w:sz w:val="20"/>
          <w:szCs w:val="20"/>
          <w:lang w:val="en-US" w:eastAsia="zh-CN" w:bidi="ar"/>
        </w:rPr>
        <w:t>-</w:t>
      </w:r>
      <w:r>
        <w:rPr>
          <w:rFonts w:eastAsia="等线"/>
          <w:sz w:val="20"/>
          <w:szCs w:val="20"/>
          <w:lang w:val="en-US" w:eastAsia="zh-CN" w:bidi="ar"/>
        </w:rPr>
        <w:tab/>
      </w:r>
      <w:r>
        <w:rPr>
          <w:rFonts w:eastAsia="等线"/>
          <w:sz w:val="20"/>
          <w:szCs w:val="20"/>
          <w:lang w:val="en-US" w:eastAsia="zh-CN" w:bidi="ar"/>
        </w:rPr>
        <w:t>Pre-configuring the DNS security configuration in the dedicated NF.</w:t>
      </w:r>
    </w:p>
    <w:p>
      <w:pPr>
        <w:pStyle w:val="82"/>
        <w:ind w:left="568" w:hanging="284"/>
        <w:rPr>
          <w:rFonts w:hint="default" w:eastAsia="等线"/>
          <w:sz w:val="20"/>
          <w:szCs w:val="20"/>
          <w:lang w:val="en-US" w:eastAsia="zh-CN" w:bidi="ar"/>
        </w:rPr>
      </w:pPr>
      <w:r>
        <w:rPr>
          <w:rFonts w:eastAsia="等线"/>
          <w:sz w:val="20"/>
          <w:szCs w:val="20"/>
          <w:lang w:val="en-US" w:eastAsia="zh-CN" w:bidi="ar"/>
        </w:rPr>
        <w:t>-</w:t>
      </w:r>
      <w:r>
        <w:rPr>
          <w:rFonts w:eastAsia="等线"/>
          <w:sz w:val="20"/>
          <w:szCs w:val="20"/>
          <w:lang w:val="en-US" w:eastAsia="zh-CN" w:bidi="ar"/>
        </w:rPr>
        <w:tab/>
      </w:r>
      <w:r>
        <w:rPr>
          <w:rFonts w:eastAsia="等线"/>
          <w:sz w:val="20"/>
          <w:szCs w:val="20"/>
          <w:lang w:val="en-US" w:eastAsia="zh-CN" w:bidi="ar"/>
        </w:rPr>
        <w:t>Updating the DNS security configuration in the dedicated NF during NF instantiation via the OAM.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1B0A1344"/>
    <w:multiLevelType w:val="singleLevel"/>
    <w:tmpl w:val="1B0A1344"/>
    <w:lvl w:ilvl="0" w:tentative="0">
      <w:start w:val="1"/>
      <w:numFmt w:val="bullet"/>
      <w:pStyle w:val="161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4">
    <w:nsid w:val="76963614"/>
    <w:multiLevelType w:val="multilevel"/>
    <w:tmpl w:val="76963614"/>
    <w:lvl w:ilvl="0" w:tentative="0">
      <w:start w:val="1"/>
      <w:numFmt w:val="lowerLetter"/>
      <w:lvlText w:val="%1)."/>
      <w:lvlJc w:val="left"/>
      <w:pPr>
        <w:tabs>
          <w:tab w:val="left" w:pos="-420"/>
        </w:tabs>
        <w:ind w:left="50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-420"/>
        </w:tabs>
        <w:ind w:left="122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-420"/>
        </w:tabs>
        <w:ind w:left="1948" w:hanging="180"/>
      </w:pPr>
    </w:lvl>
    <w:lvl w:ilvl="3" w:tentative="0">
      <w:start w:val="1"/>
      <w:numFmt w:val="decimal"/>
      <w:lvlText w:val="%4."/>
      <w:lvlJc w:val="left"/>
      <w:pPr>
        <w:tabs>
          <w:tab w:val="left" w:pos="-420"/>
        </w:tabs>
        <w:ind w:left="266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-420"/>
        </w:tabs>
        <w:ind w:left="338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-420"/>
        </w:tabs>
        <w:ind w:left="4108" w:hanging="180"/>
      </w:pPr>
    </w:lvl>
    <w:lvl w:ilvl="6" w:tentative="0">
      <w:start w:val="1"/>
      <w:numFmt w:val="decimal"/>
      <w:lvlText w:val="%7."/>
      <w:lvlJc w:val="left"/>
      <w:pPr>
        <w:tabs>
          <w:tab w:val="left" w:pos="-420"/>
        </w:tabs>
        <w:ind w:left="482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-420"/>
        </w:tabs>
        <w:ind w:left="554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-420"/>
        </w:tabs>
        <w:ind w:left="626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A45A6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B6386"/>
    <w:rsid w:val="0C362820"/>
    <w:rsid w:val="0C8A4690"/>
    <w:rsid w:val="126220D5"/>
    <w:rsid w:val="17310DD7"/>
    <w:rsid w:val="1A9E72B8"/>
    <w:rsid w:val="29265862"/>
    <w:rsid w:val="2E6D7115"/>
    <w:rsid w:val="39A91D64"/>
    <w:rsid w:val="3A8D769E"/>
    <w:rsid w:val="3ECC23AD"/>
    <w:rsid w:val="4D3C429D"/>
    <w:rsid w:val="4D52338B"/>
    <w:rsid w:val="4E803427"/>
    <w:rsid w:val="576A6678"/>
    <w:rsid w:val="632D7E8C"/>
    <w:rsid w:val="70442F3F"/>
    <w:rsid w:val="7B4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7">
    <w:name w:val="toc 9"/>
    <w:basedOn w:val="54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qFormat/>
    <w:uiPriority w:val="0"/>
    <w:rPr>
      <w:b/>
      <w:bCs/>
    </w:rPr>
  </w:style>
  <w:style w:type="paragraph" w:styleId="87">
    <w:name w:val="Body Text First Indent"/>
    <w:basedOn w:val="44"/>
    <w:link w:val="135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qFormat/>
    <w:uiPriority w:val="0"/>
    <w:rPr>
      <w:b/>
    </w:rPr>
  </w:style>
  <w:style w:type="paragraph" w:customStyle="1" w:styleId="99">
    <w:name w:val="TAC"/>
    <w:basedOn w:val="100"/>
    <w:qFormat/>
    <w:uiPriority w:val="0"/>
    <w:pPr>
      <w:jc w:val="center"/>
    </w:pPr>
  </w:style>
  <w:style w:type="paragraph" w:customStyle="1" w:styleId="10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1">
    <w:name w:val="Editor's Note"/>
    <w:basedOn w:val="103"/>
    <w:qFormat/>
    <w:uiPriority w:val="0"/>
    <w:rPr>
      <w:color w:val="FF0000"/>
    </w:rPr>
  </w:style>
  <w:style w:type="paragraph" w:customStyle="1" w:styleId="122">
    <w:name w:val="B1"/>
    <w:basedOn w:val="15"/>
    <w:qFormat/>
    <w:uiPriority w:val="0"/>
  </w:style>
  <w:style w:type="paragraph" w:customStyle="1" w:styleId="123">
    <w:name w:val="B2"/>
    <w:basedOn w:val="14"/>
    <w:qFormat/>
    <w:uiPriority w:val="0"/>
  </w:style>
  <w:style w:type="paragraph" w:customStyle="1" w:styleId="124">
    <w:name w:val="B3"/>
    <w:basedOn w:val="13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30">
    <w:name w:val="Header Char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Bibliography"/>
    <w:basedOn w:val="1"/>
    <w:next w:val="1"/>
    <w:semiHidden/>
    <w:unhideWhenUsed/>
    <w:qFormat/>
    <w:uiPriority w:val="37"/>
  </w:style>
  <w:style w:type="character" w:customStyle="1" w:styleId="132">
    <w:name w:val="Body Text Char"/>
    <w:basedOn w:val="90"/>
    <w:link w:val="4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Body Text 2 Char"/>
    <w:basedOn w:val="90"/>
    <w:link w:val="7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Body Text 3 Char"/>
    <w:basedOn w:val="90"/>
    <w:link w:val="42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Body Text First Indent Char"/>
    <w:basedOn w:val="132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Body Text Indent Char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Body Text First Indent 2 Char"/>
    <w:basedOn w:val="136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Body Text Indent 2 Char"/>
    <w:basedOn w:val="90"/>
    <w:link w:val="57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Body Text Indent 3 Char"/>
    <w:basedOn w:val="90"/>
    <w:link w:val="73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Closing Char"/>
    <w:basedOn w:val="90"/>
    <w:link w:val="4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Date Char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E-mail Signature Char"/>
    <w:basedOn w:val="90"/>
    <w:link w:val="32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Endnote Text Char"/>
    <w:basedOn w:val="90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HTML Address Char"/>
    <w:basedOn w:val="90"/>
    <w:link w:val="49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Preformatted Char"/>
    <w:basedOn w:val="90"/>
    <w:link w:val="81"/>
    <w:semiHidden/>
    <w:qFormat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Intense Quote Char"/>
    <w:basedOn w:val="90"/>
    <w:link w:val="146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Macro Text Char"/>
    <w:basedOn w:val="90"/>
    <w:link w:val="2"/>
    <w:semiHidden/>
    <w:qFormat/>
    <w:uiPriority w:val="0"/>
    <w:rPr>
      <w:rFonts w:ascii="Consolas" w:hAnsi="Consolas"/>
      <w:lang w:val="en-GB" w:eastAsia="en-US"/>
    </w:rPr>
  </w:style>
  <w:style w:type="character" w:customStyle="1" w:styleId="150">
    <w:name w:val="Message Header Char"/>
    <w:basedOn w:val="90"/>
    <w:link w:val="80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2">
    <w:name w:val="Note Heading Char"/>
    <w:basedOn w:val="90"/>
    <w:link w:val="2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Plain Text Char"/>
    <w:basedOn w:val="90"/>
    <w:link w:val="51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Quote Char"/>
    <w:basedOn w:val="90"/>
    <w:link w:val="154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Salutation Char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Signature Char"/>
    <w:basedOn w:val="90"/>
    <w:link w:val="6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Subtitle Char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Title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61">
    <w:name w:val="Not Done"/>
    <w:basedOn w:val="1"/>
    <w:qFormat/>
    <w:uiPriority w:val="0"/>
    <w:pPr>
      <w:keepNext/>
      <w:keepLines/>
      <w:widowControl w:val="0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185</Words>
  <Characters>1638</Characters>
  <Lines>13</Lines>
  <Paragraphs>3</Paragraphs>
  <TotalTime>0</TotalTime>
  <ScaleCrop>false</ScaleCrop>
  <LinksUpToDate>false</LinksUpToDate>
  <CharactersWithSpaces>1820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China Telecom</cp:lastModifiedBy>
  <cp:lastPrinted>2411-12-31T23:00:00Z</cp:lastPrinted>
  <dcterms:modified xsi:type="dcterms:W3CDTF">2025-02-24T07:43:37Z</dcterms:modified>
  <dc:title>MTG_TITLE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2052-12.8.2.15091</vt:lpwstr>
  </property>
  <property fmtid="{D5CDD505-2E9C-101B-9397-08002B2CF9AE}" pid="22" name="ICV">
    <vt:lpwstr>67D9BA607AD94AE3A62CD70ECA50DF40_13</vt:lpwstr>
  </property>
</Properties>
</file>