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55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3GPP TSG-SA3 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6G Workshop</w:t>
      </w:r>
      <w:r>
        <w:rPr>
          <w:rFonts w:ascii="Arial" w:hAnsi="Arial" w:cs="Arial"/>
          <w:b/>
          <w:sz w:val="22"/>
          <w:szCs w:val="22"/>
        </w:rPr>
        <w:tab/>
      </w:r>
    </w:p>
    <w:p w14:paraId="04AD0FB3">
      <w:pPr>
        <w:pStyle w:val="80"/>
        <w:outlineLvl w:val="0"/>
        <w:rPr>
          <w:rFonts w:hint="default" w:ascii="Arial" w:hAnsi="Arial" w:eastAsia="宋体" w:cs="Arial"/>
          <w:b/>
          <w:sz w:val="22"/>
          <w:szCs w:val="22"/>
          <w:lang w:val="en-US" w:eastAsia="zh-CN" w:bidi="ar-SA"/>
        </w:rPr>
      </w:pPr>
      <w:r>
        <w:rPr>
          <w:rFonts w:hint="eastAsia" w:ascii="Arial" w:hAnsi="Arial" w:eastAsia="宋体" w:cs="Arial"/>
          <w:b/>
          <w:sz w:val="22"/>
          <w:szCs w:val="22"/>
          <w:lang w:val="en-US" w:eastAsia="zh-CN" w:bidi="ar-SA"/>
        </w:rPr>
        <w:t>Conference Calls, 6-7 August 2025</w:t>
      </w:r>
    </w:p>
    <w:p w14:paraId="056C8DDE">
      <w:pPr>
        <w:pBdr>
          <w:bottom w:val="single" w:color="auto" w:sz="12" w:space="1"/>
        </w:pBdr>
        <w:spacing w:after="120"/>
        <w:rPr>
          <w:rFonts w:ascii="Arial" w:hAnsi="Arial" w:cs="Arial"/>
          <w:b/>
          <w:bCs/>
          <w:lang w:val="en-US"/>
        </w:rPr>
      </w:pPr>
    </w:p>
    <w:p w14:paraId="46B2FB9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 w14:paraId="477F2EC1"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hint="eastAsia" w:ascii="Arial" w:hAnsi="Arial" w:cs="Arial"/>
          <w:b/>
          <w:lang w:val="en-US" w:eastAsia="zh-CN"/>
        </w:rPr>
        <w:t xml:space="preserve">                           6G Security Work Tasks Proposal</w:t>
      </w:r>
    </w:p>
    <w:p w14:paraId="4FB90AE6">
      <w:pPr>
        <w:pStyle w:val="2"/>
        <w:jc w:val="center"/>
        <w:rPr>
          <w:rFonts w:hint="default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********Proposed WTs for the 6G system Security SID*******</w:t>
      </w:r>
    </w:p>
    <w:p w14:paraId="271E2800">
      <w:pPr>
        <w:pStyle w:val="2"/>
        <w:rPr>
          <w:b/>
          <w:lang w:eastAsia="ja-JP"/>
        </w:rPr>
      </w:pPr>
      <w:r>
        <w:rPr>
          <w:rFonts w:hint="eastAsia"/>
          <w:lang w:val="en-US" w:eastAsia="zh-CN"/>
        </w:rPr>
        <w:t>1</w:t>
      </w:r>
      <w:r>
        <w:rPr>
          <w:lang w:eastAsia="ja-JP"/>
        </w:rPr>
        <w:tab/>
      </w:r>
      <w:r>
        <w:rPr>
          <w:lang w:eastAsia="ja-JP"/>
        </w:rPr>
        <w:t>Justification</w:t>
      </w:r>
    </w:p>
    <w:p w14:paraId="342AC8BE">
      <w:pPr>
        <w:jc w:val="both"/>
      </w:pPr>
      <w:r>
        <w:t>3GPP SA1 has started the FS_6G_REQ study item to identify use cases and service/operational requirements for 6G system. TSG RAN has initiated the FS_6G_RAN_Scen_Req study item to develop requirements for 6G Radio</w:t>
      </w:r>
      <w:r>
        <w:rPr>
          <w:rFonts w:hint="eastAsia"/>
          <w:lang w:val="en-US" w:eastAsia="zh-CN"/>
        </w:rPr>
        <w:t xml:space="preserve">. 3GPP SA2 has also started the FS_6G_Arc study item to study the architecture of 6G system which also </w:t>
      </w:r>
      <w:r>
        <w:t>expects to see initial input from and interaction with SA</w:t>
      </w:r>
      <w:r>
        <w:rPr>
          <w:rFonts w:hint="eastAsia"/>
          <w:lang w:val="en-US" w:eastAsia="zh-CN"/>
        </w:rPr>
        <w:t>3</w:t>
      </w:r>
      <w:r>
        <w:t>.</w:t>
      </w:r>
    </w:p>
    <w:p w14:paraId="03D76671">
      <w:pPr>
        <w:rPr>
          <w:rFonts w:eastAsia="宋体"/>
          <w:shd w:val="clear" w:color="auto" w:fill="FFFFFF" w:themeFill="background1"/>
          <w:lang w:eastAsia="zh-CN"/>
        </w:rPr>
      </w:pPr>
      <w:r>
        <w:rPr>
          <w:rFonts w:hint="eastAsia"/>
          <w:lang w:val="en-US" w:eastAsia="zh-CN"/>
        </w:rPr>
        <w:t xml:space="preserve">The following proposed working tasks </w:t>
      </w:r>
      <w:r>
        <w:rPr>
          <w:rFonts w:eastAsia="宋体"/>
          <w:shd w:val="clear" w:color="auto" w:fill="FFFFFF" w:themeFill="background1"/>
          <w:lang w:eastAsia="zh-CN"/>
        </w:rPr>
        <w:t xml:space="preserve">aim to </w:t>
      </w:r>
      <w:r>
        <w:rPr>
          <w:rFonts w:hint="eastAsia"/>
          <w:shd w:val="clear" w:color="auto" w:fill="FFFFFF" w:themeFill="background1"/>
          <w:lang w:val="en-US" w:eastAsia="zh-CN"/>
        </w:rPr>
        <w:t>study</w:t>
      </w:r>
      <w:r>
        <w:rPr>
          <w:rFonts w:eastAsia="宋体"/>
          <w:shd w:val="clear" w:color="auto" w:fill="FFFFFF" w:themeFill="background1"/>
          <w:lang w:eastAsia="zh-CN"/>
        </w:rPr>
        <w:t xml:space="preserve"> </w:t>
      </w:r>
      <w:r>
        <w:rPr>
          <w:rFonts w:hint="eastAsia"/>
          <w:shd w:val="clear" w:color="auto" w:fill="FFFFFF" w:themeFill="background1"/>
          <w:lang w:val="en-US" w:eastAsia="zh-CN"/>
        </w:rPr>
        <w:t>security aspects</w:t>
      </w:r>
      <w:r>
        <w:rPr>
          <w:rFonts w:eastAsia="宋体"/>
          <w:shd w:val="clear" w:color="auto" w:fill="FFFFFF" w:themeFill="background1"/>
          <w:lang w:eastAsia="zh-CN"/>
        </w:rPr>
        <w:t xml:space="preserve"> </w:t>
      </w:r>
      <w:r>
        <w:rPr>
          <w:rFonts w:hint="eastAsia"/>
          <w:shd w:val="clear" w:color="auto" w:fill="FFFFFF" w:themeFill="background1"/>
          <w:lang w:val="en-US" w:eastAsia="zh-CN"/>
        </w:rPr>
        <w:t>of</w:t>
      </w:r>
      <w:r>
        <w:rPr>
          <w:rFonts w:eastAsia="宋体"/>
          <w:shd w:val="clear" w:color="auto" w:fill="FFFFFF" w:themeFill="background1"/>
          <w:lang w:eastAsia="zh-CN"/>
        </w:rPr>
        <w:t xml:space="preserve"> 6G </w:t>
      </w:r>
      <w:r>
        <w:rPr>
          <w:rFonts w:hint="eastAsia"/>
          <w:shd w:val="clear" w:color="auto" w:fill="FFFFFF" w:themeFill="background1"/>
          <w:lang w:val="en-US" w:eastAsia="zh-CN"/>
        </w:rPr>
        <w:t>system</w:t>
      </w:r>
      <w:r>
        <w:rPr>
          <w:rFonts w:eastAsia="等线"/>
          <w:shd w:val="clear" w:color="auto" w:fill="FFFFFF" w:themeFill="background1"/>
        </w:rPr>
        <w:t xml:space="preserve"> for improvement of existing 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>system</w:t>
      </w:r>
      <w:r>
        <w:rPr>
          <w:rFonts w:eastAsia="等线"/>
          <w:shd w:val="clear" w:color="auto" w:fill="FFFFFF" w:themeFill="background1"/>
        </w:rPr>
        <w:t xml:space="preserve"> and support of new services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 xml:space="preserve"> and architecture</w:t>
      </w:r>
      <w:r>
        <w:rPr>
          <w:rFonts w:eastAsia="等线"/>
          <w:shd w:val="clear" w:color="auto" w:fill="FFFFFF" w:themeFill="background1"/>
        </w:rPr>
        <w:t>,</w:t>
      </w:r>
      <w:r>
        <w:rPr>
          <w:shd w:val="clear" w:color="auto" w:fill="FFFFFF" w:themeFill="background1"/>
        </w:rPr>
        <w:t xml:space="preserve"> to meet the 6G system requirements as 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already </w:t>
      </w:r>
      <w:r>
        <w:rPr>
          <w:shd w:val="clear" w:color="auto" w:fill="FFFFFF" w:themeFill="background1"/>
        </w:rPr>
        <w:t>defined by SA1</w:t>
      </w:r>
      <w:r>
        <w:rPr>
          <w:rFonts w:hint="eastAsia"/>
          <w:shd w:val="clear" w:color="auto" w:fill="FFFFFF" w:themeFill="background1"/>
          <w:lang w:val="en-US" w:eastAsia="zh-CN"/>
        </w:rPr>
        <w:t>, SA2</w:t>
      </w:r>
      <w:r>
        <w:rPr>
          <w:shd w:val="clear" w:color="auto" w:fill="FFFFFF" w:themeFill="background1"/>
        </w:rPr>
        <w:t xml:space="preserve"> and RAN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 groups</w:t>
      </w:r>
      <w:r>
        <w:rPr>
          <w:rFonts w:eastAsia="宋体"/>
          <w:shd w:val="clear" w:color="auto" w:fill="FFFFFF" w:themeFill="background1"/>
          <w:lang w:eastAsia="zh-CN"/>
        </w:rPr>
        <w:t xml:space="preserve">. </w:t>
      </w:r>
    </w:p>
    <w:p w14:paraId="4A2BDC0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eastAsia="ja-JP"/>
        </w:rPr>
        <w:tab/>
      </w:r>
      <w:r>
        <w:rPr>
          <w:rFonts w:hint="eastAsia"/>
          <w:lang w:val="en-US" w:eastAsia="zh-CN"/>
        </w:rPr>
        <w:t>Work Tasks</w:t>
      </w:r>
    </w:p>
    <w:p w14:paraId="5F0FBFB1">
      <w:pPr>
        <w:ind w:left="200" w:leftChars="100"/>
        <w:rPr>
          <w:rFonts w:hint="eastAsia"/>
          <w:shd w:val="clear" w:color="auto" w:fill="FFFFFF" w:themeFill="background1"/>
          <w:lang w:val="en-US" w:eastAsia="zh-CN"/>
        </w:rPr>
      </w:pPr>
      <w:bookmarkStart w:id="1" w:name="_GoBack"/>
      <w:r>
        <w:rPr>
          <w:rFonts w:eastAsia="宋体"/>
          <w:b/>
          <w:shd w:val="clear" w:color="auto" w:fill="FFFFFF" w:themeFill="background1"/>
        </w:rPr>
        <w:t>WT#1</w:t>
      </w:r>
      <w:r>
        <w:rPr>
          <w:rFonts w:eastAsia="宋体"/>
          <w:shd w:val="clear" w:color="auto" w:fill="FFFFFF" w:themeFill="background1"/>
        </w:rPr>
        <w:t xml:space="preserve">: </w:t>
      </w:r>
      <w:r>
        <w:rPr>
          <w:rFonts w:hint="eastAsia"/>
          <w:b/>
          <w:bCs/>
          <w:shd w:val="clear" w:color="auto" w:fill="FFFFFF" w:themeFill="background1"/>
          <w:lang w:val="en-US" w:eastAsia="zh-CN"/>
        </w:rPr>
        <w:t>Access Security</w:t>
      </w:r>
      <w:r>
        <w:rPr>
          <w:rFonts w:hint="eastAsia"/>
          <w:shd w:val="clear" w:color="auto" w:fill="FFFFFF" w:themeFill="background1"/>
          <w:lang w:val="en-US" w:eastAsia="zh-CN"/>
        </w:rPr>
        <w:t>, including access authentication, AS security and NAS security in 6G system.</w:t>
      </w:r>
    </w:p>
    <w:p w14:paraId="65EE26D9">
      <w:pPr>
        <w:ind w:left="200" w:leftChars="100"/>
        <w:jc w:val="both"/>
        <w:rPr>
          <w:rFonts w:eastAsia="等线"/>
          <w:shd w:val="clear" w:color="auto" w:fill="FFFFFF" w:themeFill="background1"/>
        </w:rPr>
      </w:pPr>
      <w:r>
        <w:rPr>
          <w:rFonts w:hint="eastAsia"/>
          <w:shd w:val="clear" w:color="auto" w:fill="FFFFFF" w:themeFill="background1"/>
          <w:lang w:val="en-US" w:eastAsia="zh-CN"/>
        </w:rPr>
        <w:t>Access a</w:t>
      </w:r>
      <w:r>
        <w:t xml:space="preserve">uthentication </w:t>
      </w:r>
      <w:r>
        <w:rPr>
          <w:rFonts w:hint="eastAsia"/>
          <w:lang w:val="en-US" w:eastAsia="zh-CN"/>
        </w:rPr>
        <w:t xml:space="preserve">aspects include procedures which </w:t>
      </w:r>
      <w:r>
        <w:t xml:space="preserve">determines the entities </w:t>
      </w:r>
      <w:r>
        <w:rPr>
          <w:rFonts w:hint="eastAsia"/>
          <w:lang w:val="en-US" w:eastAsia="zh-CN"/>
        </w:rPr>
        <w:t xml:space="preserve">and protocols </w:t>
      </w:r>
      <w:r>
        <w:t xml:space="preserve">required for authentication procedure in the 6G system. Specifically, </w:t>
      </w:r>
      <w:r>
        <w:rPr>
          <w:rFonts w:hint="eastAsia"/>
          <w:lang w:val="en-US" w:eastAsia="zh-CN"/>
        </w:rPr>
        <w:t>according to 5G leftover,</w:t>
      </w:r>
      <w:r>
        <w:t xml:space="preserve"> </w:t>
      </w:r>
      <w:r>
        <w:rPr>
          <w:rFonts w:hint="eastAsia"/>
          <w:lang w:val="en-US" w:eastAsia="zh-CN"/>
        </w:rPr>
        <w:t xml:space="preserve">whether </w:t>
      </w:r>
      <w:r>
        <w:t xml:space="preserve">enhancement is needed to the existing authentication protocols, entities and their functionalities </w:t>
      </w:r>
      <w:r>
        <w:rPr>
          <w:rFonts w:hint="eastAsia"/>
          <w:lang w:val="en-US" w:eastAsia="zh-CN"/>
        </w:rPr>
        <w:t xml:space="preserve">are </w:t>
      </w:r>
      <w:r>
        <w:t xml:space="preserve">to be determined.  </w:t>
      </w:r>
      <w:r>
        <w:rPr>
          <w:rFonts w:hint="eastAsia"/>
          <w:lang w:val="en-US" w:eastAsia="zh-CN"/>
        </w:rPr>
        <w:t>Also, based on SA1 study, new forms of digital representations of users (like AI agent) should be considered to ensure the authentic access to the 6G network.</w:t>
      </w:r>
    </w:p>
    <w:p w14:paraId="331DFC35">
      <w:pPr>
        <w:ind w:left="200" w:leftChars="100"/>
        <w:rPr>
          <w:rFonts w:hint="eastAsia"/>
          <w:shd w:val="clear" w:color="auto" w:fill="FFFFFF" w:themeFill="background1"/>
          <w:lang w:val="en-US" w:eastAsia="zh-CN"/>
        </w:rPr>
      </w:pPr>
      <w:r>
        <w:rPr>
          <w:rFonts w:hint="eastAsia"/>
          <w:shd w:val="clear" w:color="auto" w:fill="FFFFFF" w:themeFill="background1"/>
          <w:lang w:val="en-US" w:eastAsia="zh-CN"/>
        </w:rPr>
        <w:t>AS security design includes considerations of lower layer protections and so on.</w:t>
      </w:r>
    </w:p>
    <w:p w14:paraId="674596C8">
      <w:pPr>
        <w:ind w:left="200" w:leftChars="100"/>
        <w:rPr>
          <w:rFonts w:hint="default" w:eastAsia="宋体"/>
          <w:b/>
          <w:shd w:val="clear" w:color="auto" w:fill="FFFFFF" w:themeFill="background1"/>
          <w:lang w:val="en-US" w:eastAsia="zh-CN"/>
        </w:rPr>
      </w:pPr>
      <w:r>
        <w:rPr>
          <w:rFonts w:hint="eastAsia"/>
          <w:b w:val="0"/>
          <w:bCs/>
          <w:shd w:val="clear" w:color="auto" w:fill="FFFFFF" w:themeFill="background1"/>
          <w:lang w:val="en-US" w:eastAsia="zh-CN"/>
        </w:rPr>
        <w:t>NAS security takes into account of potential new NAS mechanisms from SA2.</w:t>
      </w:r>
    </w:p>
    <w:p w14:paraId="2EF3D7B4">
      <w:pPr>
        <w:ind w:left="200" w:leftChars="100"/>
        <w:rPr>
          <w:rFonts w:hint="default" w:eastAsia="等线"/>
          <w:highlight w:val="none"/>
          <w:shd w:val="clear" w:color="auto" w:fill="FFFFFF" w:themeFill="background1"/>
          <w:lang w:val="en-US" w:eastAsia="zh-CN"/>
        </w:rPr>
      </w:pPr>
      <w:r>
        <w:rPr>
          <w:rFonts w:hint="eastAsia" w:eastAsia="等线"/>
          <w:b/>
          <w:bCs/>
          <w:shd w:val="clear" w:color="auto" w:fill="FFFFFF" w:themeFill="background1"/>
          <w:lang w:val="en-US" w:eastAsia="zh-CN"/>
        </w:rPr>
        <w:t>WT#2: Network Security</w:t>
      </w:r>
      <w:r>
        <w:rPr>
          <w:rFonts w:hint="eastAsia" w:eastAsia="等线"/>
          <w:shd w:val="clear" w:color="auto" w:fill="FFFFFF" w:themeFill="background1"/>
          <w:lang w:val="en-US" w:eastAsia="zh-CN"/>
        </w:rPr>
        <w:t>, including security mechanisms to support the core network architecture and procedures from SA2, as well as i</w:t>
      </w:r>
      <w:r>
        <w:rPr>
          <w:rFonts w:hint="eastAsia" w:eastAsia="等线"/>
          <w:b w:val="0"/>
          <w:bCs w:val="0"/>
          <w:highlight w:val="none"/>
          <w:shd w:val="clear" w:color="auto" w:fill="FFFFFF" w:themeFill="background1"/>
          <w:lang w:val="en-US" w:eastAsia="zh-CN"/>
        </w:rPr>
        <w:t xml:space="preserve">nterworking security including key </w:t>
      </w:r>
      <w:r>
        <w:rPr>
          <w:rFonts w:hint="eastAsia" w:eastAsia="等线"/>
          <w:highlight w:val="none"/>
          <w:shd w:val="clear" w:color="auto" w:fill="FFFFFF" w:themeFill="background1"/>
        </w:rPr>
        <w:t xml:space="preserve">handling and security negotiation for </w:t>
      </w:r>
      <w:r>
        <w:rPr>
          <w:rFonts w:hint="eastAsia" w:eastAsia="等线"/>
          <w:highlight w:val="none"/>
          <w:shd w:val="clear" w:color="auto" w:fill="FFFFFF" w:themeFill="background1"/>
          <w:lang w:val="en-US" w:eastAsia="zh-CN"/>
        </w:rPr>
        <w:t>i</w:t>
      </w:r>
      <w:r>
        <w:rPr>
          <w:rFonts w:hint="eastAsia" w:eastAsia="等线"/>
          <w:highlight w:val="none"/>
          <w:shd w:val="clear" w:color="auto" w:fill="FFFFFF" w:themeFill="background1"/>
        </w:rPr>
        <w:t>nterworking procedures</w:t>
      </w:r>
      <w:r>
        <w:rPr>
          <w:rFonts w:hint="eastAsia" w:eastAsia="等线"/>
          <w:highlight w:val="none"/>
          <w:shd w:val="clear" w:color="auto" w:fill="FFFFFF" w:themeFill="background1"/>
          <w:lang w:val="en-US" w:eastAsia="zh-CN"/>
        </w:rPr>
        <w:t xml:space="preserve">. </w:t>
      </w:r>
    </w:p>
    <w:p w14:paraId="72E76101">
      <w:pPr>
        <w:ind w:left="200" w:leftChars="100"/>
        <w:rPr>
          <w:rFonts w:hint="eastAsia" w:eastAsia="等线"/>
          <w:b w:val="0"/>
          <w:bCs w:val="0"/>
          <w:shd w:val="clear" w:color="auto" w:fill="FFFFFF" w:themeFill="background1"/>
          <w:lang w:val="en-US" w:eastAsia="zh-CN"/>
        </w:rPr>
      </w:pPr>
      <w:r>
        <w:rPr>
          <w:rFonts w:hint="eastAsia" w:eastAsia="等线"/>
          <w:b/>
          <w:bCs/>
          <w:shd w:val="clear" w:color="auto" w:fill="FFFFFF" w:themeFill="background1"/>
          <w:lang w:val="en-US" w:eastAsia="zh-CN"/>
        </w:rPr>
        <w:t>WT#3: Service Exposure Security</w:t>
      </w:r>
      <w:r>
        <w:rPr>
          <w:rFonts w:hint="eastAsia" w:eastAsia="等线"/>
          <w:b w:val="0"/>
          <w:bCs w:val="0"/>
          <w:shd w:val="clear" w:color="auto" w:fill="FFFFFF" w:themeFill="background1"/>
          <w:lang w:val="en-US" w:eastAsia="zh-CN"/>
        </w:rPr>
        <w:t>, including security mechanisms to support the exposure framework or requirements developed by SA2, SA6, etc.</w:t>
      </w:r>
    </w:p>
    <w:p w14:paraId="4710C375">
      <w:pPr>
        <w:ind w:left="200" w:leftChars="100"/>
        <w:rPr>
          <w:rFonts w:hint="default" w:eastAsia="等线"/>
          <w:b w:val="0"/>
          <w:bCs w:val="0"/>
          <w:shd w:val="clear" w:color="auto" w:fill="FFFFFF" w:themeFill="background1"/>
          <w:lang w:val="en-US" w:eastAsia="zh-CN"/>
        </w:rPr>
      </w:pPr>
      <w:r>
        <w:rPr>
          <w:rFonts w:hint="eastAsia" w:eastAsia="等线"/>
          <w:b/>
          <w:bCs/>
          <w:shd w:val="clear" w:color="auto" w:fill="FFFFFF" w:themeFill="background1"/>
          <w:lang w:val="en-US" w:eastAsia="zh-CN"/>
        </w:rPr>
        <w:t>WT#4: AI Security:</w:t>
      </w:r>
      <w:r>
        <w:rPr>
          <w:rFonts w:hint="eastAsia" w:eastAsia="等线"/>
          <w:b w:val="0"/>
          <w:bCs w:val="0"/>
          <w:shd w:val="clear" w:color="auto" w:fill="FFFFFF" w:themeFill="background1"/>
          <w:lang w:val="en-US" w:eastAsia="zh-CN"/>
        </w:rPr>
        <w:t xml:space="preserve"> Security for AI framework and potential AI agent communication.</w:t>
      </w:r>
    </w:p>
    <w:p w14:paraId="3C207C08">
      <w:pPr>
        <w:ind w:left="200" w:leftChars="100"/>
        <w:rPr>
          <w:rFonts w:hint="default" w:eastAsia="等线"/>
          <w:b/>
          <w:bCs/>
          <w:shd w:val="clear" w:color="auto" w:fill="FFFFFF" w:themeFill="background1"/>
          <w:lang w:val="en-US" w:eastAsia="zh-CN"/>
        </w:rPr>
      </w:pPr>
      <w:r>
        <w:rPr>
          <w:rFonts w:hint="eastAsia" w:eastAsia="等线"/>
          <w:b/>
          <w:bCs/>
          <w:shd w:val="clear" w:color="auto" w:fill="FFFFFF" w:themeFill="background1"/>
          <w:lang w:val="en-US" w:eastAsia="zh-CN"/>
        </w:rPr>
        <w:t xml:space="preserve">WT#5: Data Security and Privacy: </w:t>
      </w:r>
      <w:r>
        <w:rPr>
          <w:rFonts w:hint="eastAsia" w:eastAsia="等线"/>
          <w:b w:val="0"/>
          <w:bCs w:val="0"/>
          <w:shd w:val="clear" w:color="auto" w:fill="FFFFFF" w:themeFill="background1"/>
          <w:lang w:val="en-US" w:eastAsia="zh-CN"/>
        </w:rPr>
        <w:t>Security mechanisms for data framework considering privacy requirements.</w:t>
      </w:r>
    </w:p>
    <w:bookmarkEnd w:id="1"/>
    <w:p w14:paraId="1E242AC9"/>
    <w:p w14:paraId="7ADC48C9">
      <w:pPr>
        <w:pStyle w:val="2"/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**************Proposed WTs for an independent SID**********</w:t>
      </w:r>
    </w:p>
    <w:p w14:paraId="45A26A75">
      <w:pPr>
        <w:pStyle w:val="10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45A26A7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7491CC7C">
      <w:pPr>
        <w:pStyle w:val="10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New study on New study on inter-PLMN and intra-PLMN security in 6G</w:t>
      </w:r>
    </w:p>
    <w:p w14:paraId="45A26A78">
      <w:pPr>
        <w:pStyle w:val="86"/>
        <w:rPr>
          <w:highlight w:val="yellow"/>
        </w:rPr>
      </w:pPr>
    </w:p>
    <w:p w14:paraId="45A26A79">
      <w:pPr>
        <w:pStyle w:val="10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FS_6G_PLMNSec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45A26A7A">
      <w:pPr>
        <w:pStyle w:val="86"/>
      </w:pPr>
      <w:r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45A26A7B">
      <w:pPr>
        <w:pStyle w:val="10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highlight w:val="none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highlight w:val="none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highlight w:val="none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45A26A7C">
      <w:pPr>
        <w:pStyle w:val="86"/>
      </w:pPr>
      <w:r>
        <w:t xml:space="preserve">{A number to be provided by MCC at the plenary} </w:t>
      </w:r>
    </w:p>
    <w:p w14:paraId="45A26A7D">
      <w:pPr>
        <w:pStyle w:val="10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45A26A7E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tbl>
      <w:tblPr>
        <w:tblStyle w:val="4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45A26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45A26A7F">
            <w:pPr>
              <w:pStyle w:val="51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45A26A80">
            <w:pPr>
              <w:pStyle w:val="51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45A26A81">
            <w:pPr>
              <w:pStyle w:val="51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45A26A82">
            <w:pPr>
              <w:pStyle w:val="51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45A26A83">
            <w:pPr>
              <w:pStyle w:val="51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45A26A84">
            <w:pPr>
              <w:pStyle w:val="51"/>
            </w:pPr>
            <w:r>
              <w:t>Others (specify)</w:t>
            </w:r>
          </w:p>
        </w:tc>
      </w:tr>
      <w:tr w14:paraId="45A26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45A26A86">
            <w:pPr>
              <w:pStyle w:val="51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5A26A87">
            <w:pPr>
              <w:pStyle w:val="52"/>
            </w:pPr>
          </w:p>
        </w:tc>
        <w:tc>
          <w:tcPr>
            <w:tcW w:w="1037" w:type="dxa"/>
            <w:tcBorders>
              <w:top w:val="nil"/>
            </w:tcBorders>
          </w:tcPr>
          <w:p w14:paraId="45A26A88">
            <w:pPr>
              <w:pStyle w:val="52"/>
            </w:pPr>
          </w:p>
        </w:tc>
        <w:tc>
          <w:tcPr>
            <w:tcW w:w="850" w:type="dxa"/>
            <w:tcBorders>
              <w:top w:val="nil"/>
            </w:tcBorders>
          </w:tcPr>
          <w:p w14:paraId="45A26A89">
            <w:pPr>
              <w:pStyle w:val="52"/>
            </w:pPr>
          </w:p>
        </w:tc>
        <w:tc>
          <w:tcPr>
            <w:tcW w:w="851" w:type="dxa"/>
            <w:tcBorders>
              <w:top w:val="nil"/>
            </w:tcBorders>
          </w:tcPr>
          <w:p w14:paraId="45A26A8A">
            <w:pPr>
              <w:pStyle w:val="52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5A26A8B">
            <w:pPr>
              <w:pStyle w:val="52"/>
            </w:pPr>
          </w:p>
        </w:tc>
      </w:tr>
      <w:tr w14:paraId="45A26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5A26A8D">
            <w:pPr>
              <w:pStyle w:val="51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5A26A8E">
            <w:pPr>
              <w:pStyle w:val="52"/>
            </w:pPr>
          </w:p>
        </w:tc>
        <w:tc>
          <w:tcPr>
            <w:tcW w:w="1037" w:type="dxa"/>
          </w:tcPr>
          <w:p w14:paraId="45A26A8F">
            <w:pPr>
              <w:pStyle w:val="52"/>
            </w:pPr>
          </w:p>
        </w:tc>
        <w:tc>
          <w:tcPr>
            <w:tcW w:w="850" w:type="dxa"/>
          </w:tcPr>
          <w:p w14:paraId="45A26A90">
            <w:pPr>
              <w:pStyle w:val="52"/>
            </w:pPr>
          </w:p>
        </w:tc>
        <w:tc>
          <w:tcPr>
            <w:tcW w:w="851" w:type="dxa"/>
          </w:tcPr>
          <w:p w14:paraId="45A26A91">
            <w:pPr>
              <w:pStyle w:val="52"/>
            </w:pPr>
          </w:p>
        </w:tc>
        <w:tc>
          <w:tcPr>
            <w:tcW w:w="1752" w:type="dxa"/>
          </w:tcPr>
          <w:p w14:paraId="45A26A92">
            <w:pPr>
              <w:pStyle w:val="52"/>
            </w:pPr>
          </w:p>
        </w:tc>
      </w:tr>
      <w:tr w14:paraId="45A26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5A26A94">
            <w:pPr>
              <w:pStyle w:val="51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5A26A95">
            <w:pPr>
              <w:pStyle w:val="52"/>
            </w:pPr>
          </w:p>
        </w:tc>
        <w:tc>
          <w:tcPr>
            <w:tcW w:w="1037" w:type="dxa"/>
          </w:tcPr>
          <w:p w14:paraId="45A26A96">
            <w:pPr>
              <w:pStyle w:val="52"/>
            </w:pPr>
          </w:p>
        </w:tc>
        <w:tc>
          <w:tcPr>
            <w:tcW w:w="850" w:type="dxa"/>
          </w:tcPr>
          <w:p w14:paraId="45A26A97">
            <w:pPr>
              <w:pStyle w:val="52"/>
            </w:pPr>
          </w:p>
        </w:tc>
        <w:tc>
          <w:tcPr>
            <w:tcW w:w="851" w:type="dxa"/>
          </w:tcPr>
          <w:p w14:paraId="45A26A98">
            <w:pPr>
              <w:pStyle w:val="52"/>
            </w:pPr>
          </w:p>
        </w:tc>
        <w:tc>
          <w:tcPr>
            <w:tcW w:w="1752" w:type="dxa"/>
          </w:tcPr>
          <w:p w14:paraId="45A26A99">
            <w:pPr>
              <w:pStyle w:val="52"/>
            </w:pPr>
          </w:p>
        </w:tc>
      </w:tr>
    </w:tbl>
    <w:p w14:paraId="45A26A9B"/>
    <w:p w14:paraId="45A26A9C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45A26A9D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45A26A9E">
      <w:pPr>
        <w:pStyle w:val="4"/>
      </w:pPr>
      <w:r>
        <w:t>This work item is a …</w:t>
      </w:r>
    </w:p>
    <w:tbl>
      <w:tblPr>
        <w:tblStyle w:val="4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45A26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9F">
            <w:pPr>
              <w:pStyle w:val="52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5A26AA0">
            <w:pPr>
              <w:pStyle w:val="51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45A26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A2">
            <w:pPr>
              <w:pStyle w:val="52"/>
            </w:pPr>
          </w:p>
        </w:tc>
        <w:tc>
          <w:tcPr>
            <w:tcW w:w="2917" w:type="dxa"/>
            <w:shd w:val="clear" w:color="auto" w:fill="E0E0E0"/>
          </w:tcPr>
          <w:p w14:paraId="45A26AA3">
            <w:pPr>
              <w:pStyle w:val="51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45A26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A5">
            <w:pPr>
              <w:pStyle w:val="52"/>
            </w:pPr>
          </w:p>
        </w:tc>
        <w:tc>
          <w:tcPr>
            <w:tcW w:w="2917" w:type="dxa"/>
            <w:shd w:val="clear" w:color="auto" w:fill="E0E0E0"/>
          </w:tcPr>
          <w:p w14:paraId="45A26AA6">
            <w:pPr>
              <w:pStyle w:val="51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45A26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A8">
            <w:pPr>
              <w:pStyle w:val="52"/>
            </w:pPr>
          </w:p>
        </w:tc>
        <w:tc>
          <w:tcPr>
            <w:tcW w:w="2917" w:type="dxa"/>
            <w:shd w:val="clear" w:color="auto" w:fill="E0E0E0"/>
          </w:tcPr>
          <w:p w14:paraId="45A26AA9">
            <w:pPr>
              <w:pStyle w:val="51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45A26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AB">
            <w:pPr>
              <w:pStyle w:val="52"/>
            </w:pPr>
          </w:p>
        </w:tc>
        <w:tc>
          <w:tcPr>
            <w:tcW w:w="2917" w:type="dxa"/>
            <w:shd w:val="clear" w:color="auto" w:fill="E0E0E0"/>
          </w:tcPr>
          <w:p w14:paraId="45A26AAC">
            <w:pPr>
              <w:pStyle w:val="51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5A26AAE">
      <w:pPr>
        <w:ind w:right="-99"/>
        <w:rPr>
          <w:b/>
        </w:rPr>
      </w:pPr>
      <w:r>
        <w:rPr>
          <w:b/>
        </w:rPr>
        <w:t>* Other = e.g. testing</w:t>
      </w:r>
    </w:p>
    <w:p w14:paraId="45A26AAF">
      <w:pPr>
        <w:ind w:right="-99"/>
        <w:rPr>
          <w:b/>
        </w:rPr>
      </w:pPr>
    </w:p>
    <w:p w14:paraId="45A26AB0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tbl>
      <w:tblPr>
        <w:tblStyle w:val="4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45A26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5A26AB1">
            <w:pPr>
              <w:pStyle w:val="51"/>
              <w:ind w:right="-99"/>
              <w:jc w:val="left"/>
            </w:pPr>
            <w:r>
              <w:t xml:space="preserve">Parent Work / Study Items </w:t>
            </w:r>
          </w:p>
        </w:tc>
      </w:tr>
      <w:tr w14:paraId="45A26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5A26AB3">
            <w:pPr>
              <w:pStyle w:val="51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5A26AB4">
            <w:pPr>
              <w:pStyle w:val="51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5A26AB5">
            <w:pPr>
              <w:pStyle w:val="51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5A26AB6">
            <w:pPr>
              <w:pStyle w:val="51"/>
              <w:ind w:right="-99"/>
              <w:jc w:val="left"/>
            </w:pPr>
            <w:r>
              <w:t>Title (as in 3GPP Work Plan)</w:t>
            </w:r>
          </w:p>
        </w:tc>
      </w:tr>
      <w:tr w14:paraId="45A26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A26AB8">
            <w:pPr>
              <w:pStyle w:val="53"/>
              <w:rPr>
                <w:rFonts w:eastAsia="宋体"/>
                <w:lang w:val="en-US" w:eastAsia="zh-CN"/>
              </w:rPr>
            </w:pPr>
            <w:bookmarkStart w:id="0" w:name="OLE_LINK1"/>
            <w:r>
              <w:rPr>
                <w:rFonts w:hint="eastAsia" w:eastAsia="宋体"/>
                <w:lang w:val="en-US" w:eastAsia="zh-CN"/>
              </w:rPr>
              <w:t>N/A</w:t>
            </w:r>
            <w:bookmarkEnd w:id="0"/>
          </w:p>
        </w:tc>
        <w:tc>
          <w:tcPr>
            <w:tcW w:w="1101" w:type="dxa"/>
          </w:tcPr>
          <w:p w14:paraId="45A26AB9">
            <w:pPr>
              <w:pStyle w:val="53"/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1101" w:type="dxa"/>
          </w:tcPr>
          <w:p w14:paraId="45A26ABA">
            <w:pPr>
              <w:pStyle w:val="53"/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6010" w:type="dxa"/>
          </w:tcPr>
          <w:p w14:paraId="45A26ABB">
            <w:pPr>
              <w:pStyle w:val="53"/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</w:tr>
    </w:tbl>
    <w:p w14:paraId="45A26ABD"/>
    <w:p w14:paraId="45A26ABE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sz w:val="28"/>
          <w:lang w:eastAsia="ja-JP"/>
        </w:rPr>
      </w:pPr>
      <w:r>
        <w:rPr>
          <w:sz w:val="28"/>
          <w:lang w:eastAsia="ja-JP"/>
        </w:rPr>
        <w:t>2.3</w:t>
      </w:r>
      <w:r>
        <w:rPr>
          <w:sz w:val="28"/>
          <w:lang w:eastAsia="ja-JP"/>
        </w:rPr>
        <w:tab/>
      </w:r>
      <w:r>
        <w:rPr>
          <w:sz w:val="28"/>
          <w:lang w:eastAsia="ja-JP"/>
        </w:rPr>
        <w:t>Other related Work Items and dependencies</w:t>
      </w:r>
    </w:p>
    <w:tbl>
      <w:tblPr>
        <w:tblStyle w:val="4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45A26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5A26ABF">
            <w:pPr>
              <w:pStyle w:val="51"/>
            </w:pPr>
            <w:r>
              <w:t>Other related Work /Study Items (if any)</w:t>
            </w:r>
          </w:p>
        </w:tc>
      </w:tr>
      <w:tr w14:paraId="45A26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5A26AC1">
            <w:pPr>
              <w:pStyle w:val="51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5A26AC2">
            <w:pPr>
              <w:pStyle w:val="51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5A26AC3">
            <w:pPr>
              <w:pStyle w:val="51"/>
            </w:pPr>
            <w:r>
              <w:t>Nature of relationship</w:t>
            </w:r>
          </w:p>
        </w:tc>
      </w:tr>
      <w:tr w14:paraId="45A26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A26AC5">
            <w:pPr>
              <w:pStyle w:val="53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3326" w:type="dxa"/>
          </w:tcPr>
          <w:p w14:paraId="45A26AC6">
            <w:pPr>
              <w:pStyle w:val="53"/>
            </w:pPr>
          </w:p>
        </w:tc>
        <w:tc>
          <w:tcPr>
            <w:tcW w:w="5099" w:type="dxa"/>
          </w:tcPr>
          <w:p w14:paraId="45A26AC7">
            <w:pPr>
              <w:pStyle w:val="86"/>
            </w:pPr>
            <w:r>
              <w:t xml:space="preserve">{optional free text} </w:t>
            </w:r>
          </w:p>
        </w:tc>
      </w:tr>
    </w:tbl>
    <w:p w14:paraId="45A26AC9">
      <w:pPr>
        <w:pStyle w:val="58"/>
      </w:pPr>
    </w:p>
    <w:p w14:paraId="45A26ACA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45A26ACB">
      <w:pPr>
        <w:rPr>
          <w:rFonts w:ascii="Arial" w:hAnsi="Arial" w:eastAsia="宋体"/>
          <w:color w:val="000000"/>
          <w:sz w:val="18"/>
          <w:lang w:val="en-US" w:eastAsia="zh-CN"/>
        </w:rPr>
      </w:pPr>
      <w:r>
        <w:rPr>
          <w:rFonts w:hint="eastAsia" w:ascii="Arial" w:hAnsi="Arial" w:eastAsia="宋体"/>
          <w:color w:val="000000"/>
          <w:sz w:val="18"/>
          <w:lang w:val="en-US" w:eastAsia="zh-CN"/>
        </w:rPr>
        <w:t>N/A</w:t>
      </w:r>
    </w:p>
    <w:p w14:paraId="45A26ACC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 w14:paraId="45A26ACE">
      <w:pPr>
        <w:jc w:val="both"/>
      </w:pPr>
      <w:r>
        <w:rPr>
          <w:rFonts w:hint="eastAsia" w:eastAsia="宋体"/>
          <w:lang w:val="en-US" w:eastAsia="zh-CN"/>
        </w:rPr>
        <w:t xml:space="preserve">In TR 22.870, the security issues of </w:t>
      </w:r>
      <w:r>
        <w:t>operators strugg</w:t>
      </w:r>
      <w:r>
        <w:rPr>
          <w:rFonts w:hint="eastAsia" w:eastAsia="宋体"/>
          <w:lang w:val="en-US" w:eastAsia="zh-CN"/>
        </w:rPr>
        <w:t>ling</w:t>
      </w:r>
      <w:r>
        <w:t xml:space="preserve"> with the bilateral administration of security to enable interconnection and roaming with other operators</w:t>
      </w:r>
      <w:r>
        <w:rPr>
          <w:rFonts w:hint="eastAsia" w:eastAsia="宋体"/>
          <w:lang w:val="en-US" w:eastAsia="zh-CN"/>
        </w:rPr>
        <w:t xml:space="preserve"> has been studied. Similar issues also exist in intra-PLMN cases where different security domains in the core network rely on </w:t>
      </w:r>
      <w:r>
        <w:t xml:space="preserve">NDS/IP and NDS/AF to provide transport layer security protection mechanisms. </w:t>
      </w:r>
      <w:r>
        <w:rPr>
          <w:rFonts w:hint="eastAsia" w:eastAsia="宋体"/>
          <w:lang w:val="en-US" w:eastAsia="zh-CN"/>
        </w:rPr>
        <w:t>In both inter-PLMN and intra-PLMN interconnections, d</w:t>
      </w:r>
      <w:r>
        <w:t xml:space="preserve">igital certificates are usually used as identity identifiers and IPSec protocol is used for securing the communication between the </w:t>
      </w:r>
      <w:r>
        <w:rPr>
          <w:rFonts w:hint="eastAsia" w:eastAsia="宋体"/>
          <w:lang w:val="en-US" w:eastAsia="zh-CN"/>
        </w:rPr>
        <w:t xml:space="preserve">two </w:t>
      </w:r>
      <w:r>
        <w:t xml:space="preserve">domains. This requires both CA (Certificate Authorities) institutions </w:t>
      </w:r>
      <w:r>
        <w:rPr>
          <w:rFonts w:hint="eastAsia" w:eastAsia="宋体"/>
          <w:lang w:val="en-US" w:eastAsia="zh-CN"/>
        </w:rPr>
        <w:t xml:space="preserve">of each operator/entity at the border of the security domains </w:t>
      </w:r>
      <w:r>
        <w:t xml:space="preserve">to crossly trust and certify each other. Frequent cross-domain certification brings about network latency and management cost, as well as threats of single point of security failure. What’s more, it is difficult to establish a common root of trust for cross domain communication. </w:t>
      </w:r>
    </w:p>
    <w:p w14:paraId="4A25B760">
      <w:pPr>
        <w:jc w:val="both"/>
        <w:rPr>
          <w:lang w:eastAsia="zh-CN"/>
        </w:rPr>
      </w:pPr>
      <w:r>
        <w:t xml:space="preserve">Thus, an efficient manner of establishing trust </w:t>
      </w:r>
      <w:r>
        <w:rPr>
          <w:rFonts w:hint="eastAsia" w:eastAsia="宋体"/>
          <w:lang w:val="en-US" w:eastAsia="zh-CN"/>
        </w:rPr>
        <w:t xml:space="preserve">among inter-PLMN and intra-PLMN in 6G </w:t>
      </w:r>
      <w:r>
        <w:t>need</w:t>
      </w:r>
      <w:r>
        <w:rPr>
          <w:rFonts w:hint="eastAsia" w:eastAsia="宋体"/>
          <w:lang w:val="en-US" w:eastAsia="zh-CN"/>
        </w:rPr>
        <w:t>s to be studied</w:t>
      </w:r>
      <w:r>
        <w:t>.</w:t>
      </w:r>
      <w:r>
        <w:rPr>
          <w:rFonts w:hint="eastAsia" w:eastAsia="宋体"/>
          <w:lang w:val="en-US" w:eastAsia="zh-CN"/>
        </w:rPr>
        <w:t xml:space="preserve"> For example, t</w:t>
      </w:r>
      <w:r>
        <w:t>he traditional centralized trust infrastructure could be replaced with a decentralized trust foundation within and across the trust regions. With</w:t>
      </w:r>
      <w:r>
        <w:rPr>
          <w:rFonts w:hint="eastAsia" w:eastAsia="宋体"/>
          <w:lang w:val="en-US" w:eastAsia="zh-CN"/>
        </w:rPr>
        <w:t xml:space="preserve"> that</w:t>
      </w:r>
      <w:r>
        <w:t xml:space="preserve">, the 6G </w:t>
      </w:r>
      <w:r>
        <w:rPr>
          <w:rFonts w:hint="eastAsia" w:eastAsia="宋体"/>
          <w:lang w:val="en-US" w:eastAsia="zh-CN"/>
        </w:rPr>
        <w:t xml:space="preserve">core </w:t>
      </w:r>
      <w:r>
        <w:t xml:space="preserve">network would fundamentally eliminate single points of security failure </w:t>
      </w:r>
      <w:r>
        <w:rPr>
          <w:rFonts w:hint="eastAsia" w:eastAsia="宋体"/>
          <w:lang w:val="en-US" w:eastAsia="zh-CN"/>
        </w:rPr>
        <w:t xml:space="preserve">and </w:t>
      </w:r>
      <w:r>
        <w:rPr>
          <w:rFonts w:eastAsia="宋体"/>
          <w:lang w:val="en-US" w:eastAsia="zh-CN"/>
        </w:rPr>
        <w:t xml:space="preserve">reduce the </w:t>
      </w:r>
      <w:r>
        <w:rPr>
          <w:rFonts w:hint="eastAsia" w:eastAsia="宋体"/>
          <w:lang w:val="en-US" w:eastAsia="zh-CN"/>
        </w:rPr>
        <w:t xml:space="preserve">cross-domain security management burden in security </w:t>
      </w:r>
      <w:r>
        <w:rPr>
          <w:rFonts w:eastAsia="宋体"/>
          <w:lang w:val="en-US" w:eastAsia="zh-CN"/>
        </w:rPr>
        <w:t xml:space="preserve">certification </w:t>
      </w:r>
      <w:r>
        <w:rPr>
          <w:rFonts w:hint="eastAsia" w:eastAsia="宋体"/>
          <w:lang w:val="en-US" w:eastAsia="zh-CN"/>
        </w:rPr>
        <w:t>establishment</w:t>
      </w:r>
      <w:r>
        <w:rPr>
          <w:lang w:eastAsia="zh-CN"/>
        </w:rPr>
        <w:t>.</w:t>
      </w:r>
    </w:p>
    <w:p w14:paraId="45A26AD0">
      <w:pPr>
        <w:jc w:val="both"/>
      </w:pPr>
      <w:r>
        <w:rPr>
          <w:lang w:val="en-US" w:eastAsia="zh-CN"/>
        </w:rPr>
        <w:t xml:space="preserve">The current NF to NF authentication mechanism operates at the transport layer, specifically within the TLS handshake. In contrast, authorization, utilizing OAuth2, is implemented at the application layer. By that, a significant challenge arises from the varying deployment scenarios where the termination point of authentication often differs from the actual NF's operational location. </w:t>
      </w:r>
      <w:r>
        <w:rPr>
          <w:lang w:eastAsia="zh-CN"/>
        </w:rPr>
        <w:t>Therefore, it is crucial to investigate the feasibility and security implications of transport-agnostic authentication mechanisms. This involves relocating NF-NF authentication to the application layer, thereby aligning it with the existing OAuth2 authorization framework.</w:t>
      </w:r>
    </w:p>
    <w:p w14:paraId="45A26AD2">
      <w:r>
        <w:rPr>
          <w:rFonts w:hint="eastAsia" w:eastAsia="宋体"/>
          <w:lang w:val="en-US" w:eastAsia="zh-CN"/>
        </w:rPr>
        <w:t>Furthermore, a</w:t>
      </w:r>
      <w:r>
        <w:t xml:space="preserve">s the number and the type of the intra-PLMN networks is increasing, such as NPN-PLMN and PNI-NPN. Security isolation of these intra-PLMN networks is crucial to avoid cross-attack risks. Fine-grained security isolation based on the security needs of different businesses requirements is needed. </w:t>
      </w:r>
      <w:r>
        <w:rPr>
          <w:rFonts w:hint="eastAsia" w:eastAsia="宋体"/>
          <w:lang w:val="en-US" w:eastAsia="zh-CN"/>
        </w:rPr>
        <w:t>Thereby, the security isolation mechanisms in 6G between different security domains in inter-PLMN and intra-PLMN needs to be studied.</w:t>
      </w:r>
    </w:p>
    <w:p w14:paraId="45A26AD3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 w14:paraId="45A26AD4">
      <w:pPr>
        <w:pStyle w:val="86"/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>The objective of this study item is to:</w:t>
      </w:r>
    </w:p>
    <w:p w14:paraId="45A26AD5">
      <w:pPr>
        <w:pStyle w:val="86"/>
        <w:numPr>
          <w:ilvl w:val="0"/>
          <w:numId w:val="1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WT1: Study the </w:t>
      </w:r>
      <w:r>
        <w:rPr>
          <w:rFonts w:hint="eastAsia" w:eastAsia="宋体"/>
          <w:i w:val="0"/>
          <w:color w:val="auto"/>
          <w:lang w:val="en-US" w:eastAsia="zh-CN"/>
        </w:rPr>
        <w:t>trust establishment mechanisms to eliminate single-point-failure</w:t>
      </w:r>
      <w:r>
        <w:rPr>
          <w:rFonts w:eastAsia="宋体"/>
          <w:i w:val="0"/>
          <w:color w:val="auto"/>
          <w:lang w:val="en-US" w:eastAsia="zh-CN"/>
        </w:rPr>
        <w:t>,</w:t>
      </w:r>
      <w:r>
        <w:rPr>
          <w:rFonts w:hint="eastAsia" w:eastAsia="宋体"/>
          <w:i w:val="0"/>
          <w:color w:val="auto"/>
          <w:lang w:val="en-US" w:eastAsia="zh-CN"/>
        </w:rPr>
        <w:t xml:space="preserve"> cross-domain security management burden</w:t>
      </w:r>
      <w:r>
        <w:rPr>
          <w:rFonts w:eastAsia="宋体"/>
          <w:i w:val="0"/>
          <w:color w:val="auto"/>
          <w:lang w:val="en-US" w:eastAsia="zh-CN"/>
        </w:rPr>
        <w:t xml:space="preserve"> and transport-level authentication dependencies</w:t>
      </w:r>
      <w:r>
        <w:rPr>
          <w:rFonts w:hint="eastAsia" w:eastAsia="宋体"/>
          <w:i w:val="0"/>
          <w:color w:val="auto"/>
          <w:lang w:val="en-US" w:eastAsia="zh-CN"/>
        </w:rPr>
        <w:t>.</w:t>
      </w:r>
    </w:p>
    <w:p w14:paraId="45A26AD6">
      <w:pPr>
        <w:pStyle w:val="86"/>
        <w:numPr>
          <w:ilvl w:val="1"/>
          <w:numId w:val="1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For </w:t>
      </w:r>
      <w:r>
        <w:rPr>
          <w:rFonts w:hint="eastAsia" w:eastAsia="宋体"/>
          <w:i w:val="0"/>
          <w:color w:val="auto"/>
          <w:lang w:val="en-US" w:eastAsia="zh-CN"/>
        </w:rPr>
        <w:t xml:space="preserve">inter-PLMN case, study the efficient authentication mechanisms and security protection between operators.  </w:t>
      </w:r>
    </w:p>
    <w:p w14:paraId="45A26AD7">
      <w:pPr>
        <w:pStyle w:val="86"/>
        <w:numPr>
          <w:ilvl w:val="1"/>
          <w:numId w:val="1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For </w:t>
      </w:r>
      <w:r>
        <w:rPr>
          <w:rFonts w:hint="eastAsia" w:eastAsia="宋体"/>
          <w:i w:val="0"/>
          <w:color w:val="auto"/>
          <w:lang w:val="en-US" w:eastAsia="zh-CN"/>
        </w:rPr>
        <w:t>intra-PLMN case, study the authentication and security protection mechanisms among network elements in the same or different security domains.</w:t>
      </w:r>
    </w:p>
    <w:p w14:paraId="2C8A0BC9">
      <w:pPr>
        <w:pStyle w:val="87"/>
        <w:numPr>
          <w:ilvl w:val="1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Study the feasibility and potential security implications of moving NF-NF authentication to the application layer.</w:t>
      </w:r>
    </w:p>
    <w:p w14:paraId="741B6696">
      <w:pPr>
        <w:pStyle w:val="87"/>
        <w:ind w:left="1440"/>
        <w:rPr>
          <w:sz w:val="20"/>
          <w:szCs w:val="20"/>
          <w:lang w:val="en-GB"/>
        </w:rPr>
      </w:pPr>
    </w:p>
    <w:p w14:paraId="45A26AD8">
      <w:pPr>
        <w:pStyle w:val="86"/>
        <w:numPr>
          <w:ilvl w:val="0"/>
          <w:numId w:val="1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WT2: Study </w:t>
      </w:r>
      <w:r>
        <w:rPr>
          <w:rFonts w:hint="eastAsia" w:eastAsia="宋体"/>
          <w:i w:val="0"/>
          <w:color w:val="auto"/>
          <w:lang w:val="en-US" w:eastAsia="zh-CN"/>
        </w:rPr>
        <w:t>the security isolation mechanisms between different security domains in inter-PLMN and intra-PLMN cases.</w:t>
      </w:r>
    </w:p>
    <w:p w14:paraId="1F099C4B">
      <w:pPr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NOTE：</w:t>
      </w:r>
      <w:r>
        <w:rPr>
          <w:rFonts w:eastAsia="宋体"/>
          <w:lang w:val="en-US" w:eastAsia="zh-CN"/>
        </w:rPr>
        <w:t xml:space="preserve">The GSMA and/or other industry organizations may undertake similar topics in similar timeframes. However, 3GPP is responsible for achieving the objectives of this study. Potential liaison communications </w:t>
      </w:r>
      <w:r>
        <w:rPr>
          <w:rFonts w:hint="eastAsia" w:eastAsia="宋体"/>
          <w:lang w:val="en-US" w:eastAsia="zh-CN"/>
        </w:rPr>
        <w:t>might be triggered during the study.</w:t>
      </w:r>
    </w:p>
    <w:p w14:paraId="45A26ADA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45A26ADB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A26ADC"/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45A2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5A26ADD">
            <w:pPr>
              <w:pStyle w:val="51"/>
            </w:pPr>
            <w:r>
              <w:t>New specifications {One line per specification. Create/delete lines as needed}</w:t>
            </w:r>
          </w:p>
        </w:tc>
      </w:tr>
      <w:tr w14:paraId="45A2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5A26ADF">
            <w:pPr>
              <w:pStyle w:val="51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5A26AE0">
            <w:pPr>
              <w:pStyle w:val="51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45A26AE1">
            <w:pPr>
              <w:pStyle w:val="51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5A26AE2">
            <w:pPr>
              <w:pStyle w:val="51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5A26AE3">
            <w:pPr>
              <w:pStyle w:val="51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5A26AE4">
            <w:pPr>
              <w:pStyle w:val="51"/>
            </w:pPr>
            <w:r>
              <w:t>Rapporteur</w:t>
            </w:r>
          </w:p>
        </w:tc>
      </w:tr>
      <w:tr w14:paraId="45A2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617" w:type="dxa"/>
          </w:tcPr>
          <w:p w14:paraId="45A26AE6">
            <w:pPr>
              <w:pStyle w:val="86"/>
              <w:spacing w:after="0"/>
            </w:pPr>
            <w:r>
              <w:t xml:space="preserve"> </w:t>
            </w:r>
            <w:r>
              <w:rPr>
                <w:rFonts w:hint="eastAsia" w:eastAsia="宋体"/>
                <w:lang w:val="en-US" w:eastAsia="zh-CN"/>
              </w:rPr>
              <w:t>Internal</w:t>
            </w:r>
            <w:r>
              <w:t xml:space="preserve"> TR</w:t>
            </w:r>
          </w:p>
        </w:tc>
        <w:tc>
          <w:tcPr>
            <w:tcW w:w="1134" w:type="dxa"/>
          </w:tcPr>
          <w:p w14:paraId="45A26AE7">
            <w:pPr>
              <w:pStyle w:val="86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33.XXX</w:t>
            </w:r>
          </w:p>
        </w:tc>
        <w:tc>
          <w:tcPr>
            <w:tcW w:w="2409" w:type="dxa"/>
          </w:tcPr>
          <w:p w14:paraId="45A26AE8">
            <w:pPr>
              <w:pStyle w:val="86"/>
              <w:spacing w:after="0"/>
            </w:pPr>
            <w:r>
              <w:rPr>
                <w:rFonts w:hint="eastAsia"/>
                <w:lang w:val="en-US" w:eastAsia="zh-CN"/>
              </w:rPr>
              <w:t>Study on inter-PLMN and intra-PLMN security/security domains in 6G</w:t>
            </w:r>
          </w:p>
        </w:tc>
        <w:tc>
          <w:tcPr>
            <w:tcW w:w="993" w:type="dxa"/>
          </w:tcPr>
          <w:p w14:paraId="45A26AE9">
            <w:pPr>
              <w:pStyle w:val="86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Sep 2026</w:t>
            </w:r>
          </w:p>
          <w:p w14:paraId="45A26AEA">
            <w:pPr>
              <w:pStyle w:val="86"/>
              <w:spacing w:after="0"/>
              <w:rPr>
                <w:rFonts w:eastAsia="宋体"/>
                <w:lang w:val="en-US" w:eastAsia="zh-CN"/>
              </w:rPr>
            </w:pPr>
            <w:r>
              <w:t>TSG#</w:t>
            </w:r>
            <w:r>
              <w:rPr>
                <w:rFonts w:hint="eastAsia" w:eastAsia="宋体"/>
                <w:lang w:val="en-US" w:eastAsia="zh-CN"/>
              </w:rPr>
              <w:t>117</w:t>
            </w:r>
          </w:p>
        </w:tc>
        <w:tc>
          <w:tcPr>
            <w:tcW w:w="1074" w:type="dxa"/>
          </w:tcPr>
          <w:p w14:paraId="45A26AEB">
            <w:pPr>
              <w:pStyle w:val="86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Dec 2026</w:t>
            </w:r>
          </w:p>
          <w:p w14:paraId="45A26AEC">
            <w:pPr>
              <w:pStyle w:val="86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TSG#118</w:t>
            </w:r>
          </w:p>
        </w:tc>
        <w:tc>
          <w:tcPr>
            <w:tcW w:w="2186" w:type="dxa"/>
          </w:tcPr>
          <w:p w14:paraId="45A26AED">
            <w:pPr>
              <w:pStyle w:val="86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TBD</w:t>
            </w:r>
          </w:p>
        </w:tc>
      </w:tr>
      <w:tr w14:paraId="45A2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45A26AEF">
            <w:pPr>
              <w:pStyle w:val="53"/>
            </w:pPr>
          </w:p>
        </w:tc>
        <w:tc>
          <w:tcPr>
            <w:tcW w:w="1134" w:type="dxa"/>
          </w:tcPr>
          <w:p w14:paraId="45A26AF0">
            <w:pPr>
              <w:pStyle w:val="53"/>
            </w:pPr>
          </w:p>
        </w:tc>
        <w:tc>
          <w:tcPr>
            <w:tcW w:w="2409" w:type="dxa"/>
          </w:tcPr>
          <w:p w14:paraId="45A26AF1">
            <w:pPr>
              <w:pStyle w:val="53"/>
            </w:pPr>
          </w:p>
        </w:tc>
        <w:tc>
          <w:tcPr>
            <w:tcW w:w="993" w:type="dxa"/>
          </w:tcPr>
          <w:p w14:paraId="45A26AF2">
            <w:pPr>
              <w:pStyle w:val="53"/>
            </w:pPr>
          </w:p>
        </w:tc>
        <w:tc>
          <w:tcPr>
            <w:tcW w:w="1074" w:type="dxa"/>
          </w:tcPr>
          <w:p w14:paraId="45A26AF3">
            <w:pPr>
              <w:pStyle w:val="53"/>
            </w:pPr>
          </w:p>
        </w:tc>
        <w:tc>
          <w:tcPr>
            <w:tcW w:w="2186" w:type="dxa"/>
          </w:tcPr>
          <w:p w14:paraId="45A26AF4">
            <w:pPr>
              <w:pStyle w:val="53"/>
            </w:pPr>
          </w:p>
        </w:tc>
      </w:tr>
    </w:tbl>
    <w:p w14:paraId="45A26AF6">
      <w:pPr>
        <w:pStyle w:val="58"/>
      </w:pPr>
    </w:p>
    <w:p w14:paraId="45A26AF7"/>
    <w:tbl>
      <w:tblPr>
        <w:tblStyle w:val="4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 w14:paraId="45A2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8">
            <w:pPr>
              <w:pStyle w:val="51"/>
            </w:pPr>
            <w:r>
              <w:t>Impacted existing TS/TR {One line per specification. Create/delete lines as needed}</w:t>
            </w:r>
          </w:p>
        </w:tc>
      </w:tr>
      <w:tr w14:paraId="45A2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A">
            <w:pPr>
              <w:pStyle w:val="51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B">
            <w:pPr>
              <w:pStyle w:val="51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C">
            <w:pPr>
              <w:pStyle w:val="51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D">
            <w:pPr>
              <w:pStyle w:val="51"/>
            </w:pPr>
            <w:r>
              <w:t>Remarks</w:t>
            </w:r>
          </w:p>
        </w:tc>
      </w:tr>
      <w:tr w14:paraId="45A2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AFF">
            <w:pPr>
              <w:pStyle w:val="86"/>
              <w:spacing w:after="0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0">
            <w:pPr>
              <w:pStyle w:val="86"/>
              <w:spacing w:after="0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1">
            <w:pPr>
              <w:pStyle w:val="86"/>
              <w:spacing w:after="0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2">
            <w:pPr>
              <w:pStyle w:val="86"/>
              <w:spacing w:after="0"/>
            </w:pPr>
          </w:p>
        </w:tc>
      </w:tr>
      <w:tr w14:paraId="45A2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4">
            <w:pPr>
              <w:pStyle w:val="53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5">
            <w:pPr>
              <w:pStyle w:val="53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6">
            <w:pPr>
              <w:pStyle w:val="53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7">
            <w:pPr>
              <w:pStyle w:val="53"/>
            </w:pPr>
          </w:p>
        </w:tc>
      </w:tr>
    </w:tbl>
    <w:p w14:paraId="45A26B09"/>
    <w:p w14:paraId="45A26B0A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45A26B0B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TBD</w:t>
      </w:r>
    </w:p>
    <w:p w14:paraId="45A26B0C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45A26B0D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SA3</w:t>
      </w:r>
    </w:p>
    <w:p w14:paraId="45A26B0E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45A26B0F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None.</w:t>
      </w:r>
    </w:p>
    <w:p w14:paraId="45A26B1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45A2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5A26B11">
            <w:pPr>
              <w:pStyle w:val="51"/>
            </w:pPr>
            <w:r>
              <w:t>Supporting IM name</w:t>
            </w:r>
          </w:p>
        </w:tc>
      </w:tr>
      <w:tr w14:paraId="45A2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3">
            <w:pPr>
              <w:pStyle w:val="53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 w14:paraId="45A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029" w:type="dxa"/>
            <w:shd w:val="clear" w:color="auto" w:fill="auto"/>
          </w:tcPr>
          <w:p w14:paraId="45A26B15">
            <w:pPr>
              <w:tabs>
                <w:tab w:val="left" w:pos="2127"/>
              </w:tabs>
              <w:jc w:val="both"/>
              <w:outlineLvl w:val="0"/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  <w:t>Johns Hopkins University</w:t>
            </w:r>
          </w:p>
        </w:tc>
      </w:tr>
      <w:tr w14:paraId="45A2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7">
            <w:pPr>
              <w:tabs>
                <w:tab w:val="left" w:pos="2127"/>
              </w:tabs>
              <w:jc w:val="both"/>
              <w:outlineLvl w:val="0"/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  <w:t>Deutsche Telekom</w:t>
            </w:r>
          </w:p>
        </w:tc>
      </w:tr>
      <w:tr w14:paraId="45A2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9">
            <w:pPr>
              <w:tabs>
                <w:tab w:val="left" w:pos="2127"/>
              </w:tabs>
              <w:jc w:val="both"/>
              <w:outlineLvl w:val="0"/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  <w:t>AT&amp;T</w:t>
            </w:r>
          </w:p>
        </w:tc>
      </w:tr>
      <w:tr w14:paraId="45A2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B">
            <w:pPr>
              <w:pStyle w:val="53"/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  <w:t>Boost Mobile Network</w:t>
            </w:r>
          </w:p>
        </w:tc>
      </w:tr>
      <w:tr w14:paraId="45A2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D">
            <w:pPr>
              <w:pStyle w:val="53"/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  <w:t>Verizon</w:t>
            </w:r>
          </w:p>
        </w:tc>
      </w:tr>
      <w:tr w14:paraId="45A2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F">
            <w:pPr>
              <w:pStyle w:val="53"/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  <w:t>Vodafone</w:t>
            </w:r>
          </w:p>
        </w:tc>
      </w:tr>
      <w:tr w14:paraId="45A2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21">
            <w:pPr>
              <w:pStyle w:val="53"/>
              <w:rPr>
                <w:rFonts w:hint="default" w:eastAsia="宋体"/>
                <w:lang w:val="en-US" w:eastAsia="zh-CN"/>
              </w:rPr>
            </w:pPr>
          </w:p>
        </w:tc>
      </w:tr>
    </w:tbl>
    <w:p w14:paraId="3CF24935">
      <w:pPr>
        <w:rPr>
          <w:rFonts w:hint="default"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F64D"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57705"/>
    <w:multiLevelType w:val="multilevel"/>
    <w:tmpl w:val="179577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D7B0102"/>
    <w:rsid w:val="152930DC"/>
    <w:rsid w:val="1F2E6A57"/>
    <w:rsid w:val="29E57848"/>
    <w:rsid w:val="4F3C7E8D"/>
    <w:rsid w:val="58767AB0"/>
    <w:rsid w:val="677A53D4"/>
    <w:rsid w:val="7340424A"/>
    <w:rsid w:val="7B0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1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Guidance"/>
    <w:basedOn w:val="1"/>
    <w:qFormat/>
    <w:uiPriority w:val="0"/>
    <w:rPr>
      <w:i/>
      <w:color w:val="000000"/>
      <w:lang w:eastAsia="ja-JP"/>
    </w:rPr>
  </w:style>
  <w:style w:type="paragraph" w:styleId="87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5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Xiaoting</cp:lastModifiedBy>
  <cp:lastPrinted>2411-12-31T23:00:00Z</cp:lastPrinted>
  <dcterms:modified xsi:type="dcterms:W3CDTF">2025-08-01T12:05:15Z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E60F2440E609437E92DD40795E825A82_13</vt:lpwstr>
  </property>
</Properties>
</file>