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4F6C6AE8"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00290A8D">
        <w:rPr>
          <w:bCs/>
          <w:noProof w:val="0"/>
          <w:sz w:val="24"/>
          <w:szCs w:val="24"/>
        </w:rPr>
        <w:t>bis</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290A8D">
        <w:rPr>
          <w:bCs/>
          <w:noProof w:val="0"/>
          <w:sz w:val="24"/>
          <w:szCs w:val="24"/>
        </w:rPr>
        <w:t>xxx</w:t>
      </w:r>
    </w:p>
    <w:p w14:paraId="11776FA6" w14:textId="0507AEB7" w:rsidR="00A209D6" w:rsidRPr="00465587" w:rsidRDefault="00290A8D" w:rsidP="00A209D6">
      <w:pPr>
        <w:pStyle w:val="Header"/>
        <w:tabs>
          <w:tab w:val="right" w:pos="9639"/>
        </w:tabs>
        <w:rPr>
          <w:bCs/>
          <w:sz w:val="24"/>
          <w:szCs w:val="24"/>
          <w:lang w:eastAsia="zh-CN"/>
        </w:rPr>
      </w:pPr>
      <w:r>
        <w:rPr>
          <w:bCs/>
          <w:sz w:val="24"/>
          <w:szCs w:val="24"/>
          <w:lang w:eastAsia="zh-CN"/>
        </w:rPr>
        <w:t>Prague, Czechia</w:t>
      </w:r>
      <w:r w:rsidR="003C2C5D">
        <w:rPr>
          <w:bCs/>
          <w:sz w:val="24"/>
          <w:szCs w:val="24"/>
          <w:lang w:eastAsia="zh-CN"/>
        </w:rPr>
        <w:t xml:space="preserve">, </w:t>
      </w:r>
      <w:r>
        <w:rPr>
          <w:bCs/>
          <w:sz w:val="24"/>
          <w:szCs w:val="24"/>
          <w:lang w:eastAsia="zh-CN"/>
        </w:rPr>
        <w:t>13</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Pr>
          <w:bCs/>
          <w:sz w:val="24"/>
          <w:szCs w:val="24"/>
          <w:lang w:eastAsia="zh-CN"/>
        </w:rPr>
        <w:t>17</w:t>
      </w:r>
      <w:r w:rsidR="00C2133F">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4C940A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90A8D">
        <w:rPr>
          <w:rFonts w:cs="Arial"/>
          <w:b/>
          <w:bCs/>
          <w:sz w:val="24"/>
        </w:rPr>
        <w:t>8.17</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4BFAA1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w:t>
      </w:r>
      <w:r w:rsidR="0051599A">
        <w:rPr>
          <w:rFonts w:eastAsia="SimSun"/>
          <w:b/>
          <w:bCs/>
          <w:sz w:val="24"/>
          <w:szCs w:val="20"/>
          <w:lang w:val="en-GB" w:eastAsia="en-US"/>
        </w:rPr>
        <w:t>Post131</w:t>
      </w:r>
      <w:r w:rsidR="00C2133F">
        <w:rPr>
          <w:rFonts w:eastAsia="SimSun"/>
          <w:b/>
          <w:bCs/>
          <w:sz w:val="24"/>
          <w:szCs w:val="20"/>
          <w:lang w:val="en-GB" w:eastAsia="en-US"/>
        </w:rPr>
        <w:t xml:space="preserve">][314][IoT NTN TDD] </w:t>
      </w:r>
      <w:r w:rsidR="0051599A">
        <w:rPr>
          <w:rFonts w:eastAsia="SimSun"/>
          <w:b/>
          <w:bCs/>
          <w:sz w:val="24"/>
          <w:szCs w:val="20"/>
          <w:lang w:val="en-GB" w:eastAsia="en-US"/>
        </w:rPr>
        <w:t>Open</w:t>
      </w:r>
      <w:r w:rsidR="00AB7418">
        <w:rPr>
          <w:rFonts w:eastAsia="SimSun"/>
          <w:b/>
          <w:bCs/>
          <w:sz w:val="24"/>
          <w:szCs w:val="20"/>
          <w:lang w:val="en-GB" w:eastAsia="en-US"/>
        </w:rPr>
        <w:t xml:space="preserve"> </w:t>
      </w:r>
      <w:r w:rsidR="0051599A">
        <w:rPr>
          <w:rFonts w:eastAsia="SimSun"/>
          <w:b/>
          <w:bCs/>
          <w:sz w:val="24"/>
          <w:szCs w:val="20"/>
          <w:lang w:val="en-GB" w:eastAsia="en-US"/>
        </w:rPr>
        <w:t xml:space="preserve">issues on </w:t>
      </w:r>
      <w:r w:rsidR="00C2133F">
        <w:rPr>
          <w:rFonts w:eastAsia="SimSun"/>
          <w:b/>
          <w:bCs/>
          <w:sz w:val="24"/>
          <w:szCs w:val="20"/>
          <w:lang w:val="en-GB" w:eastAsia="en-US"/>
        </w:rPr>
        <w:t>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0BF2C7C5" w:rsidR="00063BB0" w:rsidRDefault="00DF590A" w:rsidP="00063BB0">
      <w:r>
        <w:t xml:space="preserve">The following document concerns the following email discussion: </w:t>
      </w:r>
    </w:p>
    <w:p w14:paraId="7A3B3574" w14:textId="77777777" w:rsidR="00A15D6D" w:rsidRDefault="00A15D6D" w:rsidP="00A15D6D">
      <w:pPr>
        <w:pStyle w:val="EmailDiscussion"/>
        <w:tabs>
          <w:tab w:val="left" w:pos="1619"/>
        </w:tabs>
      </w:pPr>
      <w:r>
        <w:t>[Post131][314][IoT NTN TDD] capability CR (Samsung)</w:t>
      </w:r>
    </w:p>
    <w:p w14:paraId="4C7EAD75" w14:textId="77777777" w:rsidR="00A15D6D" w:rsidRDefault="00A15D6D" w:rsidP="00A15D6D">
      <w:pPr>
        <w:pStyle w:val="EmailDiscussion2"/>
      </w:pPr>
      <w:r>
        <w:tab/>
        <w:t xml:space="preserve">Scope: finalize the running capability CR </w:t>
      </w:r>
    </w:p>
    <w:p w14:paraId="32D14755" w14:textId="77777777" w:rsidR="00A15D6D" w:rsidRDefault="00A15D6D" w:rsidP="00A15D6D">
      <w:pPr>
        <w:pStyle w:val="EmailDiscussion2"/>
      </w:pPr>
      <w:r>
        <w:tab/>
        <w:t xml:space="preserve">Intended outcome: Endorse CRs </w:t>
      </w:r>
    </w:p>
    <w:p w14:paraId="21AA5BF3" w14:textId="77777777" w:rsidR="00A15D6D" w:rsidRDefault="00A15D6D" w:rsidP="00A15D6D">
      <w:pPr>
        <w:pStyle w:val="EmailDiscussion2"/>
      </w:pPr>
      <w:r>
        <w:tab/>
        <w:t xml:space="preserve">Deadline: </w:t>
      </w:r>
      <w:r>
        <w:rPr>
          <w:rFonts w:eastAsia="SimSun"/>
          <w:lang w:eastAsia="zh-CN"/>
        </w:rPr>
        <w:t>Sept. 4</w:t>
      </w:r>
      <w:r w:rsidRPr="00082B29">
        <w:rPr>
          <w:rFonts w:eastAsia="SimSun"/>
          <w:vertAlign w:val="superscript"/>
          <w:lang w:eastAsia="zh-CN"/>
        </w:rPr>
        <w:t>th</w:t>
      </w:r>
    </w:p>
    <w:p w14:paraId="2FF29714" w14:textId="1F964B7A" w:rsidR="00063BB0" w:rsidRDefault="00063BB0" w:rsidP="00F00A10"/>
    <w:p w14:paraId="139E1DD4" w14:textId="58A25C15" w:rsidR="00DF590A" w:rsidRDefault="00DF590A" w:rsidP="00DF590A">
      <w:r>
        <w:t xml:space="preserve">The CR from the first round of the above discussion was agreed in R2-2506554 [1]. In this second round, open issues with the agreed CR are discussed and resolved. </w:t>
      </w:r>
    </w:p>
    <w:p w14:paraId="17591CE3" w14:textId="73CA280F" w:rsidR="00063BB0" w:rsidRDefault="00290A8D">
      <w:pPr>
        <w:pStyle w:val="Heading1"/>
      </w:pPr>
      <w:r>
        <w:t>O</w:t>
      </w:r>
      <w:r w:rsidR="00063BB0">
        <w:t>pen issues</w:t>
      </w:r>
    </w:p>
    <w:p w14:paraId="1793C6CC" w14:textId="4CEF937B" w:rsidR="007475DD" w:rsidRDefault="007475DD" w:rsidP="00063BB0">
      <w:pPr>
        <w:rPr>
          <w:lang w:val="en-GB" w:eastAsia="en-US"/>
        </w:rPr>
      </w:pPr>
      <w:r>
        <w:rPr>
          <w:lang w:val="en-GB" w:eastAsia="en-US"/>
        </w:rPr>
        <w:t xml:space="preserve">Rapporteur has not been able to identify any open issues related to IoT NTN TDD capabilities, or any open issues in the agreed IoT NTN TDD capability CR. </w:t>
      </w:r>
    </w:p>
    <w:p w14:paraId="794F5BD1" w14:textId="6EA74D8D" w:rsidR="00063BB0" w:rsidRDefault="00E7614F" w:rsidP="00063BB0">
      <w:pPr>
        <w:rPr>
          <w:lang w:val="en-GB" w:eastAsia="en-US"/>
        </w:rPr>
      </w:pPr>
      <w:r>
        <w:rPr>
          <w:lang w:val="en-GB" w:eastAsia="en-US"/>
        </w:rPr>
        <w:t>Companies a</w:t>
      </w:r>
      <w:r w:rsidR="007475DD">
        <w:rPr>
          <w:lang w:val="en-GB" w:eastAsia="en-US"/>
        </w:rPr>
        <w:t>re invited to describe any</w:t>
      </w:r>
      <w:r>
        <w:rPr>
          <w:lang w:val="en-GB" w:eastAsia="en-US"/>
        </w:rPr>
        <w:t xml:space="preserve"> identified open issues that have not been identified yet. </w:t>
      </w:r>
    </w:p>
    <w:tbl>
      <w:tblPr>
        <w:tblStyle w:val="TableGrid"/>
        <w:tblW w:w="9423" w:type="dxa"/>
        <w:tblLook w:val="04A0" w:firstRow="1" w:lastRow="0" w:firstColumn="1" w:lastColumn="0" w:noHBand="0" w:noVBand="1"/>
      </w:tblPr>
      <w:tblGrid>
        <w:gridCol w:w="1971"/>
        <w:gridCol w:w="4828"/>
        <w:gridCol w:w="2624"/>
      </w:tblGrid>
      <w:tr w:rsidR="00286663" w14:paraId="0B597F30" w14:textId="56F047AF" w:rsidTr="00290A8D">
        <w:trPr>
          <w:trHeight w:val="322"/>
        </w:trPr>
        <w:tc>
          <w:tcPr>
            <w:tcW w:w="1971" w:type="dxa"/>
            <w:shd w:val="clear" w:color="auto" w:fill="E7E6E6" w:themeFill="background2"/>
            <w:vAlign w:val="center"/>
          </w:tcPr>
          <w:p w14:paraId="049F3BF6" w14:textId="408EFEF5" w:rsidR="00286663" w:rsidRPr="00C554CA" w:rsidRDefault="005C32E8" w:rsidP="00C554CA">
            <w:pPr>
              <w:rPr>
                <w:b/>
                <w:lang w:val="en-GB" w:eastAsia="en-US"/>
              </w:rPr>
            </w:pPr>
            <w:r>
              <w:rPr>
                <w:b/>
                <w:lang w:val="en-GB" w:eastAsia="en-US"/>
              </w:rPr>
              <w:t>Issue number (Company+#X)</w:t>
            </w:r>
          </w:p>
        </w:tc>
        <w:tc>
          <w:tcPr>
            <w:tcW w:w="4828" w:type="dxa"/>
            <w:shd w:val="clear" w:color="auto" w:fill="E7E6E6" w:themeFill="background2"/>
            <w:vAlign w:val="center"/>
          </w:tcPr>
          <w:p w14:paraId="0D9E4213" w14:textId="7DC1E5CE" w:rsidR="00286663" w:rsidRPr="00C554CA" w:rsidRDefault="00290A8D" w:rsidP="00C554CA">
            <w:pPr>
              <w:rPr>
                <w:b/>
                <w:lang w:val="en-GB" w:eastAsia="en-US"/>
              </w:rPr>
            </w:pPr>
            <w:r>
              <w:rPr>
                <w:b/>
                <w:lang w:val="en-GB" w:eastAsia="en-US"/>
              </w:rPr>
              <w:t>Issue description</w:t>
            </w:r>
            <w:r w:rsidR="007475DD">
              <w:rPr>
                <w:b/>
                <w:lang w:val="en-GB" w:eastAsia="en-US"/>
              </w:rPr>
              <w:t xml:space="preserve"> (and potential resolution)</w:t>
            </w:r>
          </w:p>
        </w:tc>
        <w:tc>
          <w:tcPr>
            <w:tcW w:w="2624" w:type="dxa"/>
            <w:shd w:val="clear" w:color="auto" w:fill="E7E6E6" w:themeFill="background2"/>
          </w:tcPr>
          <w:p w14:paraId="5AFAE2AF" w14:textId="1EFD4DF7" w:rsidR="00286663" w:rsidRDefault="00286663" w:rsidP="00C554CA">
            <w:pPr>
              <w:rPr>
                <w:b/>
                <w:lang w:val="en-GB" w:eastAsia="en-US"/>
              </w:rPr>
            </w:pPr>
            <w:r>
              <w:rPr>
                <w:b/>
                <w:lang w:val="en-GB" w:eastAsia="en-US"/>
              </w:rPr>
              <w:t>Rapporteur comment</w:t>
            </w:r>
          </w:p>
        </w:tc>
      </w:tr>
      <w:tr w:rsidR="00286663" w14:paraId="720F6B35" w14:textId="65D732CE" w:rsidTr="00290A8D">
        <w:trPr>
          <w:trHeight w:val="404"/>
        </w:trPr>
        <w:tc>
          <w:tcPr>
            <w:tcW w:w="1971" w:type="dxa"/>
          </w:tcPr>
          <w:p w14:paraId="6E8181C9" w14:textId="77777777" w:rsidR="00286663" w:rsidRPr="00CF50F3" w:rsidRDefault="00286663" w:rsidP="00063BB0">
            <w:pPr>
              <w:rPr>
                <w:sz w:val="16"/>
                <w:lang w:val="en-GB" w:eastAsia="en-US"/>
              </w:rPr>
            </w:pPr>
            <w:bookmarkStart w:id="0" w:name="_GoBack" w:colFirst="0" w:colLast="2"/>
          </w:p>
        </w:tc>
        <w:tc>
          <w:tcPr>
            <w:tcW w:w="4828" w:type="dxa"/>
          </w:tcPr>
          <w:p w14:paraId="7C5F60BF" w14:textId="77777777" w:rsidR="00286663" w:rsidRPr="00CF50F3" w:rsidRDefault="00286663" w:rsidP="00063BB0">
            <w:pPr>
              <w:rPr>
                <w:sz w:val="16"/>
                <w:lang w:val="en-GB" w:eastAsia="en-US"/>
              </w:rPr>
            </w:pPr>
          </w:p>
        </w:tc>
        <w:tc>
          <w:tcPr>
            <w:tcW w:w="2624" w:type="dxa"/>
          </w:tcPr>
          <w:p w14:paraId="0BC503DF" w14:textId="77777777" w:rsidR="00286663" w:rsidRPr="00CF50F3" w:rsidRDefault="00286663" w:rsidP="00063BB0">
            <w:pPr>
              <w:rPr>
                <w:sz w:val="16"/>
                <w:lang w:val="en-GB" w:eastAsia="en-US"/>
              </w:rPr>
            </w:pPr>
          </w:p>
        </w:tc>
      </w:tr>
      <w:tr w:rsidR="00286663" w14:paraId="485F1FB4" w14:textId="20323F3B" w:rsidTr="00290A8D">
        <w:trPr>
          <w:trHeight w:val="381"/>
        </w:trPr>
        <w:tc>
          <w:tcPr>
            <w:tcW w:w="1971" w:type="dxa"/>
          </w:tcPr>
          <w:p w14:paraId="5490B8C7" w14:textId="77777777" w:rsidR="00286663" w:rsidRPr="00CF50F3" w:rsidRDefault="00286663" w:rsidP="00063BB0">
            <w:pPr>
              <w:rPr>
                <w:sz w:val="16"/>
                <w:lang w:val="en-GB" w:eastAsia="en-US"/>
              </w:rPr>
            </w:pPr>
          </w:p>
        </w:tc>
        <w:tc>
          <w:tcPr>
            <w:tcW w:w="4828" w:type="dxa"/>
          </w:tcPr>
          <w:p w14:paraId="56D1C428" w14:textId="77777777" w:rsidR="00286663" w:rsidRPr="00CF50F3" w:rsidRDefault="00286663" w:rsidP="00063BB0">
            <w:pPr>
              <w:rPr>
                <w:sz w:val="16"/>
                <w:lang w:val="en-GB" w:eastAsia="en-US"/>
              </w:rPr>
            </w:pPr>
          </w:p>
        </w:tc>
        <w:tc>
          <w:tcPr>
            <w:tcW w:w="2624" w:type="dxa"/>
          </w:tcPr>
          <w:p w14:paraId="42B07D45" w14:textId="77777777" w:rsidR="00286663" w:rsidRPr="00CF50F3" w:rsidRDefault="00286663" w:rsidP="00063BB0">
            <w:pPr>
              <w:rPr>
                <w:sz w:val="16"/>
                <w:lang w:val="en-GB" w:eastAsia="en-US"/>
              </w:rPr>
            </w:pPr>
          </w:p>
        </w:tc>
      </w:tr>
      <w:bookmarkEnd w:id="0"/>
    </w:tbl>
    <w:p w14:paraId="458DA680" w14:textId="1668EA43" w:rsidR="00063BB0" w:rsidRDefault="00063BB0" w:rsidP="00063BB0">
      <w:pPr>
        <w:rPr>
          <w:lang w:val="en-GB" w:eastAsia="en-US"/>
        </w:rPr>
      </w:pPr>
    </w:p>
    <w:p w14:paraId="4BBF632B" w14:textId="77777777" w:rsidR="00ED4FA6" w:rsidRPr="00290A8D" w:rsidRDefault="00ED4FA6" w:rsidP="00ED4FA6">
      <w:pPr>
        <w:rPr>
          <w:highlight w:val="yellow"/>
          <w:u w:val="single"/>
          <w:lang w:val="en-GB" w:eastAsia="en-US"/>
        </w:rPr>
      </w:pPr>
      <w:r w:rsidRPr="00290A8D">
        <w:rPr>
          <w:highlight w:val="yellow"/>
          <w:u w:val="single"/>
          <w:lang w:val="en-GB" w:eastAsia="en-US"/>
        </w:rPr>
        <w:t xml:space="preserve">Summary: </w:t>
      </w: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3D90FAC2"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4ABA99E" w14:textId="7C591217" w:rsidR="00ED4FA6" w:rsidRPr="0089545A" w:rsidRDefault="00ED4FA6" w:rsidP="00ED4FA6">
      <w:pPr>
        <w:rPr>
          <w:b/>
          <w:lang w:val="en-GB" w:eastAsia="en-US"/>
        </w:rPr>
      </w:pPr>
      <w:r w:rsidRPr="0089545A">
        <w:rPr>
          <w:b/>
          <w:lang w:val="en-GB" w:eastAsia="en-US"/>
        </w:rPr>
        <w:t xml:space="preserve">Proposal 1: </w:t>
      </w:r>
      <w:r w:rsidR="00290A8D">
        <w:rPr>
          <w:b/>
          <w:lang w:val="en-GB" w:eastAsia="en-US"/>
        </w:rPr>
        <w:t>...</w:t>
      </w:r>
      <w:r w:rsidRPr="0089545A">
        <w:rPr>
          <w:b/>
          <w:lang w:val="en-GB" w:eastAsia="en-US"/>
        </w:rPr>
        <w:t xml:space="preserve">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lastRenderedPageBreak/>
        <w:t>Reference</w:t>
      </w:r>
      <w:r w:rsidR="0083484D" w:rsidRPr="00001886">
        <w:t xml:space="preserve"> </w:t>
      </w:r>
    </w:p>
    <w:p w14:paraId="060119FA" w14:textId="7A83446D" w:rsidR="00A15D6D" w:rsidRPr="000044BB" w:rsidRDefault="00A15D6D" w:rsidP="00A15D6D">
      <w:pPr>
        <w:pStyle w:val="references"/>
        <w:spacing w:after="180" w:line="240" w:lineRule="auto"/>
        <w:rPr>
          <w:szCs w:val="20"/>
        </w:rPr>
      </w:pPr>
      <w:r>
        <w:rPr>
          <w:rFonts w:ascii="Arial" w:hAnsi="Arial" w:cs="Arial"/>
          <w:szCs w:val="20"/>
        </w:rPr>
        <w:t>R2-2506554, Introduction of capabilities for IoT NTN TDD, Samsung, RAN2#131, Bangalore, India, August 2025.</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2. IoT_NTN_</w:t>
            </w:r>
            <w:r w:rsidRPr="00415AA3">
              <w:rPr>
                <w:rFonts w:hint="eastAsia"/>
                <w:color w:val="000000"/>
                <w:sz w:val="18"/>
                <w:szCs w:val="18"/>
                <w:lang w:val="en-GB" w:eastAsia="ja-JP"/>
              </w:rPr>
              <w:t>TDD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1. Support a TDD pattern with periodicity of N=9 radio frames, which consists of D=8 contiguous DL subframes and U=8 contiguous UL subframes. The guard period between the end of the DL subframes and the beginning of the UL subframes is fixed to be 50 ms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FB4E1" w16cid:durableId="3F9FB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D56D" w14:textId="77777777" w:rsidR="00B14746" w:rsidRDefault="00B14746" w:rsidP="00051DF8">
      <w:r>
        <w:separator/>
      </w:r>
    </w:p>
  </w:endnote>
  <w:endnote w:type="continuationSeparator" w:id="0">
    <w:p w14:paraId="7CC10C8E" w14:textId="77777777" w:rsidR="00B14746" w:rsidRDefault="00B14746" w:rsidP="00051DF8">
      <w:r>
        <w:continuationSeparator/>
      </w:r>
    </w:p>
  </w:endnote>
  <w:endnote w:type="continuationNotice" w:id="1">
    <w:p w14:paraId="79863A56" w14:textId="77777777" w:rsidR="00B14746" w:rsidRDefault="00B1474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ABD2" w14:textId="77777777" w:rsidR="00B14746" w:rsidRDefault="00B14746" w:rsidP="00051DF8">
      <w:r>
        <w:separator/>
      </w:r>
    </w:p>
  </w:footnote>
  <w:footnote w:type="continuationSeparator" w:id="0">
    <w:p w14:paraId="6AF8B05C" w14:textId="77777777" w:rsidR="00B14746" w:rsidRDefault="00B14746" w:rsidP="00051DF8">
      <w:r>
        <w:continuationSeparator/>
      </w:r>
    </w:p>
  </w:footnote>
  <w:footnote w:type="continuationNotice" w:id="1">
    <w:p w14:paraId="53A48861" w14:textId="77777777" w:rsidR="00B14746" w:rsidRDefault="00B1474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2"/>
  </w:num>
  <w:num w:numId="6">
    <w:abstractNumId w:val="11"/>
  </w:num>
  <w:num w:numId="7">
    <w:abstractNumId w:val="0"/>
  </w:num>
  <w:num w:numId="8">
    <w:abstractNumId w:val="13"/>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8"/>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27BAE"/>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6663"/>
    <w:rsid w:val="0028702D"/>
    <w:rsid w:val="00287326"/>
    <w:rsid w:val="00290336"/>
    <w:rsid w:val="00290A8D"/>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0D7"/>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6E33"/>
    <w:rsid w:val="004977B3"/>
    <w:rsid w:val="004A0792"/>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599A"/>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C86"/>
    <w:rsid w:val="005A4665"/>
    <w:rsid w:val="005A49C6"/>
    <w:rsid w:val="005A4D6D"/>
    <w:rsid w:val="005A68D5"/>
    <w:rsid w:val="005A6CA2"/>
    <w:rsid w:val="005B3A0C"/>
    <w:rsid w:val="005B4B48"/>
    <w:rsid w:val="005B598B"/>
    <w:rsid w:val="005C007C"/>
    <w:rsid w:val="005C0359"/>
    <w:rsid w:val="005C1A18"/>
    <w:rsid w:val="005C2F10"/>
    <w:rsid w:val="005C32E8"/>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475DD"/>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4F8D"/>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39F"/>
    <w:rsid w:val="00A10516"/>
    <w:rsid w:val="00A10ED3"/>
    <w:rsid w:val="00A10F02"/>
    <w:rsid w:val="00A10F2C"/>
    <w:rsid w:val="00A12E91"/>
    <w:rsid w:val="00A13227"/>
    <w:rsid w:val="00A15D6D"/>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418"/>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746"/>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5690"/>
    <w:rsid w:val="00CE7B23"/>
    <w:rsid w:val="00CF1441"/>
    <w:rsid w:val="00CF1E1A"/>
    <w:rsid w:val="00CF2423"/>
    <w:rsid w:val="00CF2EC4"/>
    <w:rsid w:val="00CF4D95"/>
    <w:rsid w:val="00CF50F3"/>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74A8"/>
    <w:rsid w:val="00DC309B"/>
    <w:rsid w:val="00DC3ED9"/>
    <w:rsid w:val="00DC44E4"/>
    <w:rsid w:val="00DC4DA2"/>
    <w:rsid w:val="00DC4E86"/>
    <w:rsid w:val="00DC5261"/>
    <w:rsid w:val="00DC6A61"/>
    <w:rsid w:val="00DC74B1"/>
    <w:rsid w:val="00DC75FA"/>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F4"/>
    <w:rsid w:val="00DF4645"/>
    <w:rsid w:val="00DF478D"/>
    <w:rsid w:val="00DF590A"/>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00A"/>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715A-1D88-46EB-AF5E-FA49586DB18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13</cp:revision>
  <dcterms:created xsi:type="dcterms:W3CDTF">2025-09-11T15:03:00Z</dcterms:created>
  <dcterms:modified xsi:type="dcterms:W3CDTF">2025-09-15T16:42:00Z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