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93AD" w14:textId="31894FDD" w:rsidR="00A36524" w:rsidRDefault="00355467">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Pr>
          <w:rFonts w:ascii="Arial" w:hAnsi="Arial" w:cs="Arial"/>
          <w:b/>
          <w:sz w:val="24"/>
          <w:szCs w:val="24"/>
          <w:lang w:val="de-DE" w:eastAsia="en-US"/>
        </w:rPr>
        <w:t>3GPP TSG-RAN WG2 #131</w:t>
      </w:r>
      <w:r>
        <w:rPr>
          <w:rFonts w:ascii="Arial" w:hAnsi="Arial" w:cs="Arial"/>
          <w:b/>
          <w:i/>
          <w:sz w:val="24"/>
          <w:szCs w:val="24"/>
          <w:lang w:val="de-DE" w:eastAsia="en-US"/>
        </w:rPr>
        <w:tab/>
      </w:r>
      <w:r w:rsidR="0087249B">
        <w:rPr>
          <w:rFonts w:ascii="Arial" w:hAnsi="Arial" w:cs="Arial"/>
          <w:b/>
          <w:i/>
          <w:sz w:val="24"/>
          <w:szCs w:val="24"/>
          <w:lang w:val="de-DE" w:eastAsia="en-US"/>
        </w:rPr>
        <w:t>Draft_</w:t>
      </w:r>
      <w:r>
        <w:rPr>
          <w:rFonts w:ascii="Arial" w:hAnsi="Arial" w:cs="Arial"/>
          <w:b/>
          <w:bCs/>
          <w:sz w:val="24"/>
          <w:szCs w:val="24"/>
          <w:lang w:eastAsia="en-US"/>
        </w:rPr>
        <w:t>R2-25</w:t>
      </w:r>
      <w:r w:rsidR="0087249B">
        <w:rPr>
          <w:rFonts w:ascii="Arial" w:hAnsi="Arial" w:cs="Arial"/>
          <w:b/>
          <w:bCs/>
          <w:sz w:val="24"/>
          <w:szCs w:val="24"/>
          <w:lang w:eastAsia="en-US"/>
        </w:rPr>
        <w:t>06523</w:t>
      </w:r>
    </w:p>
    <w:p w14:paraId="27D843B8" w14:textId="20206B82" w:rsidR="00A36524" w:rsidRDefault="00355467">
      <w:pPr>
        <w:overflowPunct/>
        <w:autoSpaceDE/>
        <w:autoSpaceDN/>
        <w:adjustRightInd/>
        <w:spacing w:after="120"/>
        <w:jc w:val="both"/>
        <w:textAlignment w:val="auto"/>
        <w:outlineLvl w:val="0"/>
        <w:rPr>
          <w:rFonts w:ascii="Arial" w:hAnsi="Arial" w:cs="Arial"/>
          <w:b/>
          <w:sz w:val="24"/>
          <w:szCs w:val="24"/>
          <w:lang w:eastAsia="en-US"/>
        </w:rPr>
      </w:pPr>
      <w:r>
        <w:rPr>
          <w:rFonts w:ascii="Arial" w:hAnsi="Arial" w:cs="Arial"/>
          <w:b/>
          <w:sz w:val="24"/>
          <w:szCs w:val="24"/>
          <w:lang w:eastAsia="en-US"/>
        </w:rPr>
        <w:t>Bangalore, India, 25-29 August 2025</w:t>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r w:rsidR="0087249B">
        <w:rPr>
          <w:rFonts w:ascii="Arial" w:hAnsi="Arial" w:cs="Arial"/>
          <w:b/>
          <w:sz w:val="24"/>
          <w:szCs w:val="24"/>
          <w:lang w:eastAsia="en-US"/>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36524" w14:paraId="6378F7EA" w14:textId="77777777">
        <w:tc>
          <w:tcPr>
            <w:tcW w:w="9641" w:type="dxa"/>
            <w:gridSpan w:val="9"/>
            <w:tcBorders>
              <w:top w:val="single" w:sz="4" w:space="0" w:color="auto"/>
              <w:left w:val="single" w:sz="4" w:space="0" w:color="auto"/>
              <w:bottom w:val="nil"/>
              <w:right w:val="single" w:sz="4" w:space="0" w:color="auto"/>
            </w:tcBorders>
          </w:tcPr>
          <w:p w14:paraId="2EAAA497" w14:textId="77777777" w:rsidR="00A36524" w:rsidRDefault="00355467">
            <w:pPr>
              <w:overflowPunct/>
              <w:autoSpaceDE/>
              <w:autoSpaceDN/>
              <w:adjustRightInd/>
              <w:spacing w:after="0"/>
              <w:jc w:val="right"/>
              <w:textAlignment w:val="auto"/>
              <w:rPr>
                <w:rFonts w:ascii="Arial" w:hAnsi="Arial" w:cs="Arial"/>
                <w:i/>
                <w:lang w:eastAsia="en-US"/>
              </w:rPr>
            </w:pPr>
            <w:r>
              <w:rPr>
                <w:rFonts w:ascii="Arial" w:hAnsi="Arial" w:cs="Arial"/>
                <w:i/>
                <w:sz w:val="14"/>
                <w:lang w:eastAsia="en-US"/>
              </w:rPr>
              <w:t>CR-Form-v12.3</w:t>
            </w:r>
          </w:p>
        </w:tc>
      </w:tr>
      <w:tr w:rsidR="00A36524" w14:paraId="4CEAC1DF" w14:textId="77777777">
        <w:tc>
          <w:tcPr>
            <w:tcW w:w="9641" w:type="dxa"/>
            <w:gridSpan w:val="9"/>
            <w:tcBorders>
              <w:top w:val="nil"/>
              <w:left w:val="single" w:sz="4" w:space="0" w:color="auto"/>
              <w:bottom w:val="nil"/>
              <w:right w:val="single" w:sz="4" w:space="0" w:color="auto"/>
            </w:tcBorders>
          </w:tcPr>
          <w:p w14:paraId="32CBBBA7" w14:textId="77777777" w:rsidR="00A36524" w:rsidRDefault="00355467">
            <w:pPr>
              <w:overflowPunct/>
              <w:autoSpaceDE/>
              <w:autoSpaceDN/>
              <w:adjustRightInd/>
              <w:spacing w:after="0"/>
              <w:jc w:val="center"/>
              <w:textAlignment w:val="auto"/>
              <w:rPr>
                <w:rFonts w:ascii="Arial" w:hAnsi="Arial" w:cs="Arial"/>
                <w:lang w:eastAsia="en-US"/>
              </w:rPr>
            </w:pPr>
            <w:r>
              <w:rPr>
                <w:rFonts w:ascii="Arial" w:hAnsi="Arial" w:cs="Arial"/>
                <w:b/>
                <w:sz w:val="32"/>
                <w:lang w:eastAsia="en-US"/>
              </w:rPr>
              <w:t>CHANGE REQUEST</w:t>
            </w:r>
          </w:p>
        </w:tc>
      </w:tr>
      <w:tr w:rsidR="00A36524" w14:paraId="0B532BD9" w14:textId="77777777">
        <w:tc>
          <w:tcPr>
            <w:tcW w:w="9641" w:type="dxa"/>
            <w:gridSpan w:val="9"/>
            <w:tcBorders>
              <w:top w:val="nil"/>
              <w:left w:val="single" w:sz="4" w:space="0" w:color="auto"/>
              <w:bottom w:val="nil"/>
              <w:right w:val="single" w:sz="4" w:space="0" w:color="auto"/>
            </w:tcBorders>
          </w:tcPr>
          <w:p w14:paraId="651C576F"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6B009EC2" w14:textId="77777777">
        <w:tc>
          <w:tcPr>
            <w:tcW w:w="142" w:type="dxa"/>
            <w:tcBorders>
              <w:top w:val="nil"/>
              <w:left w:val="single" w:sz="4" w:space="0" w:color="auto"/>
              <w:bottom w:val="nil"/>
              <w:right w:val="nil"/>
            </w:tcBorders>
          </w:tcPr>
          <w:p w14:paraId="10C5D43D" w14:textId="77777777" w:rsidR="00A36524" w:rsidRDefault="00A36524">
            <w:pPr>
              <w:overflowPunct/>
              <w:autoSpaceDE/>
              <w:autoSpaceDN/>
              <w:adjustRightInd/>
              <w:spacing w:after="0"/>
              <w:jc w:val="right"/>
              <w:textAlignment w:val="auto"/>
              <w:rPr>
                <w:rFonts w:ascii="Arial" w:hAnsi="Arial" w:cs="Arial"/>
                <w:lang w:eastAsia="en-US"/>
              </w:rPr>
            </w:pPr>
          </w:p>
        </w:tc>
        <w:tc>
          <w:tcPr>
            <w:tcW w:w="1559" w:type="dxa"/>
            <w:shd w:val="pct30" w:color="FFFF00" w:fill="auto"/>
          </w:tcPr>
          <w:p w14:paraId="106BE8AD" w14:textId="77777777" w:rsidR="00A36524" w:rsidRDefault="00355467">
            <w:pPr>
              <w:overflowPunct/>
              <w:autoSpaceDE/>
              <w:autoSpaceDN/>
              <w:adjustRightInd/>
              <w:spacing w:after="0"/>
              <w:jc w:val="right"/>
              <w:textAlignment w:val="auto"/>
              <w:rPr>
                <w:rFonts w:ascii="Arial" w:hAnsi="Arial" w:cs="Arial"/>
                <w:b/>
                <w:sz w:val="28"/>
                <w:lang w:eastAsia="en-US"/>
              </w:rPr>
            </w:pPr>
            <w:r>
              <w:rPr>
                <w:rFonts w:ascii="Arial" w:hAnsi="Arial" w:cs="Arial"/>
                <w:lang w:eastAsia="en-US"/>
              </w:rPr>
              <w:fldChar w:fldCharType="begin"/>
            </w:r>
            <w:r>
              <w:rPr>
                <w:rFonts w:ascii="Arial" w:hAnsi="Arial" w:cs="Arial"/>
                <w:lang w:eastAsia="en-US"/>
              </w:rPr>
              <w:instrText xml:space="preserve"> DOCPROPERTY  Spec#  \* MERGEFORMAT </w:instrText>
            </w:r>
            <w:r>
              <w:rPr>
                <w:rFonts w:ascii="Arial" w:hAnsi="Arial" w:cs="Arial"/>
                <w:lang w:eastAsia="en-US"/>
              </w:rPr>
              <w:fldChar w:fldCharType="separate"/>
            </w:r>
            <w:r>
              <w:rPr>
                <w:rFonts w:ascii="Arial" w:hAnsi="Arial" w:cs="Arial"/>
                <w:b/>
                <w:sz w:val="28"/>
                <w:lang w:eastAsia="en-US"/>
              </w:rPr>
              <w:t>36.321</w:t>
            </w:r>
            <w:r>
              <w:rPr>
                <w:rFonts w:ascii="Arial" w:hAnsi="Arial" w:cs="Arial"/>
                <w:b/>
                <w:sz w:val="28"/>
                <w:lang w:eastAsia="en-US"/>
              </w:rPr>
              <w:fldChar w:fldCharType="end"/>
            </w:r>
          </w:p>
        </w:tc>
        <w:tc>
          <w:tcPr>
            <w:tcW w:w="709" w:type="dxa"/>
          </w:tcPr>
          <w:p w14:paraId="16C9F763" w14:textId="77777777" w:rsidR="00A36524" w:rsidRDefault="00355467">
            <w:pPr>
              <w:overflowPunct/>
              <w:autoSpaceDE/>
              <w:autoSpaceDN/>
              <w:adjustRightInd/>
              <w:spacing w:after="0"/>
              <w:jc w:val="center"/>
              <w:textAlignment w:val="auto"/>
              <w:rPr>
                <w:rFonts w:ascii="Arial" w:hAnsi="Arial" w:cs="Arial"/>
                <w:lang w:eastAsia="en-US"/>
              </w:rPr>
            </w:pPr>
            <w:r>
              <w:rPr>
                <w:rFonts w:ascii="Arial" w:hAnsi="Arial" w:cs="Arial"/>
                <w:b/>
                <w:sz w:val="28"/>
                <w:lang w:eastAsia="en-US"/>
              </w:rPr>
              <w:t>CR</w:t>
            </w:r>
          </w:p>
        </w:tc>
        <w:tc>
          <w:tcPr>
            <w:tcW w:w="1276" w:type="dxa"/>
            <w:shd w:val="pct30" w:color="FFFF00" w:fill="auto"/>
          </w:tcPr>
          <w:p w14:paraId="5D244FD4" w14:textId="19A8E596" w:rsidR="00A36524" w:rsidRDefault="004E75AC">
            <w:pPr>
              <w:overflowPunct/>
              <w:autoSpaceDE/>
              <w:autoSpaceDN/>
              <w:adjustRightInd/>
              <w:spacing w:after="0"/>
              <w:jc w:val="right"/>
              <w:textAlignment w:val="auto"/>
              <w:rPr>
                <w:rFonts w:ascii="Arial" w:hAnsi="Arial" w:cs="Arial"/>
                <w:lang w:eastAsia="en-US"/>
              </w:rPr>
            </w:pPr>
            <w:r>
              <w:rPr>
                <w:rFonts w:ascii="Arial" w:hAnsi="Arial" w:cs="Arial"/>
                <w:b/>
                <w:sz w:val="28"/>
                <w:lang w:eastAsia="en-US"/>
              </w:rPr>
              <w:t>1592</w:t>
            </w:r>
          </w:p>
        </w:tc>
        <w:tc>
          <w:tcPr>
            <w:tcW w:w="709" w:type="dxa"/>
          </w:tcPr>
          <w:p w14:paraId="55176110" w14:textId="77777777" w:rsidR="00A36524" w:rsidRDefault="00355467">
            <w:pPr>
              <w:tabs>
                <w:tab w:val="right" w:pos="625"/>
              </w:tabs>
              <w:overflowPunct/>
              <w:autoSpaceDE/>
              <w:autoSpaceDN/>
              <w:adjustRightInd/>
              <w:spacing w:after="0"/>
              <w:jc w:val="center"/>
              <w:textAlignment w:val="auto"/>
              <w:rPr>
                <w:rFonts w:ascii="Arial" w:hAnsi="Arial" w:cs="Arial"/>
                <w:lang w:eastAsia="en-US"/>
              </w:rPr>
            </w:pPr>
            <w:r>
              <w:rPr>
                <w:rFonts w:ascii="Arial" w:hAnsi="Arial" w:cs="Arial"/>
                <w:b/>
                <w:bCs/>
                <w:sz w:val="28"/>
                <w:lang w:eastAsia="en-US"/>
              </w:rPr>
              <w:t>rev</w:t>
            </w:r>
          </w:p>
        </w:tc>
        <w:tc>
          <w:tcPr>
            <w:tcW w:w="992" w:type="dxa"/>
            <w:shd w:val="pct30" w:color="FFFF00" w:fill="auto"/>
          </w:tcPr>
          <w:p w14:paraId="7CF395F9" w14:textId="5B6D39C7" w:rsidR="00A36524" w:rsidRDefault="0087249B">
            <w:pPr>
              <w:overflowPunct/>
              <w:autoSpaceDE/>
              <w:autoSpaceDN/>
              <w:adjustRightInd/>
              <w:spacing w:after="0"/>
              <w:jc w:val="center"/>
              <w:textAlignment w:val="auto"/>
              <w:rPr>
                <w:rFonts w:ascii="Arial" w:hAnsi="Arial" w:cs="Arial"/>
                <w:b/>
                <w:sz w:val="28"/>
                <w:lang w:eastAsia="en-US"/>
              </w:rPr>
            </w:pPr>
            <w:r>
              <w:rPr>
                <w:rFonts w:ascii="Arial" w:hAnsi="Arial" w:cs="Arial"/>
                <w:b/>
                <w:sz w:val="28"/>
                <w:lang w:eastAsia="en-US"/>
              </w:rPr>
              <w:t>1</w:t>
            </w:r>
          </w:p>
        </w:tc>
        <w:tc>
          <w:tcPr>
            <w:tcW w:w="2410" w:type="dxa"/>
          </w:tcPr>
          <w:p w14:paraId="27CD78A1" w14:textId="77777777" w:rsidR="00A36524" w:rsidRDefault="00355467">
            <w:pPr>
              <w:tabs>
                <w:tab w:val="right" w:pos="1825"/>
              </w:tabs>
              <w:overflowPunct/>
              <w:autoSpaceDE/>
              <w:autoSpaceDN/>
              <w:adjustRightInd/>
              <w:spacing w:after="0"/>
              <w:jc w:val="center"/>
              <w:textAlignment w:val="auto"/>
              <w:rPr>
                <w:rFonts w:ascii="Arial" w:hAnsi="Arial" w:cs="Arial"/>
                <w:lang w:eastAsia="en-US"/>
              </w:rPr>
            </w:pPr>
            <w:r>
              <w:rPr>
                <w:rFonts w:ascii="Arial" w:hAnsi="Arial" w:cs="Arial"/>
                <w:b/>
                <w:sz w:val="28"/>
                <w:szCs w:val="28"/>
                <w:lang w:eastAsia="en-US"/>
              </w:rPr>
              <w:t>Current version:</w:t>
            </w:r>
          </w:p>
        </w:tc>
        <w:tc>
          <w:tcPr>
            <w:tcW w:w="1701" w:type="dxa"/>
            <w:shd w:val="pct30" w:color="FFFF00" w:fill="auto"/>
          </w:tcPr>
          <w:p w14:paraId="1099860B" w14:textId="77777777" w:rsidR="00A36524" w:rsidRDefault="00355467">
            <w:pPr>
              <w:overflowPunct/>
              <w:autoSpaceDE/>
              <w:autoSpaceDN/>
              <w:adjustRightInd/>
              <w:spacing w:after="0"/>
              <w:jc w:val="center"/>
              <w:textAlignment w:val="auto"/>
              <w:rPr>
                <w:rFonts w:ascii="Arial" w:hAnsi="Arial" w:cs="Arial"/>
                <w:sz w:val="28"/>
                <w:lang w:eastAsia="en-US"/>
              </w:rPr>
            </w:pPr>
            <w:r>
              <w:rPr>
                <w:rFonts w:ascii="Arial" w:hAnsi="Arial" w:cs="Arial"/>
                <w:lang w:eastAsia="en-US"/>
              </w:rPr>
              <w:fldChar w:fldCharType="begin"/>
            </w:r>
            <w:r>
              <w:rPr>
                <w:rFonts w:ascii="Arial" w:hAnsi="Arial" w:cs="Arial"/>
                <w:lang w:eastAsia="en-US"/>
              </w:rPr>
              <w:instrText xml:space="preserve"> DOCPROPERTY  Version  \* MERGEFORMAT </w:instrText>
            </w:r>
            <w:r>
              <w:rPr>
                <w:rFonts w:ascii="Arial" w:hAnsi="Arial" w:cs="Arial"/>
                <w:lang w:eastAsia="en-US"/>
              </w:rPr>
              <w:fldChar w:fldCharType="separate"/>
            </w:r>
            <w:r>
              <w:rPr>
                <w:rFonts w:ascii="Arial" w:hAnsi="Arial" w:cs="Arial"/>
                <w:b/>
                <w:sz w:val="28"/>
                <w:lang w:eastAsia="en-US"/>
              </w:rPr>
              <w:t>18.4.</w:t>
            </w:r>
            <w:r>
              <w:rPr>
                <w:rFonts w:ascii="Arial" w:hAnsi="Arial" w:cs="Arial"/>
                <w:b/>
                <w:sz w:val="28"/>
                <w:lang w:eastAsia="en-US"/>
              </w:rPr>
              <w:fldChar w:fldCharType="end"/>
            </w:r>
            <w:r>
              <w:rPr>
                <w:rFonts w:ascii="Arial" w:hAnsi="Arial" w:cs="Arial"/>
                <w:b/>
                <w:sz w:val="28"/>
                <w:lang w:eastAsia="en-US"/>
              </w:rPr>
              <w:t>0</w:t>
            </w:r>
          </w:p>
        </w:tc>
        <w:tc>
          <w:tcPr>
            <w:tcW w:w="143" w:type="dxa"/>
            <w:tcBorders>
              <w:top w:val="nil"/>
              <w:left w:val="nil"/>
              <w:bottom w:val="nil"/>
              <w:right w:val="single" w:sz="4" w:space="0" w:color="auto"/>
            </w:tcBorders>
          </w:tcPr>
          <w:p w14:paraId="6CB80765" w14:textId="77777777" w:rsidR="00A36524" w:rsidRDefault="00A36524">
            <w:pPr>
              <w:overflowPunct/>
              <w:autoSpaceDE/>
              <w:autoSpaceDN/>
              <w:adjustRightInd/>
              <w:spacing w:after="0"/>
              <w:textAlignment w:val="auto"/>
              <w:rPr>
                <w:rFonts w:ascii="Arial" w:hAnsi="Arial" w:cs="Arial"/>
                <w:lang w:eastAsia="en-US"/>
              </w:rPr>
            </w:pPr>
          </w:p>
        </w:tc>
      </w:tr>
      <w:tr w:rsidR="00A36524" w14:paraId="0D0D78B6" w14:textId="77777777">
        <w:tc>
          <w:tcPr>
            <w:tcW w:w="9641" w:type="dxa"/>
            <w:gridSpan w:val="9"/>
            <w:tcBorders>
              <w:top w:val="nil"/>
              <w:left w:val="single" w:sz="4" w:space="0" w:color="auto"/>
              <w:bottom w:val="nil"/>
              <w:right w:val="single" w:sz="4" w:space="0" w:color="auto"/>
            </w:tcBorders>
          </w:tcPr>
          <w:p w14:paraId="11D75611" w14:textId="77777777" w:rsidR="00A36524" w:rsidRDefault="00A36524">
            <w:pPr>
              <w:overflowPunct/>
              <w:autoSpaceDE/>
              <w:autoSpaceDN/>
              <w:adjustRightInd/>
              <w:spacing w:after="0"/>
              <w:textAlignment w:val="auto"/>
              <w:rPr>
                <w:rFonts w:ascii="Arial" w:hAnsi="Arial" w:cs="Arial"/>
                <w:lang w:eastAsia="en-US"/>
              </w:rPr>
            </w:pPr>
          </w:p>
        </w:tc>
      </w:tr>
      <w:tr w:rsidR="00A36524" w14:paraId="1FA23337" w14:textId="77777777">
        <w:tc>
          <w:tcPr>
            <w:tcW w:w="9641" w:type="dxa"/>
            <w:gridSpan w:val="9"/>
            <w:tcBorders>
              <w:top w:val="single" w:sz="4" w:space="0" w:color="auto"/>
              <w:left w:val="nil"/>
              <w:bottom w:val="nil"/>
              <w:right w:val="nil"/>
            </w:tcBorders>
          </w:tcPr>
          <w:p w14:paraId="58DC89E0" w14:textId="77777777" w:rsidR="00A36524" w:rsidRDefault="00355467">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8" w:anchor="_blank" w:history="1">
              <w:r w:rsidR="00A36524">
                <w:rPr>
                  <w:rFonts w:ascii="Arial" w:hAnsi="Arial" w:cs="Arial"/>
                  <w:b/>
                  <w:i/>
                  <w:color w:val="FF0000"/>
                  <w:u w:val="single"/>
                  <w:lang w:eastAsia="en-US"/>
                </w:rPr>
                <w:t>HE</w:t>
              </w:r>
              <w:bookmarkStart w:id="1" w:name="_Hlt497126619"/>
              <w:r w:rsidR="00A36524">
                <w:rPr>
                  <w:rFonts w:ascii="Arial" w:hAnsi="Arial" w:cs="Arial"/>
                  <w:b/>
                  <w:i/>
                  <w:color w:val="FF0000"/>
                  <w:u w:val="single"/>
                  <w:lang w:eastAsia="en-US"/>
                </w:rPr>
                <w:t>L</w:t>
              </w:r>
              <w:bookmarkEnd w:id="1"/>
              <w:r w:rsidR="00A36524">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9" w:history="1">
              <w:r w:rsidR="00A36524">
                <w:rPr>
                  <w:rFonts w:ascii="Arial" w:hAnsi="Arial" w:cs="Arial"/>
                  <w:i/>
                  <w:color w:val="0000FF"/>
                  <w:u w:val="single"/>
                  <w:lang w:eastAsia="en-US"/>
                </w:rPr>
                <w:t>http://www.3gpp.org/Change-Requests</w:t>
              </w:r>
            </w:hyperlink>
            <w:r>
              <w:rPr>
                <w:rFonts w:ascii="Arial" w:hAnsi="Arial" w:cs="Arial"/>
                <w:i/>
                <w:lang w:eastAsia="en-US"/>
              </w:rPr>
              <w:t>.</w:t>
            </w:r>
          </w:p>
        </w:tc>
      </w:tr>
      <w:tr w:rsidR="00A36524" w14:paraId="30CE8EAF" w14:textId="77777777">
        <w:tc>
          <w:tcPr>
            <w:tcW w:w="9641" w:type="dxa"/>
            <w:gridSpan w:val="9"/>
          </w:tcPr>
          <w:p w14:paraId="2C937A7B" w14:textId="77777777" w:rsidR="00A36524" w:rsidRDefault="00A36524">
            <w:pPr>
              <w:overflowPunct/>
              <w:autoSpaceDE/>
              <w:autoSpaceDN/>
              <w:adjustRightInd/>
              <w:spacing w:after="0"/>
              <w:textAlignment w:val="auto"/>
              <w:rPr>
                <w:rFonts w:ascii="Arial" w:hAnsi="Arial"/>
                <w:sz w:val="8"/>
                <w:szCs w:val="8"/>
                <w:lang w:eastAsia="en-US"/>
              </w:rPr>
            </w:pPr>
          </w:p>
        </w:tc>
      </w:tr>
    </w:tbl>
    <w:p w14:paraId="7F44ACC8"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36524" w14:paraId="15EFF064" w14:textId="77777777">
        <w:tc>
          <w:tcPr>
            <w:tcW w:w="2835" w:type="dxa"/>
          </w:tcPr>
          <w:p w14:paraId="08A5735D" w14:textId="77777777" w:rsidR="00A36524" w:rsidRDefault="00355467">
            <w:pPr>
              <w:tabs>
                <w:tab w:val="right" w:pos="2751"/>
              </w:tabs>
              <w:overflowPunct/>
              <w:autoSpaceDE/>
              <w:autoSpaceDN/>
              <w:adjustRightInd/>
              <w:spacing w:after="0"/>
              <w:textAlignment w:val="auto"/>
              <w:rPr>
                <w:rFonts w:ascii="Arial" w:hAnsi="Arial" w:cs="Arial"/>
                <w:b/>
                <w:i/>
                <w:lang w:eastAsia="en-US"/>
              </w:rPr>
            </w:pPr>
            <w:r>
              <w:rPr>
                <w:rFonts w:ascii="Arial" w:hAnsi="Arial" w:cs="Arial"/>
                <w:b/>
                <w:i/>
                <w:lang w:eastAsia="en-US"/>
              </w:rPr>
              <w:t>Proposed change affects:</w:t>
            </w:r>
          </w:p>
        </w:tc>
        <w:tc>
          <w:tcPr>
            <w:tcW w:w="1418" w:type="dxa"/>
          </w:tcPr>
          <w:p w14:paraId="4E477041" w14:textId="77777777" w:rsidR="00A36524" w:rsidRDefault="00355467">
            <w:pPr>
              <w:overflowPunct/>
              <w:autoSpaceDE/>
              <w:autoSpaceDN/>
              <w:adjustRightInd/>
              <w:spacing w:after="0"/>
              <w:jc w:val="right"/>
              <w:textAlignment w:val="auto"/>
              <w:rPr>
                <w:rFonts w:ascii="Arial" w:hAnsi="Arial" w:cs="Arial"/>
                <w:lang w:eastAsia="en-US"/>
              </w:rPr>
            </w:pPr>
            <w:r>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AA53AB"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tcPr>
          <w:p w14:paraId="125889BC" w14:textId="77777777" w:rsidR="00A36524" w:rsidRDefault="00355467">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A8B721"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126" w:type="dxa"/>
          </w:tcPr>
          <w:p w14:paraId="088651EC" w14:textId="77777777" w:rsidR="00A36524" w:rsidRDefault="00355467">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1718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1418" w:type="dxa"/>
          </w:tcPr>
          <w:p w14:paraId="666DE525" w14:textId="77777777" w:rsidR="00A36524" w:rsidRDefault="00355467">
            <w:pPr>
              <w:overflowPunct/>
              <w:autoSpaceDE/>
              <w:autoSpaceDN/>
              <w:adjustRightInd/>
              <w:spacing w:after="0"/>
              <w:jc w:val="right"/>
              <w:textAlignment w:val="auto"/>
              <w:rPr>
                <w:rFonts w:ascii="Arial" w:hAnsi="Arial" w:cs="Arial"/>
                <w:lang w:eastAsia="en-US"/>
              </w:rPr>
            </w:pPr>
            <w:r>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FC9BC1" w14:textId="77777777" w:rsidR="00A36524" w:rsidRDefault="00A36524">
            <w:pPr>
              <w:overflowPunct/>
              <w:autoSpaceDE/>
              <w:autoSpaceDN/>
              <w:adjustRightInd/>
              <w:spacing w:after="0"/>
              <w:jc w:val="center"/>
              <w:textAlignment w:val="auto"/>
              <w:rPr>
                <w:rFonts w:ascii="Arial" w:hAnsi="Arial" w:cs="Arial"/>
                <w:b/>
                <w:bCs/>
                <w:caps/>
                <w:lang w:eastAsia="en-US"/>
              </w:rPr>
            </w:pPr>
          </w:p>
        </w:tc>
      </w:tr>
    </w:tbl>
    <w:p w14:paraId="30E5E56D"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36524" w14:paraId="3FDF616B" w14:textId="77777777">
        <w:tc>
          <w:tcPr>
            <w:tcW w:w="9640" w:type="dxa"/>
            <w:gridSpan w:val="11"/>
          </w:tcPr>
          <w:p w14:paraId="7E9F49CE"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48108DA" w14:textId="77777777">
        <w:tc>
          <w:tcPr>
            <w:tcW w:w="1843" w:type="dxa"/>
            <w:tcBorders>
              <w:top w:val="single" w:sz="4" w:space="0" w:color="auto"/>
              <w:left w:val="single" w:sz="4" w:space="0" w:color="auto"/>
              <w:bottom w:val="nil"/>
              <w:right w:val="nil"/>
            </w:tcBorders>
          </w:tcPr>
          <w:p w14:paraId="77A909D4"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Title:</w:t>
            </w:r>
            <w:r>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2AEB008E" w14:textId="3AAACC35"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CrTitle  \* MERGEFORMAT </w:instrText>
            </w:r>
            <w:r>
              <w:rPr>
                <w:rFonts w:ascii="Arial" w:hAnsi="Arial" w:cs="Arial"/>
                <w:lang w:eastAsia="en-US"/>
              </w:rPr>
              <w:fldChar w:fldCharType="separate"/>
            </w: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r>
              <w:rPr>
                <w:rFonts w:ascii="Arial" w:hAnsi="Arial" w:cs="Arial"/>
                <w:lang w:eastAsia="en-US"/>
              </w:rPr>
              <w:fldChar w:fldCharType="end"/>
            </w:r>
          </w:p>
        </w:tc>
      </w:tr>
      <w:tr w:rsidR="00A36524" w14:paraId="0DE0483A" w14:textId="77777777">
        <w:tc>
          <w:tcPr>
            <w:tcW w:w="1843" w:type="dxa"/>
            <w:tcBorders>
              <w:top w:val="nil"/>
              <w:left w:val="single" w:sz="4" w:space="0" w:color="auto"/>
              <w:bottom w:val="nil"/>
              <w:right w:val="nil"/>
            </w:tcBorders>
          </w:tcPr>
          <w:p w14:paraId="353D4EB0"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0C009852"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EA2A961" w14:textId="77777777">
        <w:tc>
          <w:tcPr>
            <w:tcW w:w="1843" w:type="dxa"/>
            <w:tcBorders>
              <w:top w:val="nil"/>
              <w:left w:val="single" w:sz="4" w:space="0" w:color="auto"/>
              <w:bottom w:val="nil"/>
              <w:right w:val="nil"/>
            </w:tcBorders>
          </w:tcPr>
          <w:p w14:paraId="703F82A7"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4F84399A"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Toyota ITC</w:t>
            </w:r>
          </w:p>
        </w:tc>
      </w:tr>
      <w:tr w:rsidR="00A36524" w14:paraId="386E035F" w14:textId="77777777">
        <w:tc>
          <w:tcPr>
            <w:tcW w:w="1843" w:type="dxa"/>
            <w:tcBorders>
              <w:top w:val="nil"/>
              <w:left w:val="single" w:sz="4" w:space="0" w:color="auto"/>
              <w:bottom w:val="nil"/>
              <w:right w:val="nil"/>
            </w:tcBorders>
          </w:tcPr>
          <w:p w14:paraId="6148BF4F"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3EE02812"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SourceIfTsg  \* MERGEFORMAT </w:instrText>
            </w:r>
            <w:r>
              <w:rPr>
                <w:rFonts w:ascii="Arial" w:hAnsi="Arial" w:cs="Arial"/>
                <w:lang w:eastAsia="en-US"/>
              </w:rPr>
              <w:fldChar w:fldCharType="separate"/>
            </w:r>
            <w:r>
              <w:rPr>
                <w:rFonts w:ascii="Arial" w:hAnsi="Arial" w:cs="Arial"/>
                <w:lang w:eastAsia="en-US"/>
              </w:rPr>
              <w:t>R2</w:t>
            </w:r>
            <w:r>
              <w:rPr>
                <w:rFonts w:ascii="Arial" w:hAnsi="Arial" w:cs="Arial"/>
                <w:lang w:eastAsia="en-US"/>
              </w:rPr>
              <w:fldChar w:fldCharType="end"/>
            </w:r>
          </w:p>
        </w:tc>
      </w:tr>
      <w:tr w:rsidR="00A36524" w14:paraId="5B874B9D" w14:textId="77777777">
        <w:tc>
          <w:tcPr>
            <w:tcW w:w="1843" w:type="dxa"/>
            <w:tcBorders>
              <w:top w:val="nil"/>
              <w:left w:val="single" w:sz="4" w:space="0" w:color="auto"/>
              <w:bottom w:val="nil"/>
              <w:right w:val="nil"/>
            </w:tcBorders>
          </w:tcPr>
          <w:p w14:paraId="6F841C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A3D44DB"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9F1FE71" w14:textId="77777777">
        <w:tc>
          <w:tcPr>
            <w:tcW w:w="1843" w:type="dxa"/>
            <w:tcBorders>
              <w:top w:val="nil"/>
              <w:left w:val="single" w:sz="4" w:space="0" w:color="auto"/>
              <w:bottom w:val="nil"/>
              <w:right w:val="nil"/>
            </w:tcBorders>
          </w:tcPr>
          <w:p w14:paraId="706CBFDE"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Work item code:</w:t>
            </w:r>
          </w:p>
        </w:tc>
        <w:tc>
          <w:tcPr>
            <w:tcW w:w="3686" w:type="dxa"/>
            <w:gridSpan w:val="5"/>
            <w:shd w:val="pct30" w:color="FFFF00" w:fill="auto"/>
          </w:tcPr>
          <w:p w14:paraId="17098ED4" w14:textId="3ED085D7" w:rsidR="00A36524" w:rsidRDefault="00355467">
            <w:pPr>
              <w:overflowPunct/>
              <w:autoSpaceDE/>
              <w:autoSpaceDN/>
              <w:adjustRightInd/>
              <w:spacing w:after="0"/>
              <w:ind w:left="100"/>
              <w:textAlignment w:val="auto"/>
              <w:rPr>
                <w:rFonts w:ascii="Arial" w:hAnsi="Arial" w:cs="Arial"/>
                <w:lang w:eastAsia="en-US"/>
              </w:rPr>
            </w:pPr>
            <w:proofErr w:type="spellStart"/>
            <w:r>
              <w:rPr>
                <w:rFonts w:ascii="Arial" w:hAnsi="Arial" w:cs="Arial"/>
                <w:lang w:eastAsia="en-US"/>
              </w:rPr>
              <w:t>IoT_NTN_TDD</w:t>
            </w:r>
            <w:proofErr w:type="spellEnd"/>
            <w:r w:rsidR="00D90247" w:rsidRPr="007737E1">
              <w:rPr>
                <w:rFonts w:ascii="Arial" w:hAnsi="Arial" w:cs="Arial"/>
                <w:lang w:eastAsia="en-US"/>
              </w:rPr>
              <w:t>-Core</w:t>
            </w:r>
          </w:p>
        </w:tc>
        <w:tc>
          <w:tcPr>
            <w:tcW w:w="567" w:type="dxa"/>
          </w:tcPr>
          <w:p w14:paraId="2B20016E" w14:textId="77777777" w:rsidR="00A36524" w:rsidRDefault="00A36524">
            <w:pPr>
              <w:overflowPunct/>
              <w:autoSpaceDE/>
              <w:autoSpaceDN/>
              <w:adjustRightInd/>
              <w:spacing w:after="0"/>
              <w:ind w:right="100"/>
              <w:textAlignment w:val="auto"/>
              <w:rPr>
                <w:rFonts w:ascii="Arial" w:hAnsi="Arial" w:cs="Arial"/>
                <w:lang w:eastAsia="en-US"/>
              </w:rPr>
            </w:pPr>
          </w:p>
        </w:tc>
        <w:tc>
          <w:tcPr>
            <w:tcW w:w="1417" w:type="dxa"/>
            <w:gridSpan w:val="3"/>
          </w:tcPr>
          <w:p w14:paraId="05E39907" w14:textId="77777777" w:rsidR="00A36524" w:rsidRDefault="00355467">
            <w:pPr>
              <w:overflowPunct/>
              <w:autoSpaceDE/>
              <w:autoSpaceDN/>
              <w:adjustRightInd/>
              <w:spacing w:after="0"/>
              <w:jc w:val="right"/>
              <w:textAlignment w:val="auto"/>
              <w:rPr>
                <w:rFonts w:ascii="Arial" w:hAnsi="Arial" w:cs="Arial"/>
                <w:lang w:eastAsia="en-US"/>
              </w:rPr>
            </w:pPr>
            <w:commentRangeStart w:id="2"/>
            <w:commentRangeStart w:id="3"/>
            <w:r>
              <w:rPr>
                <w:rFonts w:ascii="Arial" w:hAnsi="Arial" w:cs="Arial"/>
                <w:b/>
                <w:i/>
                <w:lang w:eastAsia="en-US"/>
              </w:rPr>
              <w:t>Date</w:t>
            </w:r>
            <w:commentRangeEnd w:id="2"/>
            <w:r w:rsidR="008A32F3">
              <w:rPr>
                <w:rStyle w:val="CommentReference"/>
              </w:rPr>
              <w:commentReference w:id="2"/>
            </w:r>
            <w:commentRangeEnd w:id="3"/>
            <w:r w:rsidR="00935E25">
              <w:rPr>
                <w:rStyle w:val="CommentReference"/>
              </w:rPr>
              <w:commentReference w:id="3"/>
            </w:r>
            <w:r>
              <w:rPr>
                <w:rFonts w:ascii="Arial" w:hAnsi="Arial" w:cs="Arial"/>
                <w:b/>
                <w:i/>
                <w:lang w:eastAsia="en-US"/>
              </w:rPr>
              <w:t>:</w:t>
            </w:r>
          </w:p>
        </w:tc>
        <w:tc>
          <w:tcPr>
            <w:tcW w:w="2127" w:type="dxa"/>
            <w:tcBorders>
              <w:top w:val="nil"/>
              <w:left w:val="nil"/>
              <w:bottom w:val="nil"/>
              <w:right w:val="single" w:sz="4" w:space="0" w:color="auto"/>
            </w:tcBorders>
            <w:shd w:val="pct30" w:color="FFFF00" w:fill="auto"/>
          </w:tcPr>
          <w:p w14:paraId="077260A3" w14:textId="01B2C466"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ResDate  \* MERGEFORMAT </w:instrText>
            </w:r>
            <w:r>
              <w:rPr>
                <w:rFonts w:ascii="Arial" w:hAnsi="Arial" w:cs="Arial"/>
                <w:lang w:eastAsia="en-US"/>
              </w:rPr>
              <w:fldChar w:fldCharType="separate"/>
            </w:r>
            <w:r>
              <w:rPr>
                <w:rFonts w:ascii="Arial" w:hAnsi="Arial" w:cs="Arial"/>
                <w:lang w:eastAsia="en-US"/>
              </w:rPr>
              <w:t>2025-0</w:t>
            </w:r>
            <w:r w:rsidR="00935E25">
              <w:rPr>
                <w:rFonts w:ascii="Arial" w:hAnsi="Arial" w:cs="Arial"/>
                <w:lang w:eastAsia="en-US"/>
              </w:rPr>
              <w:t>9</w:t>
            </w:r>
            <w:r>
              <w:rPr>
                <w:rFonts w:ascii="Arial" w:hAnsi="Arial" w:cs="Arial"/>
                <w:lang w:eastAsia="en-US"/>
              </w:rPr>
              <w:t>-</w:t>
            </w:r>
            <w:r w:rsidR="00935E25">
              <w:rPr>
                <w:rFonts w:ascii="Arial" w:hAnsi="Arial" w:cs="Arial"/>
                <w:lang w:eastAsia="en-US"/>
              </w:rPr>
              <w:t>05</w:t>
            </w:r>
            <w:r>
              <w:rPr>
                <w:rFonts w:ascii="Arial" w:hAnsi="Arial" w:cs="Arial"/>
                <w:lang w:eastAsia="en-US"/>
              </w:rPr>
              <w:fldChar w:fldCharType="end"/>
            </w:r>
          </w:p>
        </w:tc>
      </w:tr>
      <w:tr w:rsidR="00A36524" w14:paraId="008B64E7" w14:textId="77777777">
        <w:tc>
          <w:tcPr>
            <w:tcW w:w="1843" w:type="dxa"/>
            <w:tcBorders>
              <w:top w:val="nil"/>
              <w:left w:val="single" w:sz="4" w:space="0" w:color="auto"/>
              <w:bottom w:val="nil"/>
              <w:right w:val="nil"/>
            </w:tcBorders>
          </w:tcPr>
          <w:p w14:paraId="63BB1BDA"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C285C21"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267" w:type="dxa"/>
            <w:gridSpan w:val="2"/>
          </w:tcPr>
          <w:p w14:paraId="536320F9"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1417" w:type="dxa"/>
            <w:gridSpan w:val="3"/>
          </w:tcPr>
          <w:p w14:paraId="1CF4D922"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783ABDAC"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188C637" w14:textId="77777777">
        <w:trPr>
          <w:cantSplit/>
        </w:trPr>
        <w:tc>
          <w:tcPr>
            <w:tcW w:w="1843" w:type="dxa"/>
            <w:tcBorders>
              <w:top w:val="nil"/>
              <w:left w:val="single" w:sz="4" w:space="0" w:color="auto"/>
              <w:bottom w:val="nil"/>
              <w:right w:val="nil"/>
            </w:tcBorders>
          </w:tcPr>
          <w:p w14:paraId="7EAA974E"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Category:</w:t>
            </w:r>
          </w:p>
        </w:tc>
        <w:tc>
          <w:tcPr>
            <w:tcW w:w="851" w:type="dxa"/>
            <w:shd w:val="pct30" w:color="FFFF00" w:fill="auto"/>
          </w:tcPr>
          <w:p w14:paraId="717B7DAD" w14:textId="77777777" w:rsidR="00A36524" w:rsidRDefault="00355467">
            <w:pPr>
              <w:overflowPunct/>
              <w:autoSpaceDE/>
              <w:autoSpaceDN/>
              <w:adjustRightInd/>
              <w:spacing w:after="0"/>
              <w:ind w:left="100" w:right="-609"/>
              <w:textAlignment w:val="auto"/>
              <w:rPr>
                <w:rFonts w:ascii="Arial" w:hAnsi="Arial" w:cs="Arial"/>
                <w:b/>
                <w:lang w:eastAsia="en-US"/>
              </w:rPr>
            </w:pPr>
            <w:r>
              <w:rPr>
                <w:rFonts w:ascii="Arial" w:hAnsi="Arial" w:cs="Arial"/>
                <w:lang w:eastAsia="en-US"/>
              </w:rPr>
              <w:fldChar w:fldCharType="begin"/>
            </w:r>
            <w:r>
              <w:rPr>
                <w:rFonts w:ascii="Arial" w:hAnsi="Arial" w:cs="Arial"/>
                <w:lang w:eastAsia="en-US"/>
              </w:rPr>
              <w:instrText xml:space="preserve"> DOCPROPERTY  Cat  \* MERGEFORMAT </w:instrText>
            </w:r>
            <w:r>
              <w:rPr>
                <w:rFonts w:ascii="Arial" w:hAnsi="Arial" w:cs="Arial"/>
                <w:lang w:eastAsia="en-US"/>
              </w:rPr>
              <w:fldChar w:fldCharType="separate"/>
            </w:r>
            <w:r>
              <w:rPr>
                <w:rFonts w:ascii="Arial" w:hAnsi="Arial" w:cs="Arial"/>
                <w:b/>
                <w:lang w:eastAsia="en-US"/>
              </w:rPr>
              <w:t>B</w:t>
            </w:r>
            <w:r>
              <w:rPr>
                <w:rFonts w:ascii="Arial" w:hAnsi="Arial" w:cs="Arial"/>
                <w:b/>
                <w:lang w:eastAsia="en-US"/>
              </w:rPr>
              <w:fldChar w:fldCharType="end"/>
            </w:r>
          </w:p>
        </w:tc>
        <w:tc>
          <w:tcPr>
            <w:tcW w:w="3402" w:type="dxa"/>
            <w:gridSpan w:val="5"/>
          </w:tcPr>
          <w:p w14:paraId="29914245" w14:textId="77777777" w:rsidR="00A36524" w:rsidRDefault="00A36524">
            <w:pPr>
              <w:overflowPunct/>
              <w:autoSpaceDE/>
              <w:autoSpaceDN/>
              <w:adjustRightInd/>
              <w:spacing w:after="0"/>
              <w:textAlignment w:val="auto"/>
              <w:rPr>
                <w:rFonts w:ascii="Arial" w:hAnsi="Arial" w:cs="Arial"/>
                <w:lang w:eastAsia="en-US"/>
              </w:rPr>
            </w:pPr>
          </w:p>
        </w:tc>
        <w:tc>
          <w:tcPr>
            <w:tcW w:w="1417" w:type="dxa"/>
            <w:gridSpan w:val="3"/>
          </w:tcPr>
          <w:p w14:paraId="44A8249D" w14:textId="77777777" w:rsidR="00A36524" w:rsidRDefault="00355467">
            <w:pPr>
              <w:overflowPunct/>
              <w:autoSpaceDE/>
              <w:autoSpaceDN/>
              <w:adjustRightInd/>
              <w:spacing w:after="0"/>
              <w:jc w:val="right"/>
              <w:textAlignment w:val="auto"/>
              <w:rPr>
                <w:rFonts w:ascii="Arial" w:hAnsi="Arial" w:cs="Arial"/>
                <w:b/>
                <w:i/>
                <w:lang w:eastAsia="en-US"/>
              </w:rPr>
            </w:pPr>
            <w:r>
              <w:rPr>
                <w:rFonts w:ascii="Arial" w:hAnsi="Arial" w:cs="Arial"/>
                <w:b/>
                <w:i/>
                <w:lang w:eastAsia="en-US"/>
              </w:rPr>
              <w:t>Release:</w:t>
            </w:r>
          </w:p>
        </w:tc>
        <w:tc>
          <w:tcPr>
            <w:tcW w:w="2127" w:type="dxa"/>
            <w:tcBorders>
              <w:top w:val="nil"/>
              <w:left w:val="nil"/>
              <w:bottom w:val="nil"/>
              <w:right w:val="single" w:sz="4" w:space="0" w:color="auto"/>
            </w:tcBorders>
            <w:shd w:val="pct30" w:color="FFFF00" w:fill="auto"/>
          </w:tcPr>
          <w:p w14:paraId="019162D2"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Release  \* MERGEFORMAT </w:instrText>
            </w:r>
            <w:r>
              <w:rPr>
                <w:rFonts w:ascii="Arial" w:hAnsi="Arial" w:cs="Arial"/>
                <w:lang w:eastAsia="en-US"/>
              </w:rPr>
              <w:fldChar w:fldCharType="separate"/>
            </w:r>
            <w:r>
              <w:rPr>
                <w:rFonts w:ascii="Arial" w:hAnsi="Arial" w:cs="Arial"/>
                <w:lang w:eastAsia="en-US"/>
              </w:rPr>
              <w:t>Rel-1</w:t>
            </w:r>
            <w:r>
              <w:rPr>
                <w:rFonts w:ascii="Arial" w:hAnsi="Arial" w:cs="Arial"/>
                <w:lang w:eastAsia="en-US"/>
              </w:rPr>
              <w:fldChar w:fldCharType="end"/>
            </w:r>
            <w:r>
              <w:rPr>
                <w:rFonts w:ascii="Arial" w:hAnsi="Arial" w:cs="Arial"/>
                <w:lang w:eastAsia="en-US"/>
              </w:rPr>
              <w:t>9</w:t>
            </w:r>
          </w:p>
        </w:tc>
      </w:tr>
      <w:tr w:rsidR="00A36524" w14:paraId="54707BEB" w14:textId="77777777">
        <w:tc>
          <w:tcPr>
            <w:tcW w:w="1843" w:type="dxa"/>
            <w:tcBorders>
              <w:top w:val="nil"/>
              <w:left w:val="single" w:sz="4" w:space="0" w:color="auto"/>
              <w:bottom w:val="single" w:sz="4" w:space="0" w:color="auto"/>
              <w:right w:val="nil"/>
            </w:tcBorders>
          </w:tcPr>
          <w:p w14:paraId="3729011A" w14:textId="77777777" w:rsidR="00A36524" w:rsidRDefault="00A36524">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tcPr>
          <w:p w14:paraId="3B1C0E93" w14:textId="77777777" w:rsidR="00A36524" w:rsidRDefault="00355467">
            <w:pPr>
              <w:overflowPunct/>
              <w:autoSpaceDE/>
              <w:autoSpaceDN/>
              <w:adjustRightInd/>
              <w:spacing w:after="0"/>
              <w:ind w:left="383" w:hanging="383"/>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categories:</w:t>
            </w:r>
            <w:r>
              <w:rPr>
                <w:rFonts w:ascii="Arial" w:hAnsi="Arial" w:cs="Arial"/>
                <w:b/>
                <w:i/>
                <w:sz w:val="18"/>
                <w:lang w:eastAsia="en-US"/>
              </w:rPr>
              <w:br/>
            </w:r>
            <w:proofErr w:type="gramStart"/>
            <w:r>
              <w:rPr>
                <w:rFonts w:ascii="Arial" w:hAnsi="Arial" w:cs="Arial"/>
                <w:b/>
                <w:i/>
                <w:sz w:val="18"/>
                <w:lang w:eastAsia="en-US"/>
              </w:rPr>
              <w:t>F</w:t>
            </w:r>
            <w:r>
              <w:rPr>
                <w:rFonts w:ascii="Arial" w:hAnsi="Arial" w:cs="Arial"/>
                <w:i/>
                <w:sz w:val="18"/>
                <w:lang w:eastAsia="en-US"/>
              </w:rPr>
              <w:t xml:space="preserve">  (</w:t>
            </w:r>
            <w:proofErr w:type="gramEnd"/>
            <w:r>
              <w:rPr>
                <w:rFonts w:ascii="Arial" w:hAnsi="Arial" w:cs="Arial"/>
                <w:i/>
                <w:sz w:val="18"/>
                <w:lang w:eastAsia="en-US"/>
              </w:rPr>
              <w:t>correction)</w:t>
            </w:r>
            <w:r>
              <w:rPr>
                <w:rFonts w:ascii="Arial" w:hAnsi="Arial" w:cs="Arial"/>
                <w:i/>
                <w:sz w:val="18"/>
                <w:lang w:eastAsia="en-US"/>
              </w:rPr>
              <w:br/>
            </w:r>
            <w:proofErr w:type="gramStart"/>
            <w:r>
              <w:rPr>
                <w:rFonts w:ascii="Arial" w:hAnsi="Arial" w:cs="Arial"/>
                <w:b/>
                <w:i/>
                <w:sz w:val="18"/>
                <w:lang w:eastAsia="en-US"/>
              </w:rPr>
              <w:t>A</w:t>
            </w:r>
            <w:r>
              <w:rPr>
                <w:rFonts w:ascii="Arial" w:hAnsi="Arial" w:cs="Arial"/>
                <w:i/>
                <w:sz w:val="18"/>
                <w:lang w:eastAsia="en-US"/>
              </w:rPr>
              <w:t xml:space="preserve">  (</w:t>
            </w:r>
            <w:proofErr w:type="gramEnd"/>
            <w:r>
              <w:rPr>
                <w:rFonts w:ascii="Arial" w:hAnsi="Arial" w:cs="Arial"/>
                <w:i/>
                <w:sz w:val="18"/>
                <w:lang w:eastAsia="en-US"/>
              </w:rPr>
              <w:t xml:space="preserve">mirror corresponding to a change in an earlier </w:t>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t>release)</w:t>
            </w:r>
            <w:r>
              <w:rPr>
                <w:rFonts w:ascii="Arial" w:hAnsi="Arial" w:cs="Arial"/>
                <w:i/>
                <w:sz w:val="18"/>
                <w:lang w:eastAsia="en-US"/>
              </w:rPr>
              <w:br/>
            </w:r>
            <w:proofErr w:type="gramStart"/>
            <w:r>
              <w:rPr>
                <w:rFonts w:ascii="Arial" w:hAnsi="Arial" w:cs="Arial"/>
                <w:b/>
                <w:i/>
                <w:sz w:val="18"/>
                <w:lang w:eastAsia="en-US"/>
              </w:rPr>
              <w:t>B</w:t>
            </w:r>
            <w:r>
              <w:rPr>
                <w:rFonts w:ascii="Arial" w:hAnsi="Arial" w:cs="Arial"/>
                <w:i/>
                <w:sz w:val="18"/>
                <w:lang w:eastAsia="en-US"/>
              </w:rPr>
              <w:t xml:space="preserve">  (</w:t>
            </w:r>
            <w:proofErr w:type="gramEnd"/>
            <w:r>
              <w:rPr>
                <w:rFonts w:ascii="Arial" w:hAnsi="Arial" w:cs="Arial"/>
                <w:i/>
                <w:sz w:val="18"/>
                <w:lang w:eastAsia="en-US"/>
              </w:rPr>
              <w:t xml:space="preserve">addition of feature), </w:t>
            </w:r>
            <w:r>
              <w:rPr>
                <w:rFonts w:ascii="Arial" w:hAnsi="Arial" w:cs="Arial"/>
                <w:i/>
                <w:sz w:val="18"/>
                <w:lang w:eastAsia="en-US"/>
              </w:rPr>
              <w:br/>
            </w:r>
            <w:proofErr w:type="gramStart"/>
            <w:r>
              <w:rPr>
                <w:rFonts w:ascii="Arial" w:hAnsi="Arial" w:cs="Arial"/>
                <w:b/>
                <w:i/>
                <w:sz w:val="18"/>
                <w:lang w:eastAsia="en-US"/>
              </w:rPr>
              <w:t>C</w:t>
            </w:r>
            <w:r>
              <w:rPr>
                <w:rFonts w:ascii="Arial" w:hAnsi="Arial" w:cs="Arial"/>
                <w:i/>
                <w:sz w:val="18"/>
                <w:lang w:eastAsia="en-US"/>
              </w:rPr>
              <w:t xml:space="preserve">  (</w:t>
            </w:r>
            <w:proofErr w:type="gramEnd"/>
            <w:r>
              <w:rPr>
                <w:rFonts w:ascii="Arial" w:hAnsi="Arial" w:cs="Arial"/>
                <w:i/>
                <w:sz w:val="18"/>
                <w:lang w:eastAsia="en-US"/>
              </w:rPr>
              <w:t>functional modification of feature)</w:t>
            </w:r>
            <w:r>
              <w:rPr>
                <w:rFonts w:ascii="Arial" w:hAnsi="Arial" w:cs="Arial"/>
                <w:i/>
                <w:sz w:val="18"/>
                <w:lang w:eastAsia="en-US"/>
              </w:rPr>
              <w:br/>
            </w:r>
            <w:proofErr w:type="gramStart"/>
            <w:r>
              <w:rPr>
                <w:rFonts w:ascii="Arial" w:hAnsi="Arial" w:cs="Arial"/>
                <w:b/>
                <w:i/>
                <w:sz w:val="18"/>
                <w:lang w:eastAsia="en-US"/>
              </w:rPr>
              <w:t>D</w:t>
            </w:r>
            <w:r>
              <w:rPr>
                <w:rFonts w:ascii="Arial" w:hAnsi="Arial" w:cs="Arial"/>
                <w:i/>
                <w:sz w:val="18"/>
                <w:lang w:eastAsia="en-US"/>
              </w:rPr>
              <w:t xml:space="preserve">  (</w:t>
            </w:r>
            <w:proofErr w:type="gramEnd"/>
            <w:r>
              <w:rPr>
                <w:rFonts w:ascii="Arial" w:hAnsi="Arial" w:cs="Arial"/>
                <w:i/>
                <w:sz w:val="18"/>
                <w:lang w:eastAsia="en-US"/>
              </w:rPr>
              <w:t>editorial modification)</w:t>
            </w:r>
          </w:p>
          <w:p w14:paraId="3E67E5DC" w14:textId="77777777" w:rsidR="00A36524" w:rsidRDefault="00355467">
            <w:pPr>
              <w:overflowPunct/>
              <w:autoSpaceDE/>
              <w:autoSpaceDN/>
              <w:adjustRightInd/>
              <w:spacing w:after="120"/>
              <w:textAlignment w:val="auto"/>
              <w:rPr>
                <w:rFonts w:ascii="Arial" w:hAnsi="Arial" w:cs="Arial"/>
                <w:lang w:eastAsia="en-US"/>
              </w:rPr>
            </w:pPr>
            <w:r>
              <w:rPr>
                <w:rFonts w:ascii="Arial" w:hAnsi="Arial" w:cs="Arial"/>
                <w:sz w:val="18"/>
                <w:lang w:eastAsia="en-US"/>
              </w:rPr>
              <w:t>Detailed explanations of the above categories can</w:t>
            </w:r>
            <w:r>
              <w:rPr>
                <w:rFonts w:ascii="Arial" w:hAnsi="Arial" w:cs="Arial"/>
                <w:sz w:val="18"/>
                <w:lang w:eastAsia="en-US"/>
              </w:rPr>
              <w:br/>
              <w:t xml:space="preserve">be found in 3GPP </w:t>
            </w:r>
            <w:hyperlink r:id="rId14" w:history="1">
              <w:r w:rsidR="00A36524">
                <w:rPr>
                  <w:rFonts w:ascii="Arial" w:hAnsi="Arial" w:cs="Arial"/>
                  <w:color w:val="0000FF"/>
                  <w:sz w:val="18"/>
                  <w:u w:val="single"/>
                  <w:lang w:eastAsia="en-US"/>
                </w:rPr>
                <w:t>TR 21.900</w:t>
              </w:r>
            </w:hyperlink>
            <w:r>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tcPr>
          <w:p w14:paraId="32E9F533" w14:textId="77777777" w:rsidR="00A36524" w:rsidRDefault="00355467">
            <w:pPr>
              <w:tabs>
                <w:tab w:val="left" w:pos="950"/>
              </w:tabs>
              <w:overflowPunct/>
              <w:autoSpaceDE/>
              <w:autoSpaceDN/>
              <w:adjustRightInd/>
              <w:spacing w:after="0"/>
              <w:ind w:left="241" w:hanging="241"/>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releases:</w:t>
            </w:r>
            <w:r>
              <w:rPr>
                <w:rFonts w:ascii="Arial" w:hAnsi="Arial" w:cs="Arial"/>
                <w:i/>
                <w:sz w:val="18"/>
                <w:lang w:eastAsia="en-US"/>
              </w:rPr>
              <w:br/>
              <w:t>Rel-8</w:t>
            </w:r>
            <w:r>
              <w:rPr>
                <w:rFonts w:ascii="Arial" w:hAnsi="Arial" w:cs="Arial"/>
                <w:i/>
                <w:sz w:val="18"/>
                <w:lang w:eastAsia="en-US"/>
              </w:rPr>
              <w:tab/>
              <w:t>(Release 8)</w:t>
            </w:r>
            <w:r>
              <w:rPr>
                <w:rFonts w:ascii="Arial" w:hAnsi="Arial" w:cs="Arial"/>
                <w:i/>
                <w:sz w:val="18"/>
                <w:lang w:eastAsia="en-US"/>
              </w:rPr>
              <w:br/>
              <w:t>Rel-9</w:t>
            </w:r>
            <w:r>
              <w:rPr>
                <w:rFonts w:ascii="Arial" w:hAnsi="Arial" w:cs="Arial"/>
                <w:i/>
                <w:sz w:val="18"/>
                <w:lang w:eastAsia="en-US"/>
              </w:rPr>
              <w:tab/>
              <w:t>(Release 9)</w:t>
            </w:r>
            <w:r>
              <w:rPr>
                <w:rFonts w:ascii="Arial" w:hAnsi="Arial" w:cs="Arial"/>
                <w:i/>
                <w:sz w:val="18"/>
                <w:lang w:eastAsia="en-US"/>
              </w:rPr>
              <w:br/>
              <w:t>Rel-10</w:t>
            </w:r>
            <w:r>
              <w:rPr>
                <w:rFonts w:ascii="Arial" w:hAnsi="Arial" w:cs="Arial"/>
                <w:i/>
                <w:sz w:val="18"/>
                <w:lang w:eastAsia="en-US"/>
              </w:rPr>
              <w:tab/>
              <w:t>(Release 10)</w:t>
            </w:r>
            <w:r>
              <w:rPr>
                <w:rFonts w:ascii="Arial" w:hAnsi="Arial" w:cs="Arial"/>
                <w:i/>
                <w:sz w:val="18"/>
                <w:lang w:eastAsia="en-US"/>
              </w:rPr>
              <w:br/>
              <w:t>Rel-11</w:t>
            </w:r>
            <w:r>
              <w:rPr>
                <w:rFonts w:ascii="Arial" w:hAnsi="Arial" w:cs="Arial"/>
                <w:i/>
                <w:sz w:val="18"/>
                <w:lang w:eastAsia="en-US"/>
              </w:rPr>
              <w:tab/>
              <w:t>(Release 11)</w:t>
            </w:r>
            <w:r>
              <w:rPr>
                <w:rFonts w:ascii="Arial" w:hAnsi="Arial" w:cs="Arial"/>
                <w:i/>
                <w:sz w:val="18"/>
                <w:lang w:eastAsia="en-US"/>
              </w:rPr>
              <w:br/>
              <w:t>…</w:t>
            </w:r>
            <w:r>
              <w:rPr>
                <w:rFonts w:ascii="Arial" w:hAnsi="Arial" w:cs="Arial"/>
                <w:i/>
                <w:sz w:val="18"/>
                <w:lang w:eastAsia="en-US"/>
              </w:rPr>
              <w:br/>
              <w:t>Rel-17</w:t>
            </w:r>
            <w:r>
              <w:rPr>
                <w:rFonts w:ascii="Arial" w:hAnsi="Arial" w:cs="Arial"/>
                <w:i/>
                <w:sz w:val="18"/>
                <w:lang w:eastAsia="en-US"/>
              </w:rPr>
              <w:tab/>
              <w:t>(Release 17)</w:t>
            </w:r>
            <w:r>
              <w:rPr>
                <w:rFonts w:ascii="Arial" w:hAnsi="Arial" w:cs="Arial"/>
                <w:i/>
                <w:sz w:val="18"/>
                <w:lang w:eastAsia="en-US"/>
              </w:rPr>
              <w:br/>
              <w:t>Rel-18</w:t>
            </w:r>
            <w:r>
              <w:rPr>
                <w:rFonts w:ascii="Arial" w:hAnsi="Arial" w:cs="Arial"/>
                <w:i/>
                <w:sz w:val="18"/>
                <w:lang w:eastAsia="en-US"/>
              </w:rPr>
              <w:tab/>
              <w:t>(Release 18)</w:t>
            </w:r>
            <w:r>
              <w:rPr>
                <w:rFonts w:ascii="Arial" w:hAnsi="Arial" w:cs="Arial"/>
                <w:i/>
                <w:sz w:val="18"/>
                <w:lang w:eastAsia="en-US"/>
              </w:rPr>
              <w:br/>
              <w:t>Rel-19</w:t>
            </w:r>
            <w:r>
              <w:rPr>
                <w:rFonts w:ascii="Arial" w:hAnsi="Arial" w:cs="Arial"/>
                <w:i/>
                <w:sz w:val="18"/>
                <w:lang w:eastAsia="en-US"/>
              </w:rPr>
              <w:tab/>
              <w:t xml:space="preserve">(Release 19) </w:t>
            </w:r>
            <w:r>
              <w:rPr>
                <w:rFonts w:ascii="Arial" w:hAnsi="Arial" w:cs="Arial"/>
                <w:i/>
                <w:sz w:val="18"/>
                <w:lang w:eastAsia="en-US"/>
              </w:rPr>
              <w:br/>
              <w:t>Rel-20</w:t>
            </w:r>
            <w:r>
              <w:rPr>
                <w:rFonts w:ascii="Arial" w:hAnsi="Arial" w:cs="Arial"/>
                <w:i/>
                <w:sz w:val="18"/>
                <w:lang w:eastAsia="en-US"/>
              </w:rPr>
              <w:tab/>
              <w:t>(Release 20)</w:t>
            </w:r>
          </w:p>
        </w:tc>
      </w:tr>
      <w:tr w:rsidR="00A36524" w14:paraId="2AA4BF2F" w14:textId="77777777">
        <w:tc>
          <w:tcPr>
            <w:tcW w:w="1843" w:type="dxa"/>
          </w:tcPr>
          <w:p w14:paraId="7A4ED0C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3CABECB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BB3A186" w14:textId="77777777">
        <w:tc>
          <w:tcPr>
            <w:tcW w:w="2694" w:type="dxa"/>
            <w:gridSpan w:val="2"/>
            <w:tcBorders>
              <w:top w:val="single" w:sz="4" w:space="0" w:color="auto"/>
              <w:left w:val="single" w:sz="4" w:space="0" w:color="auto"/>
              <w:bottom w:val="nil"/>
              <w:right w:val="nil"/>
            </w:tcBorders>
          </w:tcPr>
          <w:p w14:paraId="0D474957"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02D54B3A" w14:textId="61151C51"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p>
        </w:tc>
      </w:tr>
      <w:tr w:rsidR="00A36524" w14:paraId="2F3ED028" w14:textId="77777777">
        <w:tc>
          <w:tcPr>
            <w:tcW w:w="2694" w:type="dxa"/>
            <w:gridSpan w:val="2"/>
            <w:tcBorders>
              <w:top w:val="nil"/>
              <w:left w:val="single" w:sz="4" w:space="0" w:color="auto"/>
              <w:bottom w:val="nil"/>
              <w:right w:val="nil"/>
            </w:tcBorders>
          </w:tcPr>
          <w:p w14:paraId="45486706"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05A53DC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7E16E34" w14:textId="77777777">
        <w:tc>
          <w:tcPr>
            <w:tcW w:w="2694" w:type="dxa"/>
            <w:gridSpan w:val="2"/>
            <w:tcBorders>
              <w:top w:val="nil"/>
              <w:left w:val="single" w:sz="4" w:space="0" w:color="auto"/>
              <w:bottom w:val="nil"/>
              <w:right w:val="nil"/>
            </w:tcBorders>
          </w:tcPr>
          <w:p w14:paraId="17C46D78"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65A84D63" w14:textId="5DD23209"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This CR captures the agreements for the introduction of IoT</w:t>
            </w:r>
            <w:r w:rsidR="007737E1">
              <w:rPr>
                <w:rFonts w:ascii="Arial" w:hAnsi="Arial" w:cs="Arial"/>
                <w:lang w:eastAsia="en-US"/>
              </w:rPr>
              <w:t xml:space="preserve"> </w:t>
            </w:r>
            <w:r>
              <w:rPr>
                <w:rFonts w:ascii="Arial" w:hAnsi="Arial" w:cs="Arial"/>
                <w:lang w:eastAsia="en-US"/>
              </w:rPr>
              <w:t>NTN TDD mode.</w:t>
            </w:r>
          </w:p>
          <w:p w14:paraId="04ADC308" w14:textId="77777777" w:rsidR="00A36524" w:rsidRDefault="00A36524">
            <w:pPr>
              <w:overflowPunct/>
              <w:autoSpaceDE/>
              <w:autoSpaceDN/>
              <w:adjustRightInd/>
              <w:spacing w:after="0"/>
              <w:ind w:left="100"/>
              <w:textAlignment w:val="auto"/>
              <w:rPr>
                <w:rFonts w:ascii="Arial" w:hAnsi="Arial" w:cs="Arial"/>
                <w:lang w:eastAsia="en-US"/>
              </w:rPr>
            </w:pPr>
          </w:p>
          <w:p w14:paraId="191FCB3F"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Agreements considered for this running CR version:</w:t>
            </w:r>
          </w:p>
          <w:p w14:paraId="73C4F258" w14:textId="77777777" w:rsidR="00A36524" w:rsidRDefault="00A36524">
            <w:pPr>
              <w:overflowPunct/>
              <w:autoSpaceDE/>
              <w:autoSpaceDN/>
              <w:adjustRightInd/>
              <w:spacing w:after="0"/>
              <w:ind w:left="100"/>
              <w:textAlignment w:val="auto"/>
              <w:rPr>
                <w:rFonts w:ascii="Arial" w:hAnsi="Arial" w:cs="Arial"/>
                <w:lang w:eastAsia="en-US"/>
              </w:rPr>
            </w:pPr>
          </w:p>
          <w:p w14:paraId="65921E97" w14:textId="6676786C" w:rsidR="00A36524" w:rsidRPr="007737E1" w:rsidRDefault="00681432">
            <w:pPr>
              <w:numPr>
                <w:ilvl w:val="0"/>
                <w:numId w:val="4"/>
              </w:numPr>
              <w:contextualSpacing/>
              <w:textAlignment w:val="auto"/>
              <w:rPr>
                <w:rFonts w:ascii="Arial" w:hAnsi="Arial"/>
                <w:lang w:eastAsia="en-US"/>
              </w:rPr>
            </w:pPr>
            <w:r>
              <w:rPr>
                <w:rFonts w:ascii="Arial" w:hAnsi="Arial"/>
                <w:lang w:eastAsia="en-US"/>
              </w:rPr>
              <w:t>RAN2: When the UL SPS overlaps with non-U NB-IoT subframes UE postpones the UL SPS resource to the next valid UL sub</w:t>
            </w:r>
            <w:r w:rsidRPr="007737E1">
              <w:rPr>
                <w:rFonts w:ascii="Arial" w:hAnsi="Arial"/>
                <w:lang w:eastAsia="en-US"/>
              </w:rPr>
              <w:t>frame.</w:t>
            </w:r>
          </w:p>
          <w:p w14:paraId="29E1ACC0" w14:textId="77777777" w:rsidR="00681432" w:rsidRPr="007737E1" w:rsidRDefault="00681432" w:rsidP="00681432">
            <w:pPr>
              <w:numPr>
                <w:ilvl w:val="0"/>
                <w:numId w:val="4"/>
              </w:numPr>
              <w:contextualSpacing/>
              <w:textAlignment w:val="auto"/>
              <w:rPr>
                <w:rFonts w:ascii="Arial" w:hAnsi="Arial"/>
                <w:lang w:eastAsia="en-US"/>
              </w:rPr>
            </w:pPr>
            <w:r w:rsidRPr="007737E1">
              <w:rPr>
                <w:rFonts w:ascii="Arial" w:hAnsi="Arial"/>
                <w:lang w:eastAsia="en-US"/>
              </w:rPr>
              <w:t xml:space="preserve">R1-2504883 LS on TP for 36.300: </w:t>
            </w:r>
          </w:p>
          <w:p w14:paraId="51AD18BE" w14:textId="0B97304D" w:rsidR="00681432" w:rsidRPr="007737E1" w:rsidRDefault="00681432" w:rsidP="00681432">
            <w:pPr>
              <w:ind w:left="460"/>
              <w:contextualSpacing/>
              <w:textAlignment w:val="auto"/>
              <w:rPr>
                <w:rFonts w:ascii="Arial" w:hAnsi="Arial"/>
                <w:lang w:eastAsia="en-US"/>
              </w:rPr>
            </w:pPr>
            <w:r w:rsidRPr="007737E1">
              <w:rPr>
                <w:rFonts w:ascii="Arial" w:hAnsi="Arial"/>
                <w:lang w:eastAsia="en-US"/>
              </w:rPr>
              <w:t xml:space="preserve">IoT-NTN TDD mode: A working mode that allows use of NB-IoT channels in TDD </w:t>
            </w:r>
            <w:proofErr w:type="gramStart"/>
            <w:r w:rsidRPr="007737E1">
              <w:rPr>
                <w:rFonts w:ascii="Arial" w:hAnsi="Arial"/>
                <w:lang w:eastAsia="en-US"/>
              </w:rPr>
              <w:t>fashion, but</w:t>
            </w:r>
            <w:proofErr w:type="gramEnd"/>
            <w:r w:rsidRPr="007737E1">
              <w:rPr>
                <w:rFonts w:ascii="Arial" w:hAnsi="Arial"/>
                <w:lang w:eastAsia="en-US"/>
              </w:rPr>
              <w:t xml:space="preserve"> based on Frame Structure Type-1 as specified in clause 5.0, TS 36.300 [xx]. For this working mode, uplink and downlink 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[xx]. </w:t>
            </w:r>
          </w:p>
          <w:p w14:paraId="22D5F7E1" w14:textId="437571AF" w:rsidR="00681432" w:rsidRPr="007737E1" w:rsidRDefault="00681432">
            <w:pPr>
              <w:numPr>
                <w:ilvl w:val="0"/>
                <w:numId w:val="4"/>
              </w:numPr>
              <w:contextualSpacing/>
              <w:textAlignment w:val="auto"/>
              <w:rPr>
                <w:rFonts w:ascii="Arial" w:hAnsi="Arial" w:cs="Arial"/>
                <w:lang w:eastAsia="en-US"/>
              </w:rPr>
            </w:pPr>
            <w:r w:rsidRPr="007737E1">
              <w:rPr>
                <w:rFonts w:ascii="Arial" w:hAnsi="Arial"/>
                <w:lang w:eastAsia="en-US"/>
              </w:rPr>
              <w:t>RAN2: When PUR resource start subframe does not align with the UL subframes in the H-SFN, UE postpones the PUR resource start subframe to the next valid UL subframe.</w:t>
            </w:r>
          </w:p>
          <w:p w14:paraId="61C7844A" w14:textId="2C92AFED" w:rsidR="00B75AEB" w:rsidRPr="007737E1" w:rsidRDefault="00B75AEB">
            <w:pPr>
              <w:numPr>
                <w:ilvl w:val="0"/>
                <w:numId w:val="4"/>
              </w:numPr>
              <w:contextualSpacing/>
              <w:textAlignment w:val="auto"/>
              <w:rPr>
                <w:rFonts w:ascii="Arial" w:hAnsi="Arial" w:cs="Arial"/>
                <w:lang w:eastAsia="en-US"/>
              </w:rPr>
            </w:pPr>
            <w:r w:rsidRPr="007737E1">
              <w:rPr>
                <w:rFonts w:ascii="Arial" w:hAnsi="Arial" w:cs="Arial"/>
                <w:lang w:eastAsia="en-US"/>
              </w:rPr>
              <w:t xml:space="preserve">RAN1: </w:t>
            </w:r>
            <w:r w:rsidRPr="007737E1">
              <w:rPr>
                <w:rFonts w:ascii="Arial" w:hAnsi="Arial" w:cs="Arial"/>
                <w:bCs/>
              </w:rPr>
              <w:t>NPRACH format 2 is not supported in NB-IoT NTN TDD.</w:t>
            </w:r>
          </w:p>
          <w:p w14:paraId="1F798ED3" w14:textId="55171C12" w:rsidR="00B75AEB" w:rsidRPr="007737E1" w:rsidRDefault="007737E1" w:rsidP="007737E1">
            <w:pPr>
              <w:numPr>
                <w:ilvl w:val="0"/>
                <w:numId w:val="4"/>
              </w:numPr>
              <w:contextualSpacing/>
              <w:textAlignment w:val="auto"/>
              <w:rPr>
                <w:rFonts w:ascii="Arial" w:hAnsi="Arial" w:cs="Arial"/>
                <w:lang w:eastAsia="en-US"/>
              </w:rPr>
            </w:pPr>
            <w:r w:rsidRPr="007737E1">
              <w:rPr>
                <w:rFonts w:ascii="Arial" w:hAnsi="Arial" w:cs="Arial"/>
                <w:lang w:eastAsia="en-US"/>
              </w:rPr>
              <w:t xml:space="preserve">RAN2: </w:t>
            </w:r>
            <w:r w:rsidRPr="007737E1">
              <w:rPr>
                <w:rFonts w:ascii="Arial" w:eastAsiaTheme="minorEastAsia" w:hAnsi="Arial" w:cs="Arial"/>
                <w:bCs/>
                <w:lang w:eastAsia="zh-CN"/>
              </w:rPr>
              <w:t xml:space="preserve">In IoT-NTN TDD mode the same formula as for RA-RNTI calculation for FDD is reused”. </w:t>
            </w:r>
            <w:proofErr w:type="gramStart"/>
            <w:r w:rsidRPr="007737E1">
              <w:rPr>
                <w:rFonts w:ascii="Arial" w:eastAsiaTheme="minorEastAsia" w:hAnsi="Arial" w:cs="Arial"/>
                <w:bCs/>
                <w:lang w:eastAsia="zh-CN"/>
              </w:rPr>
              <w:t>So</w:t>
            </w:r>
            <w:proofErr w:type="gramEnd"/>
            <w:r w:rsidRPr="007737E1">
              <w:rPr>
                <w:rFonts w:ascii="Arial" w:eastAsiaTheme="minorEastAsia" w:hAnsi="Arial" w:cs="Arial"/>
                <w:bCs/>
                <w:lang w:eastAsia="zh-CN"/>
              </w:rPr>
              <w:t xml:space="preserve"> the formula to be applied would be </w:t>
            </w:r>
            <w:r w:rsidRPr="007737E1">
              <w:rPr>
                <w:rFonts w:ascii="Arial" w:hAnsi="Arial" w:cs="Arial"/>
                <w:lang w:val="en-US" w:eastAsia="en-GB"/>
              </w:rPr>
              <w:t xml:space="preserve">RA-RNTI=1 + </w:t>
            </w:r>
            <w:proofErr w:type="gramStart"/>
            <w:r w:rsidRPr="007737E1">
              <w:rPr>
                <w:rFonts w:ascii="Arial" w:hAnsi="Arial" w:cs="Arial"/>
                <w:lang w:val="en-US" w:eastAsia="en-GB"/>
              </w:rPr>
              <w:t>floor(</w:t>
            </w:r>
            <w:proofErr w:type="spellStart"/>
            <w:proofErr w:type="gramEnd"/>
            <w:r w:rsidRPr="007737E1">
              <w:rPr>
                <w:rFonts w:ascii="Arial" w:hAnsi="Arial" w:cs="Arial"/>
                <w:lang w:val="en-US" w:eastAsia="en-GB"/>
              </w:rPr>
              <w:t>SFN_id</w:t>
            </w:r>
            <w:proofErr w:type="spellEnd"/>
            <w:r w:rsidRPr="007737E1">
              <w:rPr>
                <w:rFonts w:ascii="Arial" w:hAnsi="Arial" w:cs="Arial"/>
                <w:lang w:val="en-US" w:eastAsia="en-GB"/>
              </w:rPr>
              <w:t>/4) + 256*</w:t>
            </w:r>
            <w:proofErr w:type="spellStart"/>
            <w:r w:rsidRPr="007737E1">
              <w:rPr>
                <w:rFonts w:ascii="Arial" w:hAnsi="Arial" w:cs="Arial"/>
                <w:lang w:val="en-US" w:eastAsia="en-GB"/>
              </w:rPr>
              <w:t>carrier_id</w:t>
            </w:r>
            <w:proofErr w:type="spellEnd"/>
            <w:r w:rsidRPr="007737E1">
              <w:rPr>
                <w:rFonts w:ascii="Arial" w:hAnsi="Arial" w:cs="Arial"/>
                <w:lang w:val="en-US" w:eastAsia="en-GB"/>
              </w:rPr>
              <w:t xml:space="preserve"> without the H-SFN value (to be confirmed).</w:t>
            </w:r>
          </w:p>
          <w:p w14:paraId="3FF1BCB6" w14:textId="77777777" w:rsidR="00A36524" w:rsidRDefault="00A36524" w:rsidP="00681432">
            <w:pPr>
              <w:ind w:left="460"/>
              <w:contextualSpacing/>
              <w:textAlignment w:val="auto"/>
              <w:rPr>
                <w:rFonts w:ascii="Arial" w:hAnsi="Arial" w:cs="Arial"/>
                <w:lang w:eastAsia="en-US"/>
              </w:rPr>
            </w:pPr>
          </w:p>
        </w:tc>
      </w:tr>
      <w:tr w:rsidR="00A36524" w14:paraId="63CC2577" w14:textId="77777777">
        <w:tc>
          <w:tcPr>
            <w:tcW w:w="2694" w:type="dxa"/>
            <w:gridSpan w:val="2"/>
            <w:tcBorders>
              <w:top w:val="nil"/>
              <w:left w:val="single" w:sz="4" w:space="0" w:color="auto"/>
              <w:bottom w:val="nil"/>
              <w:right w:val="nil"/>
            </w:tcBorders>
          </w:tcPr>
          <w:p w14:paraId="5E4DA3CB"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39199F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074527CF" w14:textId="77777777">
        <w:tc>
          <w:tcPr>
            <w:tcW w:w="2694" w:type="dxa"/>
            <w:gridSpan w:val="2"/>
            <w:tcBorders>
              <w:top w:val="nil"/>
              <w:left w:val="single" w:sz="4" w:space="0" w:color="auto"/>
              <w:bottom w:val="single" w:sz="4" w:space="0" w:color="auto"/>
              <w:right w:val="nil"/>
            </w:tcBorders>
          </w:tcPr>
          <w:p w14:paraId="29C641CA"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6AA04" w14:textId="471E6AD1"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No support for IoT</w:t>
            </w:r>
            <w:r w:rsidR="00526F44">
              <w:rPr>
                <w:rFonts w:ascii="Arial" w:hAnsi="Arial" w:cs="Arial"/>
                <w:lang w:eastAsia="en-US"/>
              </w:rPr>
              <w:t xml:space="preserve"> </w:t>
            </w:r>
            <w:r>
              <w:rPr>
                <w:rFonts w:ascii="Arial" w:hAnsi="Arial" w:cs="Arial"/>
                <w:lang w:eastAsia="en-US"/>
              </w:rPr>
              <w:t>NTN TDD mode.</w:t>
            </w:r>
          </w:p>
        </w:tc>
      </w:tr>
      <w:tr w:rsidR="00A36524" w14:paraId="2B527992" w14:textId="77777777">
        <w:tc>
          <w:tcPr>
            <w:tcW w:w="2694" w:type="dxa"/>
            <w:gridSpan w:val="2"/>
          </w:tcPr>
          <w:p w14:paraId="0314E733"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Pr>
          <w:p w14:paraId="53F64F7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240E49A7" w14:textId="77777777">
        <w:tc>
          <w:tcPr>
            <w:tcW w:w="2694" w:type="dxa"/>
            <w:gridSpan w:val="2"/>
            <w:tcBorders>
              <w:top w:val="single" w:sz="4" w:space="0" w:color="auto"/>
              <w:left w:val="single" w:sz="4" w:space="0" w:color="auto"/>
              <w:bottom w:val="nil"/>
              <w:right w:val="nil"/>
            </w:tcBorders>
          </w:tcPr>
          <w:p w14:paraId="160EA684"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4B16CC93" w14:textId="58626CDA" w:rsidR="00A36524" w:rsidRDefault="00B533EE">
            <w:pPr>
              <w:overflowPunct/>
              <w:autoSpaceDE/>
              <w:autoSpaceDN/>
              <w:adjustRightInd/>
              <w:spacing w:after="0"/>
              <w:ind w:left="100"/>
              <w:textAlignment w:val="auto"/>
              <w:rPr>
                <w:rFonts w:ascii="Arial" w:hAnsi="Arial" w:cs="Arial"/>
                <w:lang w:eastAsia="en-US"/>
              </w:rPr>
            </w:pPr>
            <w:r>
              <w:rPr>
                <w:rFonts w:ascii="Arial" w:hAnsi="Arial" w:cs="Arial"/>
                <w:lang w:eastAsia="en-US"/>
              </w:rPr>
              <w:t>2, 3.1, 4.</w:t>
            </w:r>
            <w:r w:rsidRPr="00526F44">
              <w:rPr>
                <w:rFonts w:ascii="Arial" w:hAnsi="Arial" w:cs="Arial"/>
                <w:lang w:eastAsia="en-US"/>
              </w:rPr>
              <w:t xml:space="preserve">1, </w:t>
            </w:r>
            <w:r w:rsidR="007169E3" w:rsidRPr="00526F44">
              <w:rPr>
                <w:rFonts w:ascii="Arial" w:hAnsi="Arial" w:cs="Arial"/>
                <w:lang w:eastAsia="en-US"/>
              </w:rPr>
              <w:t xml:space="preserve">5.1.3, </w:t>
            </w:r>
            <w:r w:rsidRPr="00526F44">
              <w:rPr>
                <w:rFonts w:ascii="Arial" w:hAnsi="Arial" w:cs="Arial"/>
                <w:lang w:eastAsia="en-US"/>
              </w:rPr>
              <w:t xml:space="preserve">5.1.4, </w:t>
            </w:r>
            <w:r w:rsidR="007169E3" w:rsidRPr="00526F44">
              <w:rPr>
                <w:rFonts w:ascii="Arial" w:hAnsi="Arial" w:cs="Arial"/>
                <w:lang w:eastAsia="en-US"/>
              </w:rPr>
              <w:t xml:space="preserve">5.4.7.1, </w:t>
            </w:r>
            <w:r w:rsidRPr="00526F44">
              <w:rPr>
                <w:rFonts w:ascii="Arial" w:hAnsi="Arial" w:cs="Arial"/>
                <w:lang w:eastAsia="en-US"/>
              </w:rPr>
              <w:t>5.10.2, 7.3</w:t>
            </w:r>
            <w:r w:rsidR="00050D4B">
              <w:rPr>
                <w:rFonts w:ascii="Arial" w:hAnsi="Arial" w:cs="Arial"/>
                <w:lang w:eastAsia="en-US"/>
              </w:rPr>
              <w:t>.</w:t>
            </w:r>
          </w:p>
        </w:tc>
      </w:tr>
      <w:tr w:rsidR="00A36524" w14:paraId="54EC31E9" w14:textId="77777777">
        <w:tc>
          <w:tcPr>
            <w:tcW w:w="2694" w:type="dxa"/>
            <w:gridSpan w:val="2"/>
            <w:tcBorders>
              <w:top w:val="nil"/>
              <w:left w:val="single" w:sz="4" w:space="0" w:color="auto"/>
              <w:bottom w:val="nil"/>
              <w:right w:val="nil"/>
            </w:tcBorders>
          </w:tcPr>
          <w:p w14:paraId="532C43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41D5900"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CF811A6" w14:textId="77777777">
        <w:tc>
          <w:tcPr>
            <w:tcW w:w="2694" w:type="dxa"/>
            <w:gridSpan w:val="2"/>
            <w:tcBorders>
              <w:top w:val="nil"/>
              <w:left w:val="single" w:sz="4" w:space="0" w:color="auto"/>
              <w:bottom w:val="nil"/>
              <w:right w:val="nil"/>
            </w:tcBorders>
          </w:tcPr>
          <w:p w14:paraId="04439A7B" w14:textId="77777777" w:rsidR="00A36524" w:rsidRDefault="00A36524">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tcPr>
          <w:p w14:paraId="308A0433"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39CFF61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N</w:t>
            </w:r>
          </w:p>
        </w:tc>
        <w:tc>
          <w:tcPr>
            <w:tcW w:w="2977" w:type="dxa"/>
            <w:gridSpan w:val="4"/>
          </w:tcPr>
          <w:p w14:paraId="7A218B5A" w14:textId="77777777" w:rsidR="00A36524" w:rsidRDefault="00A36524">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73EBED35" w14:textId="77777777" w:rsidR="00A36524" w:rsidRDefault="00A36524">
            <w:pPr>
              <w:overflowPunct/>
              <w:autoSpaceDE/>
              <w:autoSpaceDN/>
              <w:adjustRightInd/>
              <w:spacing w:after="0"/>
              <w:ind w:left="99"/>
              <w:textAlignment w:val="auto"/>
              <w:rPr>
                <w:rFonts w:ascii="Arial" w:hAnsi="Arial" w:cs="Arial"/>
                <w:lang w:eastAsia="en-US"/>
              </w:rPr>
            </w:pPr>
          </w:p>
        </w:tc>
      </w:tr>
      <w:tr w:rsidR="00A36524" w14:paraId="7DF8BCEC" w14:textId="77777777">
        <w:tc>
          <w:tcPr>
            <w:tcW w:w="2694" w:type="dxa"/>
            <w:gridSpan w:val="2"/>
            <w:tcBorders>
              <w:top w:val="nil"/>
              <w:left w:val="single" w:sz="4" w:space="0" w:color="auto"/>
              <w:bottom w:val="nil"/>
              <w:right w:val="nil"/>
            </w:tcBorders>
          </w:tcPr>
          <w:p w14:paraId="13C9EFD7"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502B91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4553F"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977" w:type="dxa"/>
            <w:gridSpan w:val="4"/>
          </w:tcPr>
          <w:p w14:paraId="33C6FED8" w14:textId="77777777" w:rsidR="00A36524" w:rsidRDefault="00355467">
            <w:pPr>
              <w:tabs>
                <w:tab w:val="right" w:pos="2893"/>
              </w:tabs>
              <w:overflowPunct/>
              <w:autoSpaceDE/>
              <w:autoSpaceDN/>
              <w:adjustRightInd/>
              <w:spacing w:after="0"/>
              <w:textAlignment w:val="auto"/>
              <w:rPr>
                <w:rFonts w:ascii="Arial" w:hAnsi="Arial" w:cs="Arial"/>
                <w:lang w:eastAsia="en-US"/>
              </w:rPr>
            </w:pPr>
            <w:r>
              <w:rPr>
                <w:rFonts w:ascii="Arial" w:hAnsi="Arial" w:cs="Arial"/>
                <w:lang w:eastAsia="en-US"/>
              </w:rPr>
              <w:t xml:space="preserve"> Other core specifications</w:t>
            </w:r>
            <w:r>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tcPr>
          <w:p w14:paraId="742B7DB5" w14:textId="78122B2E"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TS/TR 36.300</w:t>
            </w:r>
            <w:r w:rsidR="00BD42EA">
              <w:rPr>
                <w:rFonts w:ascii="Arial" w:hAnsi="Arial" w:cs="Arial"/>
                <w:lang w:eastAsia="en-US"/>
              </w:rPr>
              <w:t xml:space="preserve"> CR 1426</w:t>
            </w:r>
            <w:r>
              <w:rPr>
                <w:rFonts w:ascii="Arial" w:hAnsi="Arial" w:cs="Arial"/>
                <w:lang w:eastAsia="en-US"/>
              </w:rPr>
              <w:t>, 36.304</w:t>
            </w:r>
            <w:r w:rsidR="00BD42EA">
              <w:rPr>
                <w:rFonts w:ascii="Arial" w:hAnsi="Arial" w:cs="Arial"/>
                <w:lang w:eastAsia="en-US"/>
              </w:rPr>
              <w:t xml:space="preserve"> CR</w:t>
            </w:r>
            <w:r w:rsidR="009F2B2E">
              <w:rPr>
                <w:rFonts w:ascii="Arial" w:hAnsi="Arial" w:cs="Arial"/>
                <w:lang w:eastAsia="en-US"/>
              </w:rPr>
              <w:t xml:space="preserve"> 0883</w:t>
            </w:r>
            <w:r>
              <w:rPr>
                <w:rFonts w:ascii="Arial" w:hAnsi="Arial" w:cs="Arial"/>
                <w:lang w:eastAsia="en-US"/>
              </w:rPr>
              <w:t>, 36.306</w:t>
            </w:r>
            <w:r w:rsidR="00C50D9B">
              <w:rPr>
                <w:rFonts w:ascii="Arial" w:hAnsi="Arial" w:cs="Arial"/>
                <w:lang w:eastAsia="en-US"/>
              </w:rPr>
              <w:t xml:space="preserve"> CR 1914</w:t>
            </w:r>
            <w:r>
              <w:rPr>
                <w:rFonts w:ascii="Arial" w:hAnsi="Arial" w:cs="Arial"/>
                <w:lang w:eastAsia="en-US"/>
              </w:rPr>
              <w:t>, 36.331 CR</w:t>
            </w:r>
            <w:r w:rsidR="007B36BD">
              <w:rPr>
                <w:rFonts w:ascii="Arial" w:hAnsi="Arial" w:cs="Arial"/>
                <w:lang w:eastAsia="en-US"/>
              </w:rPr>
              <w:t xml:space="preserve"> 5138.</w:t>
            </w:r>
            <w:r>
              <w:rPr>
                <w:rFonts w:ascii="Arial" w:hAnsi="Arial" w:cs="Arial"/>
                <w:lang w:eastAsia="en-US"/>
              </w:rPr>
              <w:t xml:space="preserve"> </w:t>
            </w:r>
          </w:p>
        </w:tc>
      </w:tr>
      <w:tr w:rsidR="00A36524" w14:paraId="477FB0B4" w14:textId="77777777">
        <w:tc>
          <w:tcPr>
            <w:tcW w:w="2694" w:type="dxa"/>
            <w:gridSpan w:val="2"/>
            <w:tcBorders>
              <w:top w:val="nil"/>
              <w:left w:val="single" w:sz="4" w:space="0" w:color="auto"/>
              <w:bottom w:val="nil"/>
              <w:right w:val="nil"/>
            </w:tcBorders>
          </w:tcPr>
          <w:p w14:paraId="4A74A943" w14:textId="77777777" w:rsidR="00A36524" w:rsidRDefault="00355467">
            <w:pPr>
              <w:overflowPunct/>
              <w:autoSpaceDE/>
              <w:autoSpaceDN/>
              <w:adjustRightInd/>
              <w:spacing w:after="0"/>
              <w:textAlignment w:val="auto"/>
              <w:rPr>
                <w:rFonts w:ascii="Arial" w:hAnsi="Arial" w:cs="Arial"/>
                <w:b/>
                <w:i/>
                <w:lang w:eastAsia="en-US"/>
              </w:rPr>
            </w:pPr>
            <w:r>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788E4F2C"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0310A"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EE60F64" w14:textId="77777777" w:rsidR="00A36524" w:rsidRDefault="00355467">
            <w:pPr>
              <w:overflowPunct/>
              <w:autoSpaceDE/>
              <w:autoSpaceDN/>
              <w:adjustRightInd/>
              <w:spacing w:after="0"/>
              <w:textAlignment w:val="auto"/>
              <w:rPr>
                <w:rFonts w:ascii="Arial" w:hAnsi="Arial" w:cs="Arial"/>
                <w:lang w:eastAsia="en-US"/>
              </w:rPr>
            </w:pPr>
            <w:r>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5AE96976" w14:textId="77777777"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AB51541" w14:textId="77777777">
        <w:tc>
          <w:tcPr>
            <w:tcW w:w="2694" w:type="dxa"/>
            <w:gridSpan w:val="2"/>
            <w:tcBorders>
              <w:top w:val="nil"/>
              <w:left w:val="single" w:sz="4" w:space="0" w:color="auto"/>
              <w:bottom w:val="nil"/>
              <w:right w:val="nil"/>
            </w:tcBorders>
          </w:tcPr>
          <w:p w14:paraId="08AAC542" w14:textId="77777777" w:rsidR="00A36524" w:rsidRDefault="00355467">
            <w:pPr>
              <w:overflowPunct/>
              <w:autoSpaceDE/>
              <w:autoSpaceDN/>
              <w:adjustRightInd/>
              <w:spacing w:after="0"/>
              <w:textAlignment w:val="auto"/>
              <w:rPr>
                <w:rFonts w:ascii="Arial" w:hAnsi="Arial" w:cs="Arial"/>
                <w:b/>
                <w:i/>
                <w:lang w:eastAsia="en-US"/>
              </w:rPr>
            </w:pPr>
            <w:r>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5E1C9E"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7C903F"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0B69939" w14:textId="77777777" w:rsidR="00A36524" w:rsidRDefault="00355467">
            <w:pPr>
              <w:overflowPunct/>
              <w:autoSpaceDE/>
              <w:autoSpaceDN/>
              <w:adjustRightInd/>
              <w:spacing w:after="0"/>
              <w:textAlignment w:val="auto"/>
              <w:rPr>
                <w:rFonts w:ascii="Arial" w:hAnsi="Arial" w:cs="Arial"/>
                <w:lang w:eastAsia="en-US"/>
              </w:rPr>
            </w:pPr>
            <w:r>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282125D5" w14:textId="77777777"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311317B" w14:textId="77777777">
        <w:tc>
          <w:tcPr>
            <w:tcW w:w="2694" w:type="dxa"/>
            <w:gridSpan w:val="2"/>
            <w:tcBorders>
              <w:top w:val="nil"/>
              <w:left w:val="single" w:sz="4" w:space="0" w:color="auto"/>
              <w:bottom w:val="nil"/>
              <w:right w:val="nil"/>
            </w:tcBorders>
          </w:tcPr>
          <w:p w14:paraId="2FFD0CEC" w14:textId="77777777" w:rsidR="00A36524" w:rsidRDefault="00A36524">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19E576F4" w14:textId="77777777" w:rsidR="00A36524" w:rsidRDefault="00A36524">
            <w:pPr>
              <w:overflowPunct/>
              <w:autoSpaceDE/>
              <w:autoSpaceDN/>
              <w:adjustRightInd/>
              <w:spacing w:after="0"/>
              <w:textAlignment w:val="auto"/>
              <w:rPr>
                <w:rFonts w:ascii="Arial" w:hAnsi="Arial" w:cs="Arial"/>
                <w:lang w:eastAsia="en-US"/>
              </w:rPr>
            </w:pPr>
          </w:p>
        </w:tc>
      </w:tr>
      <w:tr w:rsidR="00A36524" w14:paraId="43008FC1" w14:textId="77777777">
        <w:tc>
          <w:tcPr>
            <w:tcW w:w="2694" w:type="dxa"/>
            <w:gridSpan w:val="2"/>
            <w:tcBorders>
              <w:top w:val="nil"/>
              <w:left w:val="single" w:sz="4" w:space="0" w:color="auto"/>
              <w:bottom w:val="single" w:sz="4" w:space="0" w:color="auto"/>
              <w:right w:val="nil"/>
            </w:tcBorders>
          </w:tcPr>
          <w:p w14:paraId="15A3F010"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D3D4804" w14:textId="77777777" w:rsidR="00A36524" w:rsidRDefault="00A36524">
            <w:pPr>
              <w:overflowPunct/>
              <w:autoSpaceDE/>
              <w:autoSpaceDN/>
              <w:adjustRightInd/>
              <w:spacing w:after="0"/>
              <w:ind w:left="100"/>
              <w:textAlignment w:val="auto"/>
              <w:rPr>
                <w:rFonts w:ascii="Arial" w:hAnsi="Arial" w:cs="Arial"/>
                <w:lang w:eastAsia="en-US"/>
              </w:rPr>
            </w:pPr>
          </w:p>
        </w:tc>
      </w:tr>
      <w:tr w:rsidR="00A36524" w14:paraId="256B9CD7" w14:textId="77777777">
        <w:tc>
          <w:tcPr>
            <w:tcW w:w="2694" w:type="dxa"/>
            <w:gridSpan w:val="2"/>
            <w:tcBorders>
              <w:top w:val="single" w:sz="4" w:space="0" w:color="auto"/>
              <w:left w:val="nil"/>
              <w:bottom w:val="single" w:sz="4" w:space="0" w:color="auto"/>
              <w:right w:val="nil"/>
            </w:tcBorders>
          </w:tcPr>
          <w:p w14:paraId="0797B1D6" w14:textId="77777777" w:rsidR="00A36524" w:rsidRDefault="00A36524">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618E2699" w14:textId="77777777" w:rsidR="00A36524" w:rsidRDefault="00A36524">
            <w:pPr>
              <w:overflowPunct/>
              <w:autoSpaceDE/>
              <w:autoSpaceDN/>
              <w:adjustRightInd/>
              <w:spacing w:after="0"/>
              <w:ind w:left="100"/>
              <w:textAlignment w:val="auto"/>
              <w:rPr>
                <w:rFonts w:ascii="Arial" w:hAnsi="Arial" w:cs="Arial"/>
                <w:sz w:val="8"/>
                <w:szCs w:val="8"/>
                <w:lang w:eastAsia="en-US"/>
              </w:rPr>
            </w:pPr>
          </w:p>
        </w:tc>
      </w:tr>
      <w:tr w:rsidR="00A36524" w14:paraId="1C8A8AC9" w14:textId="77777777">
        <w:tc>
          <w:tcPr>
            <w:tcW w:w="2694" w:type="dxa"/>
            <w:gridSpan w:val="2"/>
            <w:tcBorders>
              <w:top w:val="single" w:sz="4" w:space="0" w:color="auto"/>
              <w:left w:val="single" w:sz="4" w:space="0" w:color="auto"/>
              <w:bottom w:val="single" w:sz="4" w:space="0" w:color="auto"/>
              <w:right w:val="nil"/>
            </w:tcBorders>
          </w:tcPr>
          <w:p w14:paraId="2C6CB51B"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6C8DD8" w14:textId="77777777" w:rsidR="00A36524" w:rsidRDefault="00A36524">
            <w:pPr>
              <w:overflowPunct/>
              <w:autoSpaceDE/>
              <w:autoSpaceDN/>
              <w:adjustRightInd/>
              <w:spacing w:after="0"/>
              <w:ind w:left="100"/>
              <w:textAlignment w:val="auto"/>
              <w:rPr>
                <w:rFonts w:ascii="Arial" w:hAnsi="Arial" w:cs="Arial"/>
                <w:lang w:eastAsia="en-US"/>
              </w:rPr>
            </w:pPr>
          </w:p>
        </w:tc>
      </w:tr>
    </w:tbl>
    <w:p w14:paraId="09FB0967" w14:textId="77777777" w:rsidR="00A36524" w:rsidRDefault="00A36524">
      <w:pPr>
        <w:pStyle w:val="EX"/>
      </w:pPr>
    </w:p>
    <w:p w14:paraId="7EA479B9" w14:textId="77777777" w:rsidR="00A36524" w:rsidRDefault="00A36524">
      <w:pPr>
        <w:pStyle w:val="EX"/>
      </w:pPr>
    </w:p>
    <w:p w14:paraId="06DEAF16" w14:textId="77777777" w:rsidR="00A36524" w:rsidRDefault="00355467">
      <w:pPr>
        <w:overflowPunct/>
        <w:autoSpaceDE/>
        <w:autoSpaceDN/>
        <w:adjustRightInd/>
        <w:spacing w:after="0"/>
        <w:textAlignment w:val="auto"/>
      </w:pPr>
      <w: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F3FBB55" w14:textId="77777777">
        <w:trPr>
          <w:trHeight w:val="196"/>
        </w:trPr>
        <w:tc>
          <w:tcPr>
            <w:tcW w:w="9797" w:type="dxa"/>
            <w:shd w:val="clear" w:color="auto" w:fill="FDE9D9"/>
            <w:vAlign w:val="center"/>
          </w:tcPr>
          <w:p w14:paraId="27EFA2A7" w14:textId="77777777" w:rsidR="00A36524" w:rsidRDefault="00355467">
            <w:pPr>
              <w:snapToGrid w:val="0"/>
              <w:spacing w:after="0"/>
              <w:jc w:val="center"/>
              <w:rPr>
                <w:color w:val="FF0000"/>
                <w:sz w:val="28"/>
                <w:szCs w:val="28"/>
              </w:rPr>
            </w:pPr>
            <w:r>
              <w:rPr>
                <w:color w:val="FF0000"/>
                <w:sz w:val="28"/>
                <w:szCs w:val="28"/>
              </w:rPr>
              <w:lastRenderedPageBreak/>
              <w:t>START OF CHANGES</w:t>
            </w:r>
          </w:p>
        </w:tc>
      </w:tr>
    </w:tbl>
    <w:p w14:paraId="3B027D7A" w14:textId="77777777" w:rsidR="00A36524" w:rsidRDefault="00A36524">
      <w:pPr>
        <w:pStyle w:val="EX"/>
      </w:pPr>
    </w:p>
    <w:p w14:paraId="105BC7EA" w14:textId="77777777" w:rsidR="003D72E4" w:rsidRPr="003D72E4" w:rsidRDefault="003D72E4" w:rsidP="003D72E4">
      <w:pPr>
        <w:keepNext/>
        <w:keepLines/>
        <w:pBdr>
          <w:top w:val="single" w:sz="12" w:space="3" w:color="auto"/>
        </w:pBdr>
        <w:spacing w:before="240"/>
        <w:ind w:left="1134" w:hanging="1134"/>
        <w:outlineLvl w:val="0"/>
        <w:rPr>
          <w:rFonts w:ascii="Arial" w:hAnsi="Arial"/>
          <w:noProof/>
          <w:sz w:val="36"/>
        </w:rPr>
      </w:pPr>
      <w:bookmarkStart w:id="4" w:name="_Toc29242929"/>
      <w:bookmarkStart w:id="5" w:name="_Toc37256186"/>
      <w:bookmarkStart w:id="6" w:name="_Toc37256340"/>
      <w:bookmarkStart w:id="7" w:name="_Toc46500279"/>
      <w:bookmarkStart w:id="8" w:name="_Toc52536188"/>
      <w:bookmarkStart w:id="9" w:name="_Toc193402423"/>
      <w:r w:rsidRPr="003D72E4">
        <w:rPr>
          <w:rFonts w:ascii="Arial" w:hAnsi="Arial"/>
          <w:noProof/>
          <w:sz w:val="36"/>
        </w:rPr>
        <w:t>2</w:t>
      </w:r>
      <w:r w:rsidRPr="003D72E4">
        <w:rPr>
          <w:rFonts w:ascii="Arial" w:hAnsi="Arial"/>
          <w:noProof/>
          <w:sz w:val="36"/>
        </w:rPr>
        <w:tab/>
        <w:t>References</w:t>
      </w:r>
      <w:bookmarkEnd w:id="4"/>
      <w:bookmarkEnd w:id="5"/>
      <w:bookmarkEnd w:id="6"/>
      <w:bookmarkEnd w:id="7"/>
      <w:bookmarkEnd w:id="8"/>
      <w:bookmarkEnd w:id="9"/>
    </w:p>
    <w:p w14:paraId="2C112238" w14:textId="77777777" w:rsidR="003D72E4" w:rsidRPr="003D72E4" w:rsidRDefault="003D72E4" w:rsidP="003D72E4">
      <w:pPr>
        <w:rPr>
          <w:noProof/>
        </w:rPr>
      </w:pPr>
      <w:r w:rsidRPr="003D72E4">
        <w:rPr>
          <w:noProof/>
        </w:rPr>
        <w:t>The following documents contain provisions which, through reference in this text, constitute provisions of the present document.</w:t>
      </w:r>
    </w:p>
    <w:p w14:paraId="285A7964" w14:textId="77777777" w:rsidR="003D72E4" w:rsidRPr="003D72E4" w:rsidRDefault="003D72E4" w:rsidP="003D72E4">
      <w:pPr>
        <w:ind w:left="568" w:hanging="284"/>
      </w:pPr>
      <w:bookmarkStart w:id="10" w:name="OLE_LINK3"/>
      <w:bookmarkStart w:id="11" w:name="OLE_LINK4"/>
      <w:r w:rsidRPr="003D72E4">
        <w:t>-</w:t>
      </w:r>
      <w:r w:rsidRPr="003D72E4">
        <w:tab/>
        <w:t>References are either specific (identified by date of publication, edition number, version number, etc.) or non</w:t>
      </w:r>
      <w:r w:rsidRPr="003D72E4">
        <w:noBreakHyphen/>
        <w:t>specific.</w:t>
      </w:r>
    </w:p>
    <w:p w14:paraId="31EFA9E6" w14:textId="77777777" w:rsidR="003D72E4" w:rsidRPr="003D72E4" w:rsidRDefault="003D72E4" w:rsidP="003D72E4">
      <w:pPr>
        <w:ind w:left="568" w:hanging="284"/>
      </w:pPr>
      <w:r w:rsidRPr="003D72E4">
        <w:t>-</w:t>
      </w:r>
      <w:r w:rsidRPr="003D72E4">
        <w:tab/>
        <w:t>For a specific reference, subsequent revisions do not apply.</w:t>
      </w:r>
    </w:p>
    <w:p w14:paraId="5255BBB6" w14:textId="77777777" w:rsidR="003D72E4" w:rsidRPr="003D72E4" w:rsidRDefault="003D72E4" w:rsidP="003D72E4">
      <w:pPr>
        <w:ind w:left="568" w:hanging="284"/>
      </w:pPr>
      <w:r w:rsidRPr="003D72E4">
        <w:t>-</w:t>
      </w:r>
      <w:r w:rsidRPr="003D72E4">
        <w:tab/>
        <w:t>For a non-specific reference, the latest version applies. In the case of a reference to a 3GPP document (including a GSM document), a non-specific reference implicitly refers to the latest version of that document</w:t>
      </w:r>
      <w:r w:rsidRPr="003D72E4">
        <w:rPr>
          <w:i/>
        </w:rPr>
        <w:t xml:space="preserve"> in the same Release as the present document</w:t>
      </w:r>
      <w:r w:rsidRPr="003D72E4">
        <w:t>.</w:t>
      </w:r>
    </w:p>
    <w:bookmarkEnd w:id="10"/>
    <w:bookmarkEnd w:id="11"/>
    <w:p w14:paraId="3E0F292E" w14:textId="77777777" w:rsidR="003D72E4" w:rsidRPr="003D72E4" w:rsidRDefault="003D72E4" w:rsidP="003D72E4">
      <w:pPr>
        <w:keepLines/>
        <w:ind w:left="1702" w:hanging="1418"/>
        <w:rPr>
          <w:noProof/>
        </w:rPr>
      </w:pPr>
      <w:r w:rsidRPr="003D72E4">
        <w:rPr>
          <w:noProof/>
        </w:rPr>
        <w:t>[1]</w:t>
      </w:r>
      <w:r w:rsidRPr="003D72E4">
        <w:rPr>
          <w:noProof/>
        </w:rPr>
        <w:tab/>
        <w:t>3GPP TR 21.905: "Vocabulary for 3GPP Specifications".</w:t>
      </w:r>
    </w:p>
    <w:p w14:paraId="66ABB169" w14:textId="77777777" w:rsidR="003D72E4" w:rsidRPr="003D72E4" w:rsidRDefault="003D72E4" w:rsidP="003D72E4">
      <w:pPr>
        <w:keepLines/>
        <w:ind w:left="1702" w:hanging="1418"/>
        <w:rPr>
          <w:noProof/>
        </w:rPr>
      </w:pPr>
      <w:r w:rsidRPr="003D72E4">
        <w:rPr>
          <w:noProof/>
        </w:rPr>
        <w:t>[2]</w:t>
      </w:r>
      <w:r w:rsidRPr="003D72E4">
        <w:rPr>
          <w:noProof/>
        </w:rPr>
        <w:tab/>
        <w:t>3GPP TS 36.213: "Evolved Universal Terrestrial Radio Access (E-UTRA); Physical Layer Procedures".</w:t>
      </w:r>
    </w:p>
    <w:p w14:paraId="63C1F1F8" w14:textId="77777777" w:rsidR="003D72E4" w:rsidRPr="003D72E4" w:rsidRDefault="003D72E4" w:rsidP="003D72E4">
      <w:pPr>
        <w:keepLines/>
        <w:ind w:left="1702" w:hanging="1418"/>
        <w:rPr>
          <w:noProof/>
        </w:rPr>
      </w:pPr>
      <w:r w:rsidRPr="003D72E4">
        <w:rPr>
          <w:noProof/>
        </w:rPr>
        <w:t>[3]</w:t>
      </w:r>
      <w:r w:rsidRPr="003D72E4">
        <w:rPr>
          <w:noProof/>
        </w:rPr>
        <w:tab/>
        <w:t>3GPP TS 36.322: "Evolved Universal Terrestrial Radio Access (E-UTRA); Radio Link Control (RLC) protocol specification".</w:t>
      </w:r>
    </w:p>
    <w:p w14:paraId="226C955B" w14:textId="77777777" w:rsidR="003D72E4" w:rsidRPr="003D72E4" w:rsidRDefault="003D72E4" w:rsidP="003D72E4">
      <w:pPr>
        <w:keepLines/>
        <w:ind w:left="1702" w:hanging="1418"/>
        <w:rPr>
          <w:noProof/>
        </w:rPr>
      </w:pPr>
      <w:r w:rsidRPr="003D72E4">
        <w:rPr>
          <w:noProof/>
        </w:rPr>
        <w:t>[4]</w:t>
      </w:r>
      <w:r w:rsidRPr="003D72E4">
        <w:rPr>
          <w:noProof/>
        </w:rPr>
        <w:tab/>
        <w:t>3GPP TS 36.323: "Evolved Universal Terrestrial Radio Access (E-UTRA); Packet Data Convergence Protocol (PDCP) Specification".</w:t>
      </w:r>
    </w:p>
    <w:p w14:paraId="3AAA8ADE" w14:textId="77777777" w:rsidR="003D72E4" w:rsidRPr="003D72E4" w:rsidRDefault="003D72E4" w:rsidP="003D72E4">
      <w:pPr>
        <w:keepLines/>
        <w:ind w:left="1702" w:hanging="1418"/>
        <w:rPr>
          <w:noProof/>
        </w:rPr>
      </w:pPr>
      <w:r w:rsidRPr="003D72E4">
        <w:rPr>
          <w:noProof/>
        </w:rPr>
        <w:t>[5]</w:t>
      </w:r>
      <w:r w:rsidRPr="003D72E4">
        <w:rPr>
          <w:noProof/>
        </w:rPr>
        <w:tab/>
        <w:t>3GPP TS 36.212: "Evolved Universal Terrestrial Radio Access (E-UTRA); Multiplexing and channel coding".</w:t>
      </w:r>
    </w:p>
    <w:p w14:paraId="3B9E3313" w14:textId="77777777" w:rsidR="003D72E4" w:rsidRPr="003D72E4" w:rsidRDefault="003D72E4" w:rsidP="003D72E4">
      <w:pPr>
        <w:keepLines/>
        <w:ind w:left="1702" w:hanging="1418"/>
        <w:rPr>
          <w:noProof/>
        </w:rPr>
      </w:pPr>
      <w:r w:rsidRPr="003D72E4">
        <w:rPr>
          <w:noProof/>
        </w:rPr>
        <w:t>[6]</w:t>
      </w:r>
      <w:r w:rsidRPr="003D72E4">
        <w:rPr>
          <w:noProof/>
        </w:rPr>
        <w:tab/>
        <w:t>3GPP TS 36.214: "Evolved Universal Terrestrial Radio Access (E-UTRA); Physical layer; Measurements".</w:t>
      </w:r>
    </w:p>
    <w:p w14:paraId="3F1A443B" w14:textId="77777777" w:rsidR="003D72E4" w:rsidRPr="003D72E4" w:rsidRDefault="003D72E4" w:rsidP="003D72E4">
      <w:pPr>
        <w:keepLines/>
        <w:ind w:left="1702" w:hanging="1418"/>
        <w:rPr>
          <w:noProof/>
        </w:rPr>
      </w:pPr>
      <w:r w:rsidRPr="003D72E4">
        <w:rPr>
          <w:noProof/>
        </w:rPr>
        <w:t>[7]</w:t>
      </w:r>
      <w:r w:rsidRPr="003D72E4">
        <w:rPr>
          <w:noProof/>
        </w:rPr>
        <w:tab/>
        <w:t>3GPP TS 36.211: "Evolved Universal Terrestrial Radio Access (E-UTRA); Physical Channels and Modulation".</w:t>
      </w:r>
    </w:p>
    <w:p w14:paraId="6DB86D96" w14:textId="77777777" w:rsidR="003D72E4" w:rsidRPr="003D72E4" w:rsidRDefault="003D72E4" w:rsidP="003D72E4">
      <w:pPr>
        <w:keepLines/>
        <w:ind w:left="1702" w:hanging="1418"/>
      </w:pPr>
      <w:r w:rsidRPr="003D72E4">
        <w:rPr>
          <w:noProof/>
        </w:rPr>
        <w:t>[8]</w:t>
      </w:r>
      <w:r w:rsidRPr="003D72E4">
        <w:rPr>
          <w:noProof/>
        </w:rPr>
        <w:tab/>
        <w:t>3GPP TS 36.331: "Evolved Universal Terrestrial Radio Access (E-UTRA); Radio Resource Control (RRC); Protocol specification".</w:t>
      </w:r>
    </w:p>
    <w:p w14:paraId="575111BF" w14:textId="77777777" w:rsidR="003D72E4" w:rsidRPr="003D72E4" w:rsidRDefault="003D72E4" w:rsidP="003D72E4">
      <w:pPr>
        <w:keepLines/>
        <w:ind w:left="1702" w:hanging="1418"/>
      </w:pPr>
      <w:r w:rsidRPr="003D72E4">
        <w:t>[9]</w:t>
      </w:r>
      <w:r w:rsidRPr="003D72E4">
        <w:tab/>
        <w:t>3GPP TS 36.133: "Evolved Universal Terrestrial Radio Access (E-UTRA); Requirements for support of radio resource management".</w:t>
      </w:r>
    </w:p>
    <w:p w14:paraId="5C22A8C6" w14:textId="77777777" w:rsidR="003D72E4" w:rsidRPr="003D72E4" w:rsidRDefault="003D72E4" w:rsidP="003D72E4">
      <w:pPr>
        <w:keepLines/>
        <w:ind w:left="1702" w:hanging="1418"/>
        <w:rPr>
          <w:lang w:eastAsia="zh-TW"/>
        </w:rPr>
      </w:pPr>
      <w:r w:rsidRPr="003D72E4">
        <w:t>[10]</w:t>
      </w:r>
      <w:r w:rsidRPr="003D72E4">
        <w:tab/>
        <w:t>3GPP TS 36.101: "Evolved Universal Terrestrial Radio Access (E-UTRA); User Equipment (UE) radio transmission and reception".</w:t>
      </w:r>
    </w:p>
    <w:p w14:paraId="38B18C59" w14:textId="77777777" w:rsidR="003D72E4" w:rsidRPr="003D72E4" w:rsidRDefault="003D72E4" w:rsidP="003D72E4">
      <w:pPr>
        <w:keepLines/>
        <w:ind w:left="1702" w:hanging="1418"/>
        <w:rPr>
          <w:lang w:eastAsia="zh-CN"/>
        </w:rPr>
      </w:pPr>
      <w:r w:rsidRPr="003D72E4">
        <w:t>[</w:t>
      </w:r>
      <w:r w:rsidRPr="003D72E4">
        <w:rPr>
          <w:lang w:eastAsia="zh-TW"/>
        </w:rPr>
        <w:t>11</w:t>
      </w:r>
      <w:r w:rsidRPr="003D72E4">
        <w:t>]</w:t>
      </w:r>
      <w:r w:rsidRPr="003D72E4">
        <w:tab/>
        <w:t>3GPP TS 36.</w:t>
      </w:r>
      <w:r w:rsidRPr="003D72E4">
        <w:rPr>
          <w:lang w:eastAsia="zh-TW"/>
        </w:rPr>
        <w:t>216</w:t>
      </w:r>
      <w:r w:rsidRPr="003D72E4">
        <w:t>: "Evolved Universal Terrestrial Radio Access (E-UTRA);</w:t>
      </w:r>
      <w:r w:rsidRPr="003D72E4">
        <w:rPr>
          <w:lang w:eastAsia="zh-TW"/>
        </w:rPr>
        <w:t xml:space="preserve"> </w:t>
      </w:r>
      <w:r w:rsidRPr="003D72E4">
        <w:t>Physical layer for relaying operation".</w:t>
      </w:r>
    </w:p>
    <w:p w14:paraId="0E61F2B3" w14:textId="77777777" w:rsidR="003D72E4" w:rsidRPr="003D72E4" w:rsidRDefault="003D72E4" w:rsidP="003D72E4">
      <w:pPr>
        <w:keepLines/>
        <w:ind w:left="1702" w:hanging="1418"/>
      </w:pPr>
      <w:r w:rsidRPr="003D72E4">
        <w:t>[</w:t>
      </w:r>
      <w:r w:rsidRPr="003D72E4">
        <w:rPr>
          <w:lang w:eastAsia="zh-TW"/>
        </w:rPr>
        <w:t>1</w:t>
      </w:r>
      <w:r w:rsidRPr="003D72E4">
        <w:rPr>
          <w:lang w:eastAsia="zh-CN"/>
        </w:rPr>
        <w:t>2</w:t>
      </w:r>
      <w:r w:rsidRPr="003D72E4">
        <w:t>]</w:t>
      </w:r>
      <w:r w:rsidRPr="003D72E4">
        <w:tab/>
        <w:t>3GPP TS 36.</w:t>
      </w:r>
      <w:r w:rsidRPr="003D72E4">
        <w:rPr>
          <w:lang w:eastAsia="zh-CN"/>
        </w:rPr>
        <w:t>30</w:t>
      </w:r>
      <w:r w:rsidRPr="003D72E4">
        <w:rPr>
          <w:lang w:eastAsia="zh-TW"/>
        </w:rPr>
        <w:t>6</w:t>
      </w:r>
      <w:r w:rsidRPr="003D72E4">
        <w:t>: "Evolved Universal Terrestrial Radio Access (E-UTRA);</w:t>
      </w:r>
      <w:r w:rsidRPr="003D72E4">
        <w:rPr>
          <w:lang w:eastAsia="zh-TW"/>
        </w:rPr>
        <w:t xml:space="preserve"> </w:t>
      </w:r>
      <w:r w:rsidRPr="003D72E4">
        <w:t>User Equipment (UE) radio access capabilities".</w:t>
      </w:r>
    </w:p>
    <w:p w14:paraId="5EA871A0" w14:textId="77777777" w:rsidR="003D72E4" w:rsidRPr="003D72E4" w:rsidRDefault="003D72E4" w:rsidP="003D72E4">
      <w:pPr>
        <w:keepLines/>
        <w:ind w:left="1702" w:hanging="1418"/>
      </w:pPr>
      <w:r w:rsidRPr="003D72E4">
        <w:rPr>
          <w:lang w:eastAsia="zh-CN"/>
        </w:rPr>
        <w:t>[13]</w:t>
      </w:r>
      <w:r w:rsidRPr="003D72E4">
        <w:rPr>
          <w:lang w:eastAsia="zh-CN"/>
        </w:rPr>
        <w:tab/>
        <w:t xml:space="preserve">3GPP TS 23.303: </w:t>
      </w:r>
      <w:r w:rsidRPr="003D72E4">
        <w:t>"</w:t>
      </w:r>
      <w:r w:rsidRPr="003D72E4">
        <w:rPr>
          <w:lang w:eastAsia="zh-CN"/>
        </w:rPr>
        <w:t>Proximity-based services (</w:t>
      </w:r>
      <w:proofErr w:type="spellStart"/>
      <w:r w:rsidRPr="003D72E4">
        <w:rPr>
          <w:lang w:eastAsia="zh-CN"/>
        </w:rPr>
        <w:t>ProSe</w:t>
      </w:r>
      <w:proofErr w:type="spellEnd"/>
      <w:r w:rsidRPr="003D72E4">
        <w:rPr>
          <w:lang w:eastAsia="zh-CN"/>
        </w:rPr>
        <w:t>); Stage 2</w:t>
      </w:r>
      <w:r w:rsidRPr="003D72E4">
        <w:t>".</w:t>
      </w:r>
    </w:p>
    <w:p w14:paraId="7F1BF497" w14:textId="77777777" w:rsidR="003D72E4" w:rsidRPr="003D72E4" w:rsidRDefault="003D72E4" w:rsidP="003D72E4">
      <w:pPr>
        <w:keepLines/>
        <w:ind w:left="1702" w:hanging="1418"/>
      </w:pPr>
      <w:r w:rsidRPr="003D72E4">
        <w:t>[14]</w:t>
      </w:r>
      <w:r w:rsidRPr="003D72E4">
        <w:tab/>
      </w:r>
      <w:r w:rsidRPr="003D72E4">
        <w:rPr>
          <w:lang w:eastAsia="zh-CN"/>
        </w:rPr>
        <w:t xml:space="preserve">3GPP TS 23.285: </w:t>
      </w:r>
      <w:r w:rsidRPr="003D72E4">
        <w:t>"</w:t>
      </w:r>
      <w:r w:rsidRPr="003D72E4">
        <w:rPr>
          <w:lang w:eastAsia="zh-CN"/>
        </w:rPr>
        <w:t>Architecture enhancements for V2X services</w:t>
      </w:r>
      <w:r w:rsidRPr="003D72E4">
        <w:t>".</w:t>
      </w:r>
    </w:p>
    <w:p w14:paraId="6E835384" w14:textId="77777777" w:rsidR="003D72E4" w:rsidRPr="003D72E4" w:rsidRDefault="003D72E4" w:rsidP="003D72E4">
      <w:pPr>
        <w:keepLines/>
        <w:ind w:left="1702" w:hanging="1418"/>
      </w:pPr>
      <w:r w:rsidRPr="003D72E4">
        <w:t>[15]</w:t>
      </w:r>
      <w:r w:rsidRPr="003D72E4">
        <w:tab/>
        <w:t>3GPP TS 24.386: "User Equipment (UE) to V2X control function; protocol aspects; Stage 3".</w:t>
      </w:r>
    </w:p>
    <w:p w14:paraId="3F27E929" w14:textId="77777777" w:rsidR="003D72E4" w:rsidRPr="003D72E4" w:rsidRDefault="003D72E4" w:rsidP="003D72E4">
      <w:pPr>
        <w:keepLines/>
        <w:ind w:left="1702" w:hanging="1418"/>
        <w:rPr>
          <w:noProof/>
        </w:rPr>
      </w:pPr>
      <w:r w:rsidRPr="003D72E4">
        <w:rPr>
          <w:noProof/>
        </w:rPr>
        <w:t>[16]</w:t>
      </w:r>
      <w:r w:rsidRPr="003D72E4">
        <w:rPr>
          <w:noProof/>
        </w:rPr>
        <w:tab/>
        <w:t>3GPP TS 26.114: "IP Multimedia Subsystem (IMS); Multimedia telephony; Media handling and interaction".</w:t>
      </w:r>
    </w:p>
    <w:p w14:paraId="7928AD9F" w14:textId="77777777" w:rsidR="003D72E4" w:rsidRPr="003D72E4" w:rsidRDefault="003D72E4" w:rsidP="003D72E4">
      <w:pPr>
        <w:keepLines/>
        <w:ind w:left="1702" w:hanging="1418"/>
        <w:rPr>
          <w:noProof/>
        </w:rPr>
      </w:pPr>
      <w:r w:rsidRPr="003D72E4">
        <w:rPr>
          <w:noProof/>
        </w:rPr>
        <w:t>[17]</w:t>
      </w:r>
      <w:r w:rsidRPr="003D72E4">
        <w:rPr>
          <w:noProof/>
        </w:rPr>
        <w:tab/>
        <w:t>3GPP TS 38.323: "NR; Packet Data Convergence Protocol (PDCP) specification".</w:t>
      </w:r>
    </w:p>
    <w:p w14:paraId="2899A3E6" w14:textId="77777777" w:rsidR="003D72E4" w:rsidRPr="003D72E4" w:rsidRDefault="003D72E4" w:rsidP="003D72E4">
      <w:pPr>
        <w:keepLines/>
        <w:ind w:left="1702" w:hanging="1418"/>
        <w:rPr>
          <w:noProof/>
        </w:rPr>
      </w:pPr>
      <w:r w:rsidRPr="003D72E4">
        <w:rPr>
          <w:noProof/>
        </w:rPr>
        <w:lastRenderedPageBreak/>
        <w:t>[18]</w:t>
      </w:r>
      <w:r w:rsidRPr="003D72E4">
        <w:rPr>
          <w:noProof/>
        </w:rPr>
        <w:tab/>
        <w:t>3GPP TS 38.213: "NR; Physical Layer Procedures for control".</w:t>
      </w:r>
    </w:p>
    <w:p w14:paraId="29318134" w14:textId="77777777" w:rsidR="003D72E4" w:rsidRPr="003D72E4" w:rsidRDefault="003D72E4" w:rsidP="003D72E4">
      <w:pPr>
        <w:keepLines/>
        <w:ind w:left="1702" w:hanging="1418"/>
        <w:rPr>
          <w:noProof/>
        </w:rPr>
      </w:pPr>
      <w:r w:rsidRPr="003D72E4">
        <w:rPr>
          <w:noProof/>
        </w:rPr>
        <w:t>[19]</w:t>
      </w:r>
      <w:r w:rsidRPr="003D72E4">
        <w:rPr>
          <w:noProof/>
        </w:rPr>
        <w:tab/>
        <w:t>3GPP TS 38.133: "NR; Requirements for support of radio resource management".</w:t>
      </w:r>
    </w:p>
    <w:p w14:paraId="6B3668C7" w14:textId="77777777" w:rsidR="003D72E4" w:rsidRPr="003D72E4" w:rsidRDefault="003D72E4" w:rsidP="003D72E4">
      <w:pPr>
        <w:keepLines/>
        <w:ind w:left="1702" w:hanging="1418"/>
        <w:rPr>
          <w:noProof/>
        </w:rPr>
      </w:pPr>
      <w:r w:rsidRPr="003D72E4">
        <w:rPr>
          <w:noProof/>
        </w:rPr>
        <w:t>[20]</w:t>
      </w:r>
      <w:r w:rsidRPr="003D72E4">
        <w:rPr>
          <w:noProof/>
        </w:rPr>
        <w:tab/>
        <w:t>3GPP TS 36.300: "Evolved Universal Terrestrial Radio Access (E-UTRA) and Evolved Universal Terrestrial Radio Access (E-UTRAN); Overall description; Stage 2".</w:t>
      </w:r>
    </w:p>
    <w:p w14:paraId="215E7FAC" w14:textId="77777777" w:rsidR="003D72E4" w:rsidRPr="003D72E4" w:rsidRDefault="003D72E4" w:rsidP="003D72E4">
      <w:pPr>
        <w:keepLines/>
        <w:ind w:left="1702" w:hanging="1418"/>
        <w:rPr>
          <w:noProof/>
        </w:rPr>
      </w:pPr>
      <w:r w:rsidRPr="003D72E4">
        <w:rPr>
          <w:noProof/>
        </w:rPr>
        <w:t>[21]</w:t>
      </w:r>
      <w:r w:rsidRPr="003D72E4">
        <w:rPr>
          <w:noProof/>
        </w:rPr>
        <w:tab/>
        <w:t>3GPP TS 38.101</w:t>
      </w:r>
      <w:r w:rsidRPr="003D72E4">
        <w:rPr>
          <w:noProof/>
        </w:rPr>
        <w:noBreakHyphen/>
        <w:t>3: "NR; User Equipment (UE) radio transmission and reception; Part 3: Range 1 and Range 2 Interworking operation with other radios".</w:t>
      </w:r>
    </w:p>
    <w:p w14:paraId="4154BA2F" w14:textId="77777777" w:rsidR="003D72E4" w:rsidRPr="003D72E4" w:rsidRDefault="003D72E4" w:rsidP="003D72E4">
      <w:pPr>
        <w:keepLines/>
        <w:ind w:left="1702" w:hanging="1418"/>
        <w:rPr>
          <w:noProof/>
        </w:rPr>
      </w:pPr>
      <w:r w:rsidRPr="003D72E4">
        <w:rPr>
          <w:noProof/>
        </w:rPr>
        <w:t>[22]</w:t>
      </w:r>
      <w:r w:rsidRPr="003D72E4">
        <w:rPr>
          <w:noProof/>
        </w:rPr>
        <w:tab/>
        <w:t>3GPP TS 38.306: "NR; User Equipment (UE) radio access capabilities".</w:t>
      </w:r>
    </w:p>
    <w:p w14:paraId="6A77689A" w14:textId="77777777" w:rsidR="003D72E4" w:rsidRPr="003D72E4" w:rsidRDefault="003D72E4" w:rsidP="003D72E4">
      <w:pPr>
        <w:keepLines/>
        <w:ind w:left="1702" w:hanging="1418"/>
      </w:pPr>
      <w:r w:rsidRPr="003D72E4">
        <w:t>[23]</w:t>
      </w:r>
      <w:r w:rsidRPr="003D72E4">
        <w:tab/>
        <w:t>3GPP TS 23.287: "Architecture enhancements for 5G System (5GS) to support Vehicle-to-Everything (V2X) services ".</w:t>
      </w:r>
    </w:p>
    <w:p w14:paraId="01F4B963" w14:textId="77777777" w:rsidR="003D72E4" w:rsidRPr="005713AD" w:rsidRDefault="003D72E4" w:rsidP="003D72E4">
      <w:pPr>
        <w:keepLines/>
        <w:ind w:left="1702" w:hanging="1418"/>
      </w:pPr>
      <w:r w:rsidRPr="003D72E4">
        <w:t>[24]</w:t>
      </w:r>
      <w:r w:rsidRPr="003D72E4">
        <w:tab/>
        <w:t>3GPP TS 38.321: "NR; Medium Access Control (MA</w:t>
      </w:r>
      <w:r w:rsidRPr="005713AD">
        <w:t>C) protocol specification".</w:t>
      </w:r>
    </w:p>
    <w:p w14:paraId="2478AB7C" w14:textId="77777777" w:rsidR="003D72E4" w:rsidRPr="005713AD" w:rsidRDefault="003D72E4" w:rsidP="003D72E4">
      <w:pPr>
        <w:keepLines/>
        <w:ind w:left="1702" w:hanging="1418"/>
        <w:rPr>
          <w:ins w:id="12" w:author="Toyota ITC" w:date="2025-08-07T22:46:00Z"/>
        </w:rPr>
      </w:pPr>
      <w:r w:rsidRPr="005713AD">
        <w:t>[25]</w:t>
      </w:r>
      <w:r w:rsidRPr="005713AD">
        <w:tab/>
        <w:t>3GPP TS 38.331: "NR; Radio Resource Control (RRC); Protocol specification".</w:t>
      </w:r>
    </w:p>
    <w:p w14:paraId="0DD85440" w14:textId="322B0F3D" w:rsidR="003D72E4" w:rsidRPr="003D72E4" w:rsidRDefault="003D72E4" w:rsidP="003D72E4">
      <w:pPr>
        <w:keepLines/>
        <w:ind w:left="1702" w:hanging="1418"/>
        <w:rPr>
          <w:ins w:id="13" w:author="Toyota ITC" w:date="2025-08-07T22:46:00Z"/>
          <w:noProof/>
        </w:rPr>
      </w:pPr>
      <w:ins w:id="14" w:author="Toyota ITC" w:date="2025-08-07T22:46:00Z">
        <w:r w:rsidRPr="005713AD">
          <w:t>[n]</w:t>
        </w:r>
        <w:r w:rsidRPr="005713AD">
          <w:tab/>
          <w:t>3GPP TS 36.102: "</w:t>
        </w:r>
      </w:ins>
      <w:ins w:id="15" w:author="Toyota ITC" w:date="2025-08-07T22:48:00Z">
        <w:r w:rsidRPr="005713AD">
          <w:t>"Evolved Universal Terrestrial Radio Access (E-UTRA); User Equipment (UE) radio transmission and reception for satellite access</w:t>
        </w:r>
      </w:ins>
      <w:ins w:id="16" w:author="Toyota ITC" w:date="2025-08-07T22:46:00Z">
        <w:r w:rsidRPr="005713AD">
          <w:t>".</w:t>
        </w:r>
      </w:ins>
    </w:p>
    <w:p w14:paraId="2F184274" w14:textId="49190C96" w:rsidR="003D72E4" w:rsidRDefault="003D72E4" w:rsidP="003D72E4">
      <w:pPr>
        <w:pStyle w:val="EX"/>
        <w:ind w:left="0" w:firstLine="0"/>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3D72E4" w14:paraId="43FADB69" w14:textId="77777777" w:rsidTr="00C06A83">
        <w:trPr>
          <w:trHeight w:val="196"/>
        </w:trPr>
        <w:tc>
          <w:tcPr>
            <w:tcW w:w="9797" w:type="dxa"/>
            <w:shd w:val="clear" w:color="auto" w:fill="FDE9D9"/>
            <w:vAlign w:val="center"/>
          </w:tcPr>
          <w:p w14:paraId="0E288820" w14:textId="13D54011" w:rsidR="003D72E4" w:rsidRDefault="003D72E4" w:rsidP="00C06A83">
            <w:pPr>
              <w:snapToGrid w:val="0"/>
              <w:spacing w:after="0"/>
              <w:jc w:val="center"/>
              <w:rPr>
                <w:color w:val="FF0000"/>
                <w:sz w:val="28"/>
                <w:szCs w:val="28"/>
              </w:rPr>
            </w:pPr>
            <w:r>
              <w:rPr>
                <w:color w:val="FF0000"/>
                <w:sz w:val="28"/>
                <w:szCs w:val="28"/>
              </w:rPr>
              <w:t>NEXT CHANGES</w:t>
            </w:r>
          </w:p>
        </w:tc>
      </w:tr>
    </w:tbl>
    <w:p w14:paraId="18740762" w14:textId="77777777" w:rsidR="003D72E4" w:rsidRDefault="003D72E4">
      <w:pPr>
        <w:pStyle w:val="EX"/>
      </w:pPr>
    </w:p>
    <w:p w14:paraId="699483BD" w14:textId="77777777" w:rsidR="00A36524" w:rsidRDefault="00355467">
      <w:pPr>
        <w:pStyle w:val="Heading1"/>
      </w:pPr>
      <w:bookmarkStart w:id="17" w:name="_Toc37256341"/>
      <w:bookmarkStart w:id="18" w:name="_Toc46500280"/>
      <w:bookmarkStart w:id="19" w:name="_Toc52536189"/>
      <w:bookmarkStart w:id="20" w:name="_Toc37256187"/>
      <w:bookmarkStart w:id="21" w:name="_Toc193402424"/>
      <w:r>
        <w:t>3</w:t>
      </w:r>
      <w:r>
        <w:tab/>
        <w:t>Definitions and abbreviations</w:t>
      </w:r>
      <w:bookmarkEnd w:id="0"/>
      <w:bookmarkEnd w:id="17"/>
      <w:bookmarkEnd w:id="18"/>
      <w:bookmarkEnd w:id="19"/>
      <w:bookmarkEnd w:id="20"/>
      <w:bookmarkEnd w:id="21"/>
    </w:p>
    <w:p w14:paraId="018EE260" w14:textId="77777777" w:rsidR="00A36524" w:rsidRDefault="00355467">
      <w:pPr>
        <w:pStyle w:val="Heading2"/>
      </w:pPr>
      <w:bookmarkStart w:id="22" w:name="_Toc29242931"/>
      <w:bookmarkStart w:id="23" w:name="_Toc37256342"/>
      <w:bookmarkStart w:id="24" w:name="_Toc52536190"/>
      <w:bookmarkStart w:id="25" w:name="_Toc37256188"/>
      <w:bookmarkStart w:id="26" w:name="_Toc193402425"/>
      <w:bookmarkStart w:id="27" w:name="_Toc46500281"/>
      <w:r>
        <w:t>3.1</w:t>
      </w:r>
      <w:r>
        <w:tab/>
        <w:t>Definitions</w:t>
      </w:r>
      <w:bookmarkEnd w:id="22"/>
      <w:bookmarkEnd w:id="23"/>
      <w:bookmarkEnd w:id="24"/>
      <w:bookmarkEnd w:id="25"/>
      <w:bookmarkEnd w:id="26"/>
      <w:bookmarkEnd w:id="27"/>
    </w:p>
    <w:p w14:paraId="618F21E3" w14:textId="77777777" w:rsidR="00A36524" w:rsidRDefault="00355467">
      <w:r>
        <w:t>For the purposes of the present document, the terms and definitions given in TR 21.905 [1] and the following apply. A term defined in the present document takes precedence over the definition of the same term, if any, in TR 21.905 [1].</w:t>
      </w:r>
    </w:p>
    <w:p w14:paraId="4B13F754" w14:textId="77777777" w:rsidR="00A36524" w:rsidRDefault="00355467">
      <w:r>
        <w:rPr>
          <w:b/>
        </w:rPr>
        <w:t xml:space="preserve">Active Time: </w:t>
      </w:r>
      <w:r>
        <w:t>Time related to DRX operation, as defined in clause 5.7, during which the MAC entity monitors the PDCCH.</w:t>
      </w:r>
    </w:p>
    <w:p w14:paraId="58042C1A" w14:textId="77777777" w:rsidR="00A36524" w:rsidRDefault="00355467">
      <w:pPr>
        <w:rPr>
          <w:b/>
        </w:rPr>
      </w:pPr>
      <w:r>
        <w:rPr>
          <w:b/>
          <w:bCs/>
          <w:i/>
        </w:rPr>
        <w:t>mac-</w:t>
      </w:r>
      <w:proofErr w:type="spellStart"/>
      <w:r>
        <w:rPr>
          <w:b/>
          <w:bCs/>
          <w:i/>
        </w:rPr>
        <w:t>ContentionResolutionTimer</w:t>
      </w:r>
      <w:proofErr w:type="spellEnd"/>
      <w:r>
        <w:t xml:space="preserve">: Specifies the number of consecutive </w:t>
      </w:r>
      <w:r>
        <w:rPr>
          <w:rFonts w:eastAsia="MS Mincho"/>
        </w:rPr>
        <w:t>subframe</w:t>
      </w:r>
      <w:r>
        <w:t xml:space="preserve">(s) during which the MAC entity shall monitor the PDCCH after </w:t>
      </w:r>
      <w:r>
        <w:rPr>
          <w:lang w:eastAsia="zh-CN"/>
        </w:rPr>
        <w:t xml:space="preserve">Msg3 </w:t>
      </w:r>
      <w:r>
        <w:t>is transmitted.</w:t>
      </w:r>
    </w:p>
    <w:p w14:paraId="331CD270" w14:textId="77777777" w:rsidR="00A36524" w:rsidRDefault="00355467">
      <w:r>
        <w:rPr>
          <w:b/>
        </w:rPr>
        <w:t xml:space="preserve">DRX Cycle: </w:t>
      </w:r>
      <w:r>
        <w:t>Specifies the periodic repetition of the On Duration followed by a possible period of inactivity (see figure 3.1-1 below).</w:t>
      </w:r>
    </w:p>
    <w:p w14:paraId="73C1E93A" w14:textId="77777777" w:rsidR="00A36524" w:rsidRDefault="00355467">
      <w:pPr>
        <w:pStyle w:val="TH"/>
      </w:pPr>
      <w:r>
        <w:object w:dxaOrig="7626" w:dyaOrig="2154" w14:anchorId="5D1B6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08pt" o:ole="">
            <v:imagedata r:id="rId15" o:title=""/>
          </v:shape>
          <o:OLEObject Type="Embed" ProgID="Visio.Drawing.11" ShapeID="_x0000_i1025" DrawAspect="Content" ObjectID="_1818588076" r:id="rId16"/>
        </w:object>
      </w:r>
    </w:p>
    <w:p w14:paraId="6910C992" w14:textId="77777777" w:rsidR="00A36524" w:rsidRDefault="00355467">
      <w:pPr>
        <w:pStyle w:val="TF"/>
      </w:pPr>
      <w:r>
        <w:t>Figure 3.1-1: DRX Cycle</w:t>
      </w:r>
    </w:p>
    <w:p w14:paraId="4411E20C" w14:textId="77777777" w:rsidR="00A36524" w:rsidRDefault="00355467">
      <w:proofErr w:type="spellStart"/>
      <w:r>
        <w:rPr>
          <w:b/>
          <w:i/>
        </w:rPr>
        <w:t>drx-InactivityTimer</w:t>
      </w:r>
      <w:proofErr w:type="spellEnd"/>
      <w:r>
        <w:t xml:space="preserve">: </w:t>
      </w:r>
      <w:r>
        <w:rPr>
          <w:lang w:eastAsia="zh-CN"/>
        </w:rPr>
        <w:t>Except for NB-IoT UEs, BL UEs or UEs in enhanced coverage, it s</w:t>
      </w:r>
      <w:r>
        <w:t xml:space="preserve">pecifies the number of consecutive </w:t>
      </w:r>
      <w:r>
        <w:rPr>
          <w:rFonts w:eastAsia="MS Mincho"/>
        </w:rPr>
        <w:t>PDCCH-subframe</w:t>
      </w:r>
      <w:r>
        <w:t>(s) after the subframe in which a PDCCH indicates an initial UL, DL or SL user data transmission for this MAC entity. For NB-IoT UEs</w:t>
      </w:r>
      <w:r>
        <w:rPr>
          <w:lang w:eastAsia="zh-CN"/>
        </w:rPr>
        <w:t>,</w:t>
      </w:r>
      <w:r>
        <w:t xml:space="preserve"> it specifies the number of consecutive </w:t>
      </w:r>
      <w:r>
        <w:rPr>
          <w:rFonts w:eastAsia="MS Mincho"/>
        </w:rPr>
        <w:t>PDCCH-subframe</w:t>
      </w:r>
      <w:r>
        <w:t>(s), after the subframe in which the HARQ RTT timer or UL HARQ RTT timer expires, or after PDCCH indicates a new UL or DL transmission for one TB when the UE is configured with multiple HARQ processes. For NB-IoT UEs in a non-</w:t>
      </w:r>
      <w:r>
        <w:lastRenderedPageBreak/>
        <w:t>terrestrial network</w:t>
      </w:r>
      <w:r>
        <w:rPr>
          <w:lang w:eastAsia="zh-CN"/>
        </w:rPr>
        <w:t>,</w:t>
      </w:r>
      <w:r>
        <w:t xml:space="preserve"> it specifies the number of consecutive PDCCH-subframe(s) after the subframe as specified in clause 5.7. For BL UEs or UEs in enhanced coverage, it specifies the number of consecutive PDCCH-subframe(s) following the subframe containing the last repetition of the PDCCH reception that indicates an initial UL or DL user data transmission for this MAC entity.</w:t>
      </w:r>
    </w:p>
    <w:p w14:paraId="7D19B16F" w14:textId="77777777" w:rsidR="00A36524" w:rsidRDefault="00355467">
      <w:proofErr w:type="spellStart"/>
      <w:r>
        <w:rPr>
          <w:b/>
          <w:i/>
        </w:rPr>
        <w:t>drx-RetransmissionTimer</w:t>
      </w:r>
      <w:proofErr w:type="spellEnd"/>
      <w:r>
        <w:t xml:space="preserve">: Specifies the maximum number of consecutive </w:t>
      </w:r>
      <w:r>
        <w:rPr>
          <w:rFonts w:eastAsia="MS Mincho"/>
        </w:rPr>
        <w:t>PDCCH-subframe</w:t>
      </w:r>
      <w:r>
        <w:t>(s) until a DL retransmission is received.</w:t>
      </w:r>
    </w:p>
    <w:p w14:paraId="5DB8EFAD" w14:textId="77777777" w:rsidR="00A36524" w:rsidRDefault="00355467">
      <w:proofErr w:type="spellStart"/>
      <w:r>
        <w:rPr>
          <w:b/>
          <w:i/>
        </w:rPr>
        <w:t>drx-RetransmissionTimerShortTTI</w:t>
      </w:r>
      <w:proofErr w:type="spellEnd"/>
      <w:r>
        <w:t>: Specifies the maximum number of consecutive TTI(s) until a DL retransmission is received for HARQ processes scheduled using short TTI.</w:t>
      </w:r>
    </w:p>
    <w:p w14:paraId="1ACF9F89" w14:textId="77777777" w:rsidR="00A36524" w:rsidRDefault="00355467">
      <w:proofErr w:type="spellStart"/>
      <w:r>
        <w:rPr>
          <w:b/>
          <w:i/>
        </w:rPr>
        <w:t>drxShortCycleTimer</w:t>
      </w:r>
      <w:proofErr w:type="spellEnd"/>
      <w:r>
        <w:t>: Specifies the number of consecutive subframe(s) the MAC entity shall follow the Short DRX cycle.</w:t>
      </w:r>
    </w:p>
    <w:p w14:paraId="2A27FC86" w14:textId="77777777" w:rsidR="00A36524" w:rsidRDefault="00355467">
      <w:proofErr w:type="spellStart"/>
      <w:r>
        <w:rPr>
          <w:b/>
          <w:i/>
          <w:iCs/>
        </w:rPr>
        <w:t>drxStartOffset</w:t>
      </w:r>
      <w:proofErr w:type="spellEnd"/>
      <w:r>
        <w:t>: Specifies the subframe where the DRX Cycle starts.</w:t>
      </w:r>
    </w:p>
    <w:p w14:paraId="5B0F6B88" w14:textId="77777777" w:rsidR="00A36524" w:rsidRDefault="00355467">
      <w:proofErr w:type="spellStart"/>
      <w:r>
        <w:rPr>
          <w:b/>
          <w:i/>
        </w:rPr>
        <w:t>drx-ULRetransmissionTimer</w:t>
      </w:r>
      <w:proofErr w:type="spellEnd"/>
      <w:r>
        <w:t xml:space="preserve">: Specifies the maximum number of consecutive </w:t>
      </w:r>
      <w:r>
        <w:rPr>
          <w:rFonts w:eastAsia="MS Mincho"/>
        </w:rPr>
        <w:t>PDCCH-subframe</w:t>
      </w:r>
      <w:r>
        <w:t>(s) until a grant for UL retransmission or the HARQ feedback is received.</w:t>
      </w:r>
    </w:p>
    <w:p w14:paraId="799D2BDA" w14:textId="77777777" w:rsidR="00A36524" w:rsidRDefault="00355467">
      <w:proofErr w:type="spellStart"/>
      <w:r>
        <w:rPr>
          <w:b/>
          <w:i/>
        </w:rPr>
        <w:t>drx-ULRetransmissionTimeShortTTI</w:t>
      </w:r>
      <w:proofErr w:type="spellEnd"/>
      <w:r>
        <w:t>: Specifies the maximum number of consecutive TTI(s) until a grant for UL retransmission is received for HARQ processes scheduled using short TTI.</w:t>
      </w:r>
    </w:p>
    <w:p w14:paraId="1DA8362B" w14:textId="77777777" w:rsidR="00A36524" w:rsidRDefault="00355467">
      <w:pPr>
        <w:rPr>
          <w:b/>
          <w:bCs/>
        </w:rPr>
      </w:pPr>
      <w:r>
        <w:rPr>
          <w:b/>
          <w:bCs/>
        </w:rPr>
        <w:t>Early Data Transmission</w:t>
      </w:r>
      <w:r>
        <w:rPr>
          <w:bCs/>
        </w:rPr>
        <w:t xml:space="preserve">: Allows one uplink data transmission optionally followed by one downlink data transmission during the </w:t>
      </w:r>
      <w:proofErr w:type="gramStart"/>
      <w:r>
        <w:rPr>
          <w:bCs/>
        </w:rPr>
        <w:t>random access</w:t>
      </w:r>
      <w:proofErr w:type="gramEnd"/>
      <w:r>
        <w:rPr>
          <w:bCs/>
        </w:rPr>
        <w:t xml:space="preserve"> procedure as specified in TS 36.300 [20]. The S1 connection is established or resumed upon reception of the uplink data and may be released or suspended along with the transmission of the downlink data. Early data transmission refers to both CP-EDT and UP-EDT.</w:t>
      </w:r>
    </w:p>
    <w:p w14:paraId="5932DFB8" w14:textId="77777777" w:rsidR="00A36524" w:rsidRDefault="00355467">
      <w:r>
        <w:rPr>
          <w:b/>
          <w:bCs/>
        </w:rPr>
        <w:t>HARQ information</w:t>
      </w:r>
      <w:r>
        <w:t xml:space="preserve">: HARQ information </w:t>
      </w:r>
      <w:r>
        <w:rPr>
          <w:lang w:eastAsia="zh-TW"/>
        </w:rPr>
        <w:t xml:space="preserve">for DL-SCH or for UL-SCH transmissions </w:t>
      </w:r>
      <w:r>
        <w:t>consists of New Data Indicator (NDI), Transport Block (TB) size. For DL-SCH transmissions and for asynchronous UL HARQ and for autonomous UL HARQ, the HARQ information also includes HARQ process ID, except for UEs in NB-IoT configured with a single HARQ process for which this information is not present. For UL-SCH transmission the HARQ info</w:t>
      </w:r>
      <w:r>
        <w:rPr>
          <w:lang w:eastAsia="zh-TW"/>
        </w:rPr>
        <w:t>rmation</w:t>
      </w:r>
      <w:r>
        <w:t xml:space="preserve"> also includes Redundancy Version (RV). In case of spatial multiplexing on DL-SCH the HARQ information comprises a set of NDI and TB size for each transport block.</w:t>
      </w:r>
      <w:r>
        <w:rPr>
          <w:lang w:eastAsia="zh-TW"/>
        </w:rPr>
        <w:t xml:space="preserve"> HARQ information for SL-SCH and SL-DCH transmissions consists of TB size only.</w:t>
      </w:r>
    </w:p>
    <w:p w14:paraId="0FBD765B" w14:textId="1D6BD481" w:rsidR="00A36524" w:rsidRPr="00546497" w:rsidRDefault="00355467">
      <w:r>
        <w:rPr>
          <w:b/>
        </w:rPr>
        <w:t>HARQ RTT</w:t>
      </w:r>
      <w:r w:rsidRPr="00687143">
        <w:rPr>
          <w:b/>
        </w:rPr>
        <w:t xml:space="preserve"> Timer</w:t>
      </w:r>
      <w:r w:rsidRPr="00687143">
        <w:t>: This parameter specifies the minimum amount of subframe(s) before a DL assignment for HARQ retransmissio</w:t>
      </w:r>
      <w:r w:rsidRPr="00546497">
        <w:t>n is expected by the MAC entity.</w:t>
      </w:r>
    </w:p>
    <w:p w14:paraId="4A10A149" w14:textId="3FDBAC20" w:rsidR="00470135" w:rsidRDefault="00470135">
      <w:pPr>
        <w:rPr>
          <w:ins w:id="28" w:author="Toyota ITC" w:date="2025-08-13T17:22:00Z"/>
        </w:rPr>
      </w:pPr>
      <w:commentRangeStart w:id="29"/>
      <w:commentRangeStart w:id="30"/>
      <w:ins w:id="31" w:author="Toyota ITC" w:date="2025-08-07T22:34:00Z">
        <w:r w:rsidRPr="00687143">
          <w:rPr>
            <w:rFonts w:hint="eastAsia"/>
            <w:b/>
            <w:bCs/>
          </w:rPr>
          <w:t>IoT</w:t>
        </w:r>
      </w:ins>
      <w:ins w:id="32" w:author="Toyota ITC" w:date="2025-08-12T14:56:00Z">
        <w:r w:rsidRPr="00687143">
          <w:rPr>
            <w:b/>
            <w:bCs/>
          </w:rPr>
          <w:t xml:space="preserve"> </w:t>
        </w:r>
      </w:ins>
      <w:ins w:id="33" w:author="Toyota ITC" w:date="2025-08-07T22:34:00Z">
        <w:r w:rsidRPr="00687143">
          <w:rPr>
            <w:rFonts w:hint="eastAsia"/>
            <w:b/>
            <w:bCs/>
          </w:rPr>
          <w:t>NTN TDD</w:t>
        </w:r>
      </w:ins>
      <w:commentRangeEnd w:id="29"/>
      <w:r w:rsidR="002875A6">
        <w:rPr>
          <w:rStyle w:val="CommentReference"/>
        </w:rPr>
        <w:commentReference w:id="29"/>
      </w:r>
      <w:commentRangeEnd w:id="30"/>
      <w:r w:rsidR="008E7896">
        <w:rPr>
          <w:rStyle w:val="CommentReference"/>
        </w:rPr>
        <w:commentReference w:id="30"/>
      </w:r>
      <w:ins w:id="34" w:author="Toyota ITC" w:date="2025-08-07T22:34:00Z">
        <w:r w:rsidRPr="00687143">
          <w:rPr>
            <w:rFonts w:hint="eastAsia"/>
            <w:b/>
            <w:bCs/>
          </w:rPr>
          <w:t xml:space="preserve">: </w:t>
        </w:r>
      </w:ins>
      <w:ins w:id="35" w:author="Toyota ITC" w:date="2025-09-05T14:01:00Z">
        <w:r w:rsidR="008E7896" w:rsidRPr="008E7896">
          <w:rPr>
            <w:lang w:val="en-US"/>
          </w:rPr>
          <w:t xml:space="preserve">A mode of operation that allows use of NB-IoT FDD channels in TDD fashion, as defined in </w:t>
        </w:r>
      </w:ins>
      <w:ins w:id="36" w:author="Toyota ITC" w:date="2025-09-05T14:02:00Z" w16du:dateUtc="2025-09-05T12:02:00Z">
        <w:r w:rsidR="00945CC8">
          <w:rPr>
            <w:lang w:val="en-US"/>
          </w:rPr>
          <w:t xml:space="preserve">TS </w:t>
        </w:r>
      </w:ins>
      <w:ins w:id="37" w:author="Toyota ITC" w:date="2025-09-05T14:01:00Z">
        <w:r w:rsidR="008E7896" w:rsidRPr="008E7896">
          <w:rPr>
            <w:lang w:val="en-US"/>
          </w:rPr>
          <w:t>36.300</w:t>
        </w:r>
      </w:ins>
      <w:ins w:id="38" w:author="Toyota ITC" w:date="2025-09-05T14:02:00Z" w16du:dateUtc="2025-09-05T12:02:00Z">
        <w:r w:rsidR="00945CC8">
          <w:rPr>
            <w:lang w:val="en-US"/>
          </w:rPr>
          <w:t xml:space="preserve"> </w:t>
        </w:r>
        <w:r w:rsidR="00945CC8" w:rsidRPr="00687143">
          <w:rPr>
            <w:rFonts w:hint="eastAsia"/>
          </w:rPr>
          <w:t>[</w:t>
        </w:r>
        <w:r w:rsidR="00945CC8" w:rsidRPr="00687143">
          <w:t>20</w:t>
        </w:r>
        <w:r w:rsidR="00945CC8" w:rsidRPr="00687143">
          <w:rPr>
            <w:rFonts w:hint="eastAsia"/>
          </w:rPr>
          <w:t>]</w:t>
        </w:r>
      </w:ins>
      <w:ins w:id="39" w:author="Toyota ITC" w:date="2025-09-05T14:01:00Z">
        <w:r w:rsidR="008E7896" w:rsidRPr="008E7896">
          <w:rPr>
            <w:lang w:val="en-US"/>
          </w:rPr>
          <w:t>.</w:t>
        </w:r>
      </w:ins>
    </w:p>
    <w:p w14:paraId="353C8527" w14:textId="02E5EF0E" w:rsidR="00A36524" w:rsidRDefault="00355467">
      <w:pPr>
        <w:rPr>
          <w:b/>
        </w:rPr>
      </w:pPr>
      <w:r w:rsidRPr="00546497">
        <w:rPr>
          <w:b/>
        </w:rPr>
        <w:t>Msg3</w:t>
      </w:r>
      <w:r w:rsidRPr="00546497">
        <w:t>:</w:t>
      </w:r>
      <w:r w:rsidRPr="00546497">
        <w:rPr>
          <w:b/>
        </w:rPr>
        <w:t xml:space="preserve"> </w:t>
      </w:r>
      <w:r w:rsidRPr="00546497">
        <w:t>M</w:t>
      </w:r>
      <w:r w:rsidRPr="00546497">
        <w:rPr>
          <w:lang w:eastAsia="zh-CN"/>
        </w:rPr>
        <w:t>essage transmitted</w:t>
      </w:r>
      <w:r w:rsidRPr="00546497">
        <w:t xml:space="preserve"> on UL-SCH containing a C-RNTI MAC CE or a CCCH S</w:t>
      </w:r>
      <w:r>
        <w:t xml:space="preserve">DU optionally multiplexed with DTCH for the UP-EDT, submitted from upper layer and associated with the UE Contention Resolution Identity, as part of a </w:t>
      </w:r>
      <w:proofErr w:type="gramStart"/>
      <w:r>
        <w:t>random access</w:t>
      </w:r>
      <w:proofErr w:type="gramEnd"/>
      <w:r>
        <w:t xml:space="preserve"> procedure.</w:t>
      </w:r>
    </w:p>
    <w:p w14:paraId="6DCCF478" w14:textId="77777777" w:rsidR="00A36524" w:rsidRDefault="00355467">
      <w:r>
        <w:rPr>
          <w:b/>
        </w:rPr>
        <w:t>NB-IoT</w:t>
      </w:r>
      <w:r>
        <w:t>:</w:t>
      </w:r>
      <w:r>
        <w:rPr>
          <w:b/>
        </w:rPr>
        <w:t xml:space="preserve"> </w:t>
      </w:r>
      <w:r>
        <w:t>NB-IoT allows access to network services via E-UTRA with a channel bandwidth limited to 200 kHz.</w:t>
      </w:r>
    </w:p>
    <w:p w14:paraId="6ACB8E7C" w14:textId="77777777" w:rsidR="00A36524" w:rsidRDefault="00355467">
      <w:pPr>
        <w:rPr>
          <w:b/>
        </w:rPr>
      </w:pPr>
      <w:r>
        <w:rPr>
          <w:b/>
        </w:rPr>
        <w:t>NB-IoT UE</w:t>
      </w:r>
      <w:r>
        <w:t>:</w:t>
      </w:r>
      <w:r>
        <w:rPr>
          <w:b/>
        </w:rPr>
        <w:t xml:space="preserve"> </w:t>
      </w:r>
      <w:r>
        <w:t>A UE that uses NB-IoT.</w:t>
      </w:r>
    </w:p>
    <w:p w14:paraId="1E2624A8" w14:textId="77777777" w:rsidR="00A36524" w:rsidRDefault="00355467">
      <w:pPr>
        <w:rPr>
          <w:b/>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38591361" w14:textId="77777777" w:rsidR="00A36524" w:rsidRDefault="00355467">
      <w:pPr>
        <w:rPr>
          <w:b/>
        </w:rPr>
      </w:pPr>
      <w:r>
        <w:rPr>
          <w:b/>
          <w:bCs/>
        </w:rPr>
        <w:t>Non-terrestrial networks:</w:t>
      </w:r>
      <w:r>
        <w:rPr>
          <w:bCs/>
        </w:rPr>
        <w:t xml:space="preserve"> </w:t>
      </w:r>
      <w:r>
        <w:t xml:space="preserve">An E-UTRAN consisting of </w:t>
      </w:r>
      <w:proofErr w:type="spellStart"/>
      <w:r>
        <w:t>eNBs</w:t>
      </w:r>
      <w:proofErr w:type="spellEnd"/>
      <w:r>
        <w:t>, which provide non-terrestrial LTE access to UEs by means of an NTN payload embarked on a space-borne NTN vehicle and an NTN Gateway.</w:t>
      </w:r>
    </w:p>
    <w:p w14:paraId="4C493B9E" w14:textId="77777777" w:rsidR="00A36524" w:rsidRDefault="00355467">
      <w:proofErr w:type="spellStart"/>
      <w:r>
        <w:rPr>
          <w:b/>
          <w:i/>
        </w:rPr>
        <w:t>onDurationTimer</w:t>
      </w:r>
      <w:proofErr w:type="spellEnd"/>
      <w:r>
        <w:t xml:space="preserve">: Specifies the number of consecutive </w:t>
      </w:r>
      <w:r>
        <w:rPr>
          <w:rFonts w:eastAsia="MS Mincho"/>
        </w:rPr>
        <w:t>PDCCH-subframe</w:t>
      </w:r>
      <w:r>
        <w:t>(s) at the beginning of a DRX Cycle.</w:t>
      </w:r>
    </w:p>
    <w:p w14:paraId="3080EBE6" w14:textId="77777777" w:rsidR="00A36524" w:rsidRDefault="00355467">
      <w:r>
        <w:rPr>
          <w:b/>
        </w:rPr>
        <w:t>PDCCH:</w:t>
      </w:r>
      <w:r>
        <w:t xml:space="preserve"> Refers to the PDCCH (see TS 36.211 [7]), EPDCCH (in subframes when configured), MPDCCH (see TS 36.213 [2]), for an RN with R-PDCCH configured and not suspended, to the R-PDCCH, for NB-IoT to the NPDCCH or for short TTI to SPDCCH.</w:t>
      </w:r>
    </w:p>
    <w:p w14:paraId="5CE6A5AD" w14:textId="77777777" w:rsidR="00A36524" w:rsidRDefault="00355467">
      <w:r>
        <w:rPr>
          <w:b/>
        </w:rPr>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t>
      </w:r>
      <w:r>
        <w:lastRenderedPageBreak/>
        <w:t xml:space="preserve">with </w:t>
      </w:r>
      <w:proofErr w:type="spellStart"/>
      <w:r>
        <w:rPr>
          <w:i/>
        </w:rPr>
        <w:t>npdcch</w:t>
      </w:r>
      <w:proofErr w:type="spellEnd"/>
      <w:r>
        <w:rPr>
          <w:i/>
        </w:rPr>
        <w:t>-</w:t>
      </w:r>
      <w:proofErr w:type="spellStart"/>
      <w:r>
        <w:rPr>
          <w:i/>
        </w:rPr>
        <w:t>NumRepetitions</w:t>
      </w:r>
      <w:proofErr w:type="spellEnd"/>
      <w:r>
        <w:rPr>
          <w:i/>
        </w:rPr>
        <w:t>-RA</w:t>
      </w:r>
      <w:r>
        <w:t xml:space="preserve"> when the UE uses the common search space or by </w:t>
      </w:r>
      <w:proofErr w:type="spellStart"/>
      <w:r>
        <w:rPr>
          <w:i/>
        </w:rPr>
        <w:t>npdcch-NumRepetitions</w:t>
      </w:r>
      <w:proofErr w:type="spellEnd"/>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176ED6DC" w14:textId="77777777" w:rsidR="00A36524" w:rsidRDefault="00355467">
      <w:r>
        <w:rPr>
          <w:rFonts w:eastAsia="MS Mincho"/>
          <w:b/>
        </w:rPr>
        <w:t>PDCCH-subframe:</w:t>
      </w:r>
      <w:r>
        <w:t xml:space="preserve"> Refers to a subframe with PDCCH. This represents the union over PDCCH-subframes for all serving cells excluding cells configured with </w:t>
      </w:r>
      <w:r>
        <w:rPr>
          <w:rFonts w:eastAsia="MS Mincho"/>
        </w:rPr>
        <w:t>cross carrier scheduling for both uplink and downlink, as specified in TS 36.331 [8]</w:t>
      </w:r>
      <w:r>
        <w:rPr>
          <w:lang w:eastAsia="zh-CN"/>
        </w:rPr>
        <w:t xml:space="preserve">; except if the UE is not capable of </w:t>
      </w:r>
      <w:r>
        <w:t>simultaneous reception and transmission in the aggregated cells</w:t>
      </w:r>
      <w:r>
        <w:rPr>
          <w:lang w:eastAsia="zh-CN"/>
        </w:rPr>
        <w:t xml:space="preserve"> where this instead </w:t>
      </w:r>
      <w:r>
        <w:rPr>
          <w:rFonts w:eastAsia="Malgun Gothic"/>
        </w:rPr>
        <w:t xml:space="preserve">represents the PDCCH-subframes of the </w:t>
      </w:r>
      <w:proofErr w:type="spellStart"/>
      <w:r>
        <w:rPr>
          <w:rFonts w:eastAsia="Malgun Gothic"/>
        </w:rPr>
        <w:t>SpCell</w:t>
      </w:r>
      <w:proofErr w:type="spellEnd"/>
      <w:r>
        <w:t>.</w:t>
      </w:r>
    </w:p>
    <w:p w14:paraId="123576D0" w14:textId="77777777" w:rsidR="00A36524" w:rsidRDefault="00355467">
      <w:pPr>
        <w:pStyle w:val="B1"/>
      </w:pPr>
      <w:r>
        <w:t>-</w:t>
      </w:r>
      <w:r>
        <w:tab/>
        <w:t>For FDD serving cells, all subframes represent PDCCH-subframes, unless specified otherwise in this clause.</w:t>
      </w:r>
    </w:p>
    <w:p w14:paraId="281BC894" w14:textId="2ED5DF1A" w:rsidR="00A36524" w:rsidRDefault="00355467">
      <w:pPr>
        <w:pStyle w:val="B1"/>
      </w:pPr>
      <w:r>
        <w:t>-</w:t>
      </w:r>
      <w:r>
        <w:tab/>
        <w:t xml:space="preserve">For TDD serving cells, all downlink subframes and subframes including </w:t>
      </w:r>
      <w:proofErr w:type="spellStart"/>
      <w:r>
        <w:t>DwPTS</w:t>
      </w:r>
      <w:proofErr w:type="spellEnd"/>
      <w:r>
        <w:t xml:space="preserve"> of the TDD UL/DL configuration indicated by </w:t>
      </w:r>
      <w:proofErr w:type="spellStart"/>
      <w:r>
        <w:rPr>
          <w:i/>
        </w:rPr>
        <w:t>tdd</w:t>
      </w:r>
      <w:proofErr w:type="spellEnd"/>
      <w:r>
        <w:rPr>
          <w:i/>
        </w:rPr>
        <w:t>-Config</w:t>
      </w:r>
      <w:r>
        <w:t>, as specified in TS 36.331 [8] of the cell represent PDCCH-subframes, unless specified otherwise in this clause.</w:t>
      </w:r>
    </w:p>
    <w:p w14:paraId="0D8DFC06" w14:textId="77777777" w:rsidR="00A36524" w:rsidRDefault="00355467">
      <w:pPr>
        <w:pStyle w:val="B1"/>
      </w:pPr>
      <w:r>
        <w:t>-</w:t>
      </w:r>
      <w:r>
        <w:tab/>
        <w:t>For serving cells operating according to Frame structure Type 3, all subframes represent PDCCH-subframes.</w:t>
      </w:r>
    </w:p>
    <w:p w14:paraId="1B0A38B1" w14:textId="77777777" w:rsidR="00A36524" w:rsidRDefault="00355467">
      <w:pPr>
        <w:pStyle w:val="B1"/>
        <w:rPr>
          <w:lang w:eastAsia="zh-CN"/>
        </w:rPr>
      </w:pPr>
      <w:r>
        <w:t>-</w:t>
      </w:r>
      <w:r>
        <w:tab/>
        <w:t>For RNs with an RN subframe configuration configured and not suspended, in its communication with the E-UTRAN, all downlink subframes configured for RN communication with the E-UTRAN represent PDCCH-subframes.</w:t>
      </w:r>
    </w:p>
    <w:p w14:paraId="722D8EDA" w14:textId="77777777" w:rsidR="00A36524" w:rsidRDefault="00355467">
      <w:pPr>
        <w:pStyle w:val="B1"/>
        <w:rPr>
          <w:lang w:eastAsia="zh-CN"/>
        </w:rPr>
      </w:pPr>
      <w:r>
        <w:rPr>
          <w:lang w:eastAsia="zh-CN"/>
        </w:rPr>
        <w:t>-</w:t>
      </w:r>
      <w:r>
        <w:rPr>
          <w:lang w:eastAsia="zh-CN"/>
        </w:rPr>
        <w:tab/>
        <w:t xml:space="preserve">For SC-PTM reception on an FDD cell, all </w:t>
      </w:r>
      <w:r>
        <w:t>subframes</w:t>
      </w:r>
      <w:r>
        <w:rPr>
          <w:lang w:eastAsia="zh-CN"/>
        </w:rPr>
        <w:t xml:space="preserve"> except MBSFN subframes represent PDCCH-subframes, unless specified otherwise in this clause.</w:t>
      </w:r>
    </w:p>
    <w:p w14:paraId="58CE3602" w14:textId="66B6B90A" w:rsidR="00A36524" w:rsidRDefault="00355467">
      <w:pPr>
        <w:pStyle w:val="B1"/>
        <w:rPr>
          <w:lang w:eastAsia="zh-CN"/>
        </w:rPr>
      </w:pPr>
      <w:r>
        <w:rPr>
          <w:lang w:eastAsia="zh-CN"/>
        </w:rPr>
        <w:t>-</w:t>
      </w:r>
      <w:r>
        <w:rPr>
          <w:lang w:eastAsia="zh-CN"/>
        </w:rPr>
        <w:tab/>
        <w:t xml:space="preserve">For SC-PTM reception on a TDD cell, all </w:t>
      </w:r>
      <w:r>
        <w:t>downlink subframes</w:t>
      </w:r>
      <w:r>
        <w:rPr>
          <w:lang w:eastAsia="zh-CN"/>
        </w:rPr>
        <w:t xml:space="preserve"> and </w:t>
      </w:r>
      <w:r>
        <w:rPr>
          <w:rFonts w:eastAsia="MS Mincho"/>
        </w:rPr>
        <w:t xml:space="preserve">subframes including </w:t>
      </w:r>
      <w:proofErr w:type="spellStart"/>
      <w:r>
        <w:rPr>
          <w:rFonts w:eastAsia="MS Mincho"/>
        </w:rPr>
        <w:t>DwPTS</w:t>
      </w:r>
      <w:proofErr w:type="spellEnd"/>
      <w:r>
        <w:rPr>
          <w:rFonts w:eastAsia="MS Mincho"/>
        </w:rPr>
        <w:t xml:space="preserve"> </w:t>
      </w:r>
      <w:r>
        <w:t>of the TDD UL/DL configuration indicated</w:t>
      </w:r>
      <w:r>
        <w:rPr>
          <w:rFonts w:eastAsia="MS Mincho"/>
        </w:rPr>
        <w:t xml:space="preserve"> </w:t>
      </w:r>
      <w:r>
        <w:t xml:space="preserve">by </w:t>
      </w:r>
      <w:proofErr w:type="spellStart"/>
      <w:r>
        <w:rPr>
          <w:i/>
        </w:rPr>
        <w:t>tdd</w:t>
      </w:r>
      <w:proofErr w:type="spellEnd"/>
      <w:r>
        <w:rPr>
          <w:i/>
        </w:rPr>
        <w:t>-Config</w:t>
      </w:r>
      <w:r>
        <w:rPr>
          <w:rFonts w:eastAsia="MS Mincho"/>
        </w:rPr>
        <w:t>, as specified in TS 36.331 </w:t>
      </w:r>
      <w:r>
        <w:t>[8]</w:t>
      </w:r>
      <w:r>
        <w:rPr>
          <w:lang w:eastAsia="zh-CN"/>
        </w:rPr>
        <w:t xml:space="preserve"> of the cell except MBSFN subframes represent PDCCH-subframes, unless specified otherwise in this clause.</w:t>
      </w:r>
    </w:p>
    <w:p w14:paraId="255C3474" w14:textId="77777777" w:rsidR="00A36524" w:rsidRDefault="00355467">
      <w:pPr>
        <w:pStyle w:val="B1"/>
        <w:rPr>
          <w:b/>
          <w:bCs/>
        </w:rPr>
      </w:pPr>
      <w:r>
        <w:rPr>
          <w:lang w:eastAsia="zh-CN"/>
        </w:rPr>
        <w:t>-</w:t>
      </w:r>
      <w:r>
        <w:rPr>
          <w:lang w:eastAsia="zh-CN"/>
        </w:rPr>
        <w:tab/>
        <w:t>For BL UE or UE in enhanced coverage, all subframes in which the UE is required to monitor MPDCCH represent PDCCH-subframes among all valid subframes regardless of whether the subframe is dropped, see clause 9.1.5 of TS 36.213 [2].</w:t>
      </w:r>
    </w:p>
    <w:p w14:paraId="5D54FDD0" w14:textId="77777777" w:rsidR="00A36524" w:rsidRDefault="00355467">
      <w:pPr>
        <w:pStyle w:val="B1"/>
        <w:rPr>
          <w:b/>
          <w:bCs/>
        </w:rPr>
      </w:pPr>
      <w:r>
        <w:t>-</w:t>
      </w:r>
      <w:r>
        <w:tab/>
        <w:t>For NB-IoT UE, all subframes that are part of the NPDCCH search space represent PDCCH-subframes among all NB-IoT downlink subframes, including those which the UE is not required to monitor as specified in clause 16.6 of TS 36.213 [2].</w:t>
      </w:r>
    </w:p>
    <w:p w14:paraId="2099ECD5" w14:textId="77777777" w:rsidR="00A36524" w:rsidRDefault="00355467">
      <w:r>
        <w:rPr>
          <w:b/>
          <w:bCs/>
        </w:rPr>
        <w:t>P</w:t>
      </w:r>
      <w:r>
        <w:rPr>
          <w:b/>
          <w:bCs/>
          <w:lang w:eastAsia="zh-CN"/>
        </w:rPr>
        <w:t>DSCH</w:t>
      </w:r>
      <w:r>
        <w:rPr>
          <w:bCs/>
        </w:rPr>
        <w:t>: Refers to subframe-</w:t>
      </w:r>
      <w:r>
        <w:rPr>
          <w:bCs/>
          <w:lang w:eastAsia="zh-CN"/>
        </w:rPr>
        <w:t>PDSCH/slot-PDSCH/</w:t>
      </w:r>
      <w:proofErr w:type="spellStart"/>
      <w:r>
        <w:rPr>
          <w:bCs/>
          <w:lang w:eastAsia="zh-CN"/>
        </w:rPr>
        <w:t>subslot</w:t>
      </w:r>
      <w:proofErr w:type="spellEnd"/>
      <w:r>
        <w:rPr>
          <w:bCs/>
          <w:lang w:eastAsia="zh-CN"/>
        </w:rPr>
        <w:t>-PDSCH</w:t>
      </w:r>
      <w:r>
        <w:rPr>
          <w:bCs/>
        </w:rPr>
        <w:t xml:space="preserve"> or for NB-IoT to </w:t>
      </w:r>
      <w:r>
        <w:rPr>
          <w:bCs/>
          <w:lang w:eastAsia="zh-CN"/>
        </w:rPr>
        <w:t>NPDSCH</w:t>
      </w:r>
      <w:r>
        <w:rPr>
          <w:bCs/>
        </w:rPr>
        <w:t>.</w:t>
      </w:r>
    </w:p>
    <w:p w14:paraId="4C1F59CE" w14:textId="77777777" w:rsidR="00A36524" w:rsidRDefault="00355467">
      <w:r>
        <w:rPr>
          <w:b/>
          <w:bCs/>
        </w:rPr>
        <w:t>PRACH</w:t>
      </w:r>
      <w:r>
        <w:rPr>
          <w:bCs/>
        </w:rPr>
        <w:t>: Refers to PRACH or for NB-IoT to NPRACH.</w:t>
      </w:r>
    </w:p>
    <w:p w14:paraId="69C5170A" w14:textId="77777777" w:rsidR="00A36524" w:rsidRDefault="00355467">
      <w:pPr>
        <w:rPr>
          <w:lang w:eastAsia="zh-CN"/>
        </w:rPr>
      </w:pPr>
      <w:r>
        <w:rPr>
          <w:b/>
          <w:bCs/>
          <w:lang w:eastAsia="zh-CN"/>
        </w:rPr>
        <w:t>PRACH Resource Index</w:t>
      </w:r>
      <w:r>
        <w:rPr>
          <w:lang w:eastAsia="zh-CN"/>
        </w:rPr>
        <w:t>: The index of a PRACH within a system frame, see TS 36.211 [7]</w:t>
      </w:r>
    </w:p>
    <w:p w14:paraId="4911C75B" w14:textId="77777777" w:rsidR="00A36524" w:rsidRDefault="00355467">
      <w:r>
        <w:rPr>
          <w:b/>
        </w:rPr>
        <w:t>Primary Timing Advance Group:</w:t>
      </w:r>
      <w:r>
        <w:t xml:space="preserve"> Timing Advance Group containing the </w:t>
      </w:r>
      <w:proofErr w:type="spellStart"/>
      <w:r>
        <w:t>SpCell</w:t>
      </w:r>
      <w:proofErr w:type="spellEnd"/>
      <w:r>
        <w:t>.</w:t>
      </w:r>
    </w:p>
    <w:p w14:paraId="4A19B70A" w14:textId="77777777" w:rsidR="00A36524" w:rsidRDefault="00355467">
      <w:pPr>
        <w:rPr>
          <w:lang w:eastAsia="zh-CN"/>
        </w:rPr>
      </w:pPr>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PUCCH/SPUCCH.</w:t>
      </w:r>
    </w:p>
    <w:p w14:paraId="578FD153" w14:textId="77777777" w:rsidR="00A36524" w:rsidRDefault="00355467">
      <w:r>
        <w:rPr>
          <w:b/>
          <w:bCs/>
        </w:rPr>
        <w:t>P</w:t>
      </w:r>
      <w:r>
        <w:rPr>
          <w:b/>
          <w:bCs/>
          <w:lang w:eastAsia="zh-CN"/>
        </w:rPr>
        <w:t>USCH</w:t>
      </w:r>
      <w:r>
        <w:rPr>
          <w:bCs/>
        </w:rPr>
        <w:t>: Refers to subframe-</w:t>
      </w:r>
      <w:r>
        <w:rPr>
          <w:bCs/>
          <w:lang w:eastAsia="zh-CN"/>
        </w:rPr>
        <w:t>PUSCH/slot-PUSCH/</w:t>
      </w:r>
      <w:proofErr w:type="spellStart"/>
      <w:r>
        <w:rPr>
          <w:bCs/>
          <w:lang w:eastAsia="zh-CN"/>
        </w:rPr>
        <w:t>subslot</w:t>
      </w:r>
      <w:proofErr w:type="spellEnd"/>
      <w:r>
        <w:rPr>
          <w:bCs/>
          <w:lang w:eastAsia="zh-CN"/>
        </w:rPr>
        <w:t>-PUSCH</w:t>
      </w:r>
      <w:r>
        <w:rPr>
          <w:bCs/>
        </w:rPr>
        <w:t xml:space="preserve"> or for NB-IoT to </w:t>
      </w:r>
      <w:r>
        <w:rPr>
          <w:bCs/>
          <w:lang w:eastAsia="zh-CN"/>
        </w:rPr>
        <w:t>NPUSCH</w:t>
      </w:r>
      <w:r>
        <w:rPr>
          <w:bCs/>
        </w:rPr>
        <w:t>.</w:t>
      </w:r>
    </w:p>
    <w:p w14:paraId="435E3D10" w14:textId="77777777" w:rsidR="00A36524" w:rsidRDefault="00355467">
      <w:pPr>
        <w:rPr>
          <w:rFonts w:eastAsia="MS Mincho"/>
          <w:b/>
        </w:rPr>
      </w:pPr>
      <w:proofErr w:type="spellStart"/>
      <w:r>
        <w:rPr>
          <w:b/>
          <w:i/>
        </w:rPr>
        <w:t>ra</w:t>
      </w:r>
      <w:proofErr w:type="spellEnd"/>
      <w:r>
        <w:rPr>
          <w:b/>
          <w:i/>
        </w:rPr>
        <w:t>-PRACH-</w:t>
      </w:r>
      <w:proofErr w:type="spellStart"/>
      <w:r>
        <w:rPr>
          <w:b/>
          <w:i/>
        </w:rPr>
        <w:t>MaskIndex</w:t>
      </w:r>
      <w:proofErr w:type="spellEnd"/>
      <w:r>
        <w:rPr>
          <w:b/>
          <w:bCs/>
          <w:lang w:eastAsia="zh-CN"/>
        </w:rPr>
        <w:t>:</w:t>
      </w:r>
      <w:r>
        <w:rPr>
          <w:lang w:eastAsia="zh-CN"/>
        </w:rPr>
        <w:t xml:space="preserve"> Defines in which PRACHs within a system frame the MAC entity can transmit a </w:t>
      </w:r>
      <w:proofErr w:type="gramStart"/>
      <w:r>
        <w:rPr>
          <w:lang w:eastAsia="zh-CN"/>
        </w:rPr>
        <w:t>Random Access</w:t>
      </w:r>
      <w:proofErr w:type="gramEnd"/>
      <w:r>
        <w:rPr>
          <w:lang w:eastAsia="zh-CN"/>
        </w:rPr>
        <w:t xml:space="preserve"> Preamble (see clause 7.3).</w:t>
      </w:r>
    </w:p>
    <w:p w14:paraId="11595579" w14:textId="77777777" w:rsidR="00A36524" w:rsidRDefault="00355467">
      <w:pPr>
        <w:rPr>
          <w:rFonts w:eastAsia="MS Mincho"/>
        </w:rPr>
      </w:pPr>
      <w:r>
        <w:rPr>
          <w:rFonts w:eastAsia="MS Mincho"/>
          <w:b/>
        </w:rPr>
        <w:t>RA-RNTI:</w:t>
      </w:r>
      <w:r>
        <w:rPr>
          <w:rFonts w:eastAsia="MS Mincho"/>
        </w:rPr>
        <w:t xml:space="preserve"> The Random Access RNTI is used on the PDCCH when Random Access Response messages are transmitted. It unambiguously identifies which time-frequency resource was utilized by the MAC entity to transmit the </w:t>
      </w:r>
      <w:proofErr w:type="gramStart"/>
      <w:r>
        <w:rPr>
          <w:rFonts w:eastAsia="MS Mincho"/>
        </w:rPr>
        <w:t>Random Access</w:t>
      </w:r>
      <w:proofErr w:type="gramEnd"/>
      <w:r>
        <w:rPr>
          <w:rFonts w:eastAsia="MS Mincho"/>
        </w:rPr>
        <w:t xml:space="preserve"> preamble.</w:t>
      </w:r>
    </w:p>
    <w:p w14:paraId="2B30C173" w14:textId="77777777" w:rsidR="00A36524" w:rsidRDefault="00355467">
      <w:pPr>
        <w:rPr>
          <w:rFonts w:eastAsia="MS Mincho"/>
        </w:rPr>
      </w:pPr>
      <w:r>
        <w:rPr>
          <w:rFonts w:eastAsia="MS Mincho"/>
          <w:b/>
        </w:rPr>
        <w:t xml:space="preserve">SC Period: </w:t>
      </w:r>
      <w:proofErr w:type="spellStart"/>
      <w:r>
        <w:rPr>
          <w:rFonts w:eastAsia="MS Mincho"/>
        </w:rPr>
        <w:t>Sidelink</w:t>
      </w:r>
      <w:proofErr w:type="spellEnd"/>
      <w:r>
        <w:rPr>
          <w:rFonts w:eastAsia="MS Mincho"/>
        </w:rPr>
        <w:t xml:space="preserve"> Control period, the time period consisting of transmission of SCI</w:t>
      </w:r>
      <w:r>
        <w:t xml:space="preserve"> </w:t>
      </w:r>
      <w:r>
        <w:rPr>
          <w:rFonts w:eastAsia="MS Mincho"/>
        </w:rPr>
        <w:t>and its</w:t>
      </w:r>
      <w:r>
        <w:t xml:space="preserve"> </w:t>
      </w:r>
      <w:r>
        <w:rPr>
          <w:rFonts w:eastAsia="MS Mincho"/>
        </w:rPr>
        <w:t>corresponding data.</w:t>
      </w:r>
    </w:p>
    <w:p w14:paraId="087A1EFD" w14:textId="77777777" w:rsidR="00A36524" w:rsidRDefault="00355467">
      <w:r>
        <w:rPr>
          <w:b/>
        </w:rPr>
        <w:t xml:space="preserve">SCI: </w:t>
      </w:r>
      <w:r>
        <w:t xml:space="preserve">The </w:t>
      </w:r>
      <w:proofErr w:type="spellStart"/>
      <w:r>
        <w:t>Sidelink</w:t>
      </w:r>
      <w:proofErr w:type="spellEnd"/>
      <w:r>
        <w:t xml:space="preserve"> Control Information contains the </w:t>
      </w:r>
      <w:proofErr w:type="spellStart"/>
      <w:r>
        <w:t>sidelink</w:t>
      </w:r>
      <w:proofErr w:type="spellEnd"/>
      <w:r>
        <w:t xml:space="preserve"> scheduling information such as resource block assignment, modulation and coding scheme, Group Destination ID (for </w:t>
      </w:r>
      <w:proofErr w:type="spellStart"/>
      <w:r>
        <w:t>sidelink</w:t>
      </w:r>
      <w:proofErr w:type="spellEnd"/>
      <w:r>
        <w:t xml:space="preserve"> communication) and PPPP (for V2X </w:t>
      </w:r>
      <w:proofErr w:type="spellStart"/>
      <w:r>
        <w:t>sidelink</w:t>
      </w:r>
      <w:proofErr w:type="spellEnd"/>
      <w:r>
        <w:t xml:space="preserve"> communication), see TS 36.212 [5].</w:t>
      </w:r>
    </w:p>
    <w:p w14:paraId="50038AF4" w14:textId="77777777" w:rsidR="00A36524" w:rsidRDefault="00355467">
      <w:pPr>
        <w:rPr>
          <w:rFonts w:eastAsia="MS Mincho"/>
        </w:rPr>
      </w:pPr>
      <w:r>
        <w:rPr>
          <w:b/>
        </w:rPr>
        <w:t>Secondary Timing Advance Group:</w:t>
      </w:r>
      <w:r>
        <w:t xml:space="preserve"> Timing Advance Group not containing the </w:t>
      </w:r>
      <w:proofErr w:type="spellStart"/>
      <w:r>
        <w:t>SpCell</w:t>
      </w:r>
      <w:proofErr w:type="spellEnd"/>
      <w:r>
        <w:t>. A Secondary Timing Advance Group contains at least one Serving Cell with an UL configured.</w:t>
      </w:r>
    </w:p>
    <w:p w14:paraId="32F69193" w14:textId="77777777" w:rsidR="00A36524" w:rsidRDefault="00355467">
      <w:pPr>
        <w:rPr>
          <w:rFonts w:eastAsia="MS Mincho"/>
        </w:rPr>
      </w:pPr>
      <w:r>
        <w:rPr>
          <w:rFonts w:eastAsia="MS Mincho"/>
          <w:b/>
          <w:bCs/>
        </w:rPr>
        <w:lastRenderedPageBreak/>
        <w:t xml:space="preserve">Serving Cell: </w:t>
      </w:r>
      <w:r>
        <w:rPr>
          <w:rFonts w:eastAsia="MS Mincho"/>
        </w:rPr>
        <w:t>A Primary or a Secondary Cell, see TS 36.331 [8].</w:t>
      </w:r>
    </w:p>
    <w:p w14:paraId="383B9390" w14:textId="77777777" w:rsidR="00A36524" w:rsidRDefault="00355467">
      <w:pPr>
        <w:rPr>
          <w:rFonts w:eastAsia="MS Mincho"/>
        </w:rPr>
      </w:pPr>
      <w:r>
        <w:rPr>
          <w:rFonts w:eastAsia="MS Mincho"/>
          <w:b/>
        </w:rPr>
        <w:t>Short Processing Time</w:t>
      </w:r>
      <w:r>
        <w:rPr>
          <w:rFonts w:eastAsia="MS Mincho"/>
        </w:rPr>
        <w:t xml:space="preserve">: For 1 </w:t>
      </w:r>
      <w:proofErr w:type="spellStart"/>
      <w:r>
        <w:rPr>
          <w:rFonts w:eastAsia="MS Mincho"/>
        </w:rPr>
        <w:t>ms</w:t>
      </w:r>
      <w:proofErr w:type="spellEnd"/>
      <w:r>
        <w:rPr>
          <w:rFonts w:eastAsia="MS Mincho"/>
        </w:rPr>
        <w:t xml:space="preserve"> TTI length, the operation with short processing time in UL data transmission and DL data reception.</w:t>
      </w:r>
    </w:p>
    <w:p w14:paraId="6098C903" w14:textId="77777777" w:rsidR="00A36524" w:rsidRDefault="00355467">
      <w:pPr>
        <w:rPr>
          <w:rFonts w:eastAsia="MS Mincho"/>
          <w:b/>
        </w:rPr>
      </w:pPr>
      <w:r>
        <w:rPr>
          <w:rFonts w:eastAsia="MS Mincho"/>
          <w:b/>
        </w:rPr>
        <w:t>Short TTI</w:t>
      </w:r>
      <w:r>
        <w:rPr>
          <w:rFonts w:eastAsia="MS Mincho"/>
        </w:rPr>
        <w:t xml:space="preserve">: TTI length based on a slot or a </w:t>
      </w:r>
      <w:proofErr w:type="spellStart"/>
      <w:r>
        <w:rPr>
          <w:rFonts w:eastAsia="MS Mincho"/>
        </w:rPr>
        <w:t>subslot</w:t>
      </w:r>
      <w:proofErr w:type="spellEnd"/>
      <w:r>
        <w:rPr>
          <w:rFonts w:eastAsia="MS Mincho"/>
        </w:rPr>
        <w:t>.</w:t>
      </w:r>
    </w:p>
    <w:p w14:paraId="60645FCA" w14:textId="77777777" w:rsidR="00A36524" w:rsidRDefault="00355467">
      <w:proofErr w:type="spellStart"/>
      <w:r>
        <w:rPr>
          <w:rFonts w:eastAsia="MS Mincho"/>
          <w:b/>
        </w:rPr>
        <w:t>Sidelink</w:t>
      </w:r>
      <w:proofErr w:type="spellEnd"/>
      <w:r>
        <w:rPr>
          <w:rFonts w:eastAsia="MS Mincho"/>
          <w:b/>
        </w:rPr>
        <w:t>:</w:t>
      </w:r>
      <w:r>
        <w:rPr>
          <w:rFonts w:eastAsia="MS Mincho"/>
        </w:rPr>
        <w:t xml:space="preserve"> </w:t>
      </w:r>
      <w:r>
        <w:t xml:space="preserve">UE to UE interface for </w:t>
      </w:r>
      <w:proofErr w:type="spellStart"/>
      <w:r>
        <w:rPr>
          <w:lang w:eastAsia="zh-CN"/>
        </w:rPr>
        <w:t>sidelink</w:t>
      </w:r>
      <w:proofErr w:type="spellEnd"/>
      <w:r>
        <w:t xml:space="preserve"> communication, </w:t>
      </w:r>
      <w:proofErr w:type="spellStart"/>
      <w:r>
        <w:rPr>
          <w:lang w:eastAsia="zh-CN"/>
        </w:rPr>
        <w:t>sidelink</w:t>
      </w:r>
      <w:proofErr w:type="spellEnd"/>
      <w:r>
        <w:t xml:space="preserve"> discovery and V2X </w:t>
      </w:r>
      <w:proofErr w:type="spellStart"/>
      <w:r>
        <w:t>sidelink</w:t>
      </w:r>
      <w:proofErr w:type="spellEnd"/>
      <w:r>
        <w:t xml:space="preserve"> communication. </w:t>
      </w:r>
      <w:r>
        <w:rPr>
          <w:lang w:eastAsia="zh-CN"/>
        </w:rPr>
        <w:t xml:space="preserve">The </w:t>
      </w:r>
      <w:proofErr w:type="spellStart"/>
      <w:r>
        <w:rPr>
          <w:lang w:eastAsia="zh-CN"/>
        </w:rPr>
        <w:t>sidelink</w:t>
      </w:r>
      <w:proofErr w:type="spellEnd"/>
      <w:r>
        <w:t xml:space="preserve"> corresponds to the PC5 interface</w:t>
      </w:r>
      <w:r>
        <w:rPr>
          <w:lang w:eastAsia="zh-CN"/>
        </w:rPr>
        <w:t xml:space="preserve"> as defined in TS 23.303 [13] </w:t>
      </w:r>
      <w:r>
        <w:t xml:space="preserve">for </w:t>
      </w:r>
      <w:proofErr w:type="spellStart"/>
      <w:r>
        <w:t>sidelink</w:t>
      </w:r>
      <w:proofErr w:type="spellEnd"/>
      <w:r>
        <w:t xml:space="preserve"> communication and </w:t>
      </w:r>
      <w:proofErr w:type="spellStart"/>
      <w:r>
        <w:t>sidelink</w:t>
      </w:r>
      <w:proofErr w:type="spellEnd"/>
      <w:r>
        <w:t xml:space="preserve"> discovery, and </w:t>
      </w:r>
      <w:r>
        <w:rPr>
          <w:lang w:eastAsia="zh-CN"/>
        </w:rPr>
        <w:t xml:space="preserve">as defined in TS 23.285 [14] for </w:t>
      </w:r>
      <w:r>
        <w:t xml:space="preserve">V2X </w:t>
      </w:r>
      <w:proofErr w:type="spellStart"/>
      <w:r>
        <w:t>sidelink</w:t>
      </w:r>
      <w:proofErr w:type="spellEnd"/>
      <w:r>
        <w:t xml:space="preserve"> communication.</w:t>
      </w:r>
    </w:p>
    <w:p w14:paraId="05BBB136" w14:textId="77777777" w:rsidR="00A36524" w:rsidRDefault="00355467">
      <w:proofErr w:type="spellStart"/>
      <w:r>
        <w:rPr>
          <w:b/>
        </w:rPr>
        <w:t>Sidelink</w:t>
      </w:r>
      <w:proofErr w:type="spellEnd"/>
      <w:r>
        <w:rPr>
          <w:b/>
        </w:rPr>
        <w:t xml:space="preserve"> communication</w:t>
      </w:r>
      <w:r>
        <w:t xml:space="preserve">: AS functionality enabling </w:t>
      </w:r>
      <w:proofErr w:type="spellStart"/>
      <w:r>
        <w:t>ProSe</w:t>
      </w:r>
      <w:proofErr w:type="spellEnd"/>
      <w:r>
        <w:t xml:space="preserve"> Direct Communication as defined in TS 23.303 [13], between two or more nearby UEs, using E-UTRA technology but not traversing any network node.</w:t>
      </w:r>
    </w:p>
    <w:p w14:paraId="0C8A1C84" w14:textId="77777777" w:rsidR="00A36524" w:rsidRDefault="00355467">
      <w:proofErr w:type="spellStart"/>
      <w:r>
        <w:rPr>
          <w:b/>
        </w:rPr>
        <w:t>Sidelink</w:t>
      </w:r>
      <w:proofErr w:type="spellEnd"/>
      <w:r>
        <w:rPr>
          <w:b/>
        </w:rPr>
        <w:t xml:space="preserve"> Discovery Gap for Reception:</w:t>
      </w:r>
      <w:r>
        <w:t xml:space="preserve"> Time period during which the UE does not receive any channels in DL from any serving cell, except during random access procedure.</w:t>
      </w:r>
    </w:p>
    <w:p w14:paraId="2974BAC3" w14:textId="77777777" w:rsidR="00A36524" w:rsidRDefault="00355467">
      <w:pPr>
        <w:rPr>
          <w:rFonts w:eastAsia="MS Mincho"/>
        </w:rPr>
      </w:pPr>
      <w:proofErr w:type="spellStart"/>
      <w:r>
        <w:rPr>
          <w:b/>
        </w:rPr>
        <w:t>Sidelink</w:t>
      </w:r>
      <w:proofErr w:type="spellEnd"/>
      <w:r>
        <w:rPr>
          <w:b/>
        </w:rPr>
        <w:t xml:space="preserve"> Discovery Gap for Transmission: </w:t>
      </w:r>
      <w:r>
        <w:t xml:space="preserve">Time period during which the UE prioritizes transmission of </w:t>
      </w:r>
      <w:proofErr w:type="spellStart"/>
      <w:r>
        <w:t>sidelink</w:t>
      </w:r>
      <w:proofErr w:type="spellEnd"/>
      <w:r>
        <w:t xml:space="preserve"> discovery and associated procedures </w:t>
      </w:r>
      <w:r>
        <w:rPr>
          <w:bCs/>
        </w:rPr>
        <w:t xml:space="preserve">e.g. </w:t>
      </w:r>
      <w:r>
        <w:t>re-tuning and synchronisation over transmission of channels in UL, if they occur in the same subframe, except during random access procedure.</w:t>
      </w:r>
    </w:p>
    <w:p w14:paraId="7E2D9743" w14:textId="77777777" w:rsidR="00A36524" w:rsidRDefault="00355467">
      <w:pPr>
        <w:rPr>
          <w:rFonts w:eastAsia="MS Mincho"/>
        </w:rPr>
      </w:pPr>
      <w:r>
        <w:rPr>
          <w:rFonts w:eastAsia="MS Mincho"/>
          <w:b/>
        </w:rPr>
        <w:t>Special Cell:</w:t>
      </w:r>
      <w:r>
        <w:rPr>
          <w:rFonts w:eastAsia="MS Mincho"/>
        </w:rPr>
        <w:t xml:space="preserve"> For Dual Connectivity operation the term Special Cell refers to the </w:t>
      </w:r>
      <w:proofErr w:type="spellStart"/>
      <w:r>
        <w:rPr>
          <w:rFonts w:eastAsia="MS Mincho"/>
        </w:rPr>
        <w:t>PCell</w:t>
      </w:r>
      <w:proofErr w:type="spellEnd"/>
      <w:r>
        <w:rPr>
          <w:rFonts w:eastAsia="MS Mincho"/>
        </w:rPr>
        <w:t xml:space="preserve"> of the MCG or the </w:t>
      </w:r>
      <w:proofErr w:type="spellStart"/>
      <w:r>
        <w:rPr>
          <w:rFonts w:eastAsia="MS Mincho"/>
        </w:rPr>
        <w:t>PSCell</w:t>
      </w:r>
      <w:proofErr w:type="spellEnd"/>
      <w:r>
        <w:rPr>
          <w:rFonts w:eastAsia="MS Mincho"/>
        </w:rPr>
        <w:t xml:space="preserve"> of the SCG, otherwise the term Special Cell refers to the </w:t>
      </w:r>
      <w:proofErr w:type="spellStart"/>
      <w:r>
        <w:rPr>
          <w:rFonts w:eastAsia="MS Mincho"/>
        </w:rPr>
        <w:t>PCell</w:t>
      </w:r>
      <w:proofErr w:type="spellEnd"/>
      <w:r>
        <w:rPr>
          <w:rFonts w:eastAsia="MS Mincho"/>
        </w:rPr>
        <w:t>.</w:t>
      </w:r>
    </w:p>
    <w:p w14:paraId="3610F008" w14:textId="77777777" w:rsidR="00A36524" w:rsidRDefault="00355467">
      <w:pPr>
        <w:rPr>
          <w:rFonts w:eastAsia="MS Mincho"/>
        </w:rPr>
      </w:pPr>
      <w:r>
        <w:rPr>
          <w:rFonts w:eastAsia="MS Mincho"/>
          <w:b/>
        </w:rPr>
        <w:t>Timing Advance Group:</w:t>
      </w:r>
      <w:r>
        <w:rPr>
          <w:rFonts w:eastAsia="MS Mincho"/>
        </w:rPr>
        <w:t xml:space="preserve"> A group of Serving Cells that is configured by RRC and that, for the cells with an UL configured, using the same timing reference cell and the same Timing Advance value.</w:t>
      </w:r>
    </w:p>
    <w:p w14:paraId="42D54523" w14:textId="77777777" w:rsidR="00A36524" w:rsidRDefault="00355467">
      <w:pPr>
        <w:rPr>
          <w:rFonts w:eastAsia="MS Mincho"/>
        </w:rPr>
      </w:pPr>
      <w:r>
        <w:rPr>
          <w:rFonts w:eastAsia="MS Mincho"/>
          <w:b/>
          <w:bCs/>
        </w:rPr>
        <w:t>Transmission using PUR:</w:t>
      </w:r>
      <w:r>
        <w:rPr>
          <w:rFonts w:eastAsia="MS Mincho"/>
        </w:rPr>
        <w:t xml:space="preserve"> Allows one uplink data transmission using preconfigured uplink resource from RRC_IDLE mode as specified in TS 36.300 [9]. Transmission using PUR refers to both CP transmission using PUR and UP transmission using PUR.</w:t>
      </w:r>
    </w:p>
    <w:p w14:paraId="0ACA2E94" w14:textId="77777777" w:rsidR="00A36524" w:rsidRDefault="00355467">
      <w:pPr>
        <w:rPr>
          <w:rFonts w:eastAsia="MS Mincho"/>
        </w:rPr>
      </w:pPr>
      <w:r>
        <w:rPr>
          <w:rFonts w:eastAsia="MS Mincho"/>
          <w:b/>
        </w:rPr>
        <w:t>UE-</w:t>
      </w:r>
      <w:proofErr w:type="spellStart"/>
      <w:r>
        <w:rPr>
          <w:rFonts w:eastAsia="MS Mincho"/>
          <w:b/>
        </w:rPr>
        <w:t>eNB</w:t>
      </w:r>
      <w:proofErr w:type="spellEnd"/>
      <w:r>
        <w:rPr>
          <w:rFonts w:eastAsia="MS Mincho"/>
          <w:b/>
        </w:rPr>
        <w:t xml:space="preserve"> RTT: </w:t>
      </w:r>
      <w:r>
        <w:rPr>
          <w:rFonts w:eastAsia="MS Mincho"/>
        </w:rPr>
        <w:t xml:space="preserve">For non-terrestrial networks, the sum of the UE's Timing Advance value (see TS 36.211 [7], clause 8.1) and </w:t>
      </w:r>
      <w:r>
        <w:rPr>
          <w:rFonts w:eastAsia="MS Mincho"/>
          <w:i/>
          <w:iCs/>
        </w:rPr>
        <w:t>k-Mac</w:t>
      </w:r>
      <w:r>
        <w:rPr>
          <w:rFonts w:eastAsia="MS Mincho"/>
        </w:rPr>
        <w:t xml:space="preserve"> in units of subframe, not rounded or truncated toward an integer number of subframes.</w:t>
      </w:r>
    </w:p>
    <w:p w14:paraId="09699599" w14:textId="77777777" w:rsidR="00A36524" w:rsidRDefault="00355467">
      <w:r>
        <w:rPr>
          <w:b/>
        </w:rPr>
        <w:t>UL HARQ RTT Timer</w:t>
      </w:r>
      <w:r>
        <w:t>: This parameter specifies the minimum amount of subframe(s) before a UL HARQ retransmission grant is expected by the MAC entity.</w:t>
      </w:r>
    </w:p>
    <w:p w14:paraId="329CBA0B" w14:textId="77777777" w:rsidR="00A36524" w:rsidRDefault="00355467">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[14], between nearby UEs, using E-UTRA technology but not traversing any network node</w:t>
      </w:r>
      <w:r>
        <w:rPr>
          <w:lang w:eastAsia="zh-CN"/>
        </w:rPr>
        <w:t>.</w:t>
      </w:r>
    </w:p>
    <w:p w14:paraId="4199F8F6" w14:textId="77777777" w:rsidR="00A36524" w:rsidRDefault="00355467">
      <w:pPr>
        <w:pStyle w:val="NO"/>
      </w:pPr>
      <w:r>
        <w:rPr>
          <w:rFonts w:eastAsia="MS Mincho"/>
        </w:rPr>
        <w:t>NOTE:</w:t>
      </w:r>
      <w:r>
        <w:rPr>
          <w:rFonts w:eastAsia="MS Mincho"/>
        </w:rPr>
        <w:tab/>
        <w:t xml:space="preserve">A timer is </w:t>
      </w:r>
      <w:r>
        <w:t>running once it is started, until it is stopped or until it expires</w:t>
      </w:r>
      <w:r>
        <w:rPr>
          <w:lang w:eastAsia="zh-CN"/>
        </w:rPr>
        <w:t xml:space="preserve">; </w:t>
      </w:r>
      <w:proofErr w:type="gramStart"/>
      <w:r>
        <w:rPr>
          <w:lang w:eastAsia="zh-CN"/>
        </w:rPr>
        <w:t>otherwise</w:t>
      </w:r>
      <w:proofErr w:type="gramEnd"/>
      <w:r>
        <w:rPr>
          <w:lang w:eastAsia="zh-CN"/>
        </w:rPr>
        <w:t xml:space="preserve"> it is not running</w:t>
      </w:r>
      <w:r>
        <w:t>.</w:t>
      </w:r>
      <w:r>
        <w:rPr>
          <w:lang w:eastAsia="zh-CN"/>
        </w:rPr>
        <w:t xml:space="preserve"> A timer can be started if it is not running or restarted if it is running</w:t>
      </w:r>
      <w:r>
        <w:t>.</w:t>
      </w:r>
      <w:r>
        <w:rPr>
          <w:lang w:eastAsia="zh-CN"/>
        </w:rPr>
        <w:t xml:space="preserve"> A Timer is always started or restarted from its initial value</w:t>
      </w:r>
      <w: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10503833" w14:textId="77777777">
        <w:trPr>
          <w:trHeight w:val="196"/>
        </w:trPr>
        <w:tc>
          <w:tcPr>
            <w:tcW w:w="9797" w:type="dxa"/>
            <w:shd w:val="clear" w:color="auto" w:fill="FDE9D9"/>
            <w:vAlign w:val="center"/>
          </w:tcPr>
          <w:p w14:paraId="4AF0BB5A" w14:textId="77777777" w:rsidR="00A36524" w:rsidRDefault="00355467">
            <w:pPr>
              <w:snapToGrid w:val="0"/>
              <w:spacing w:after="0"/>
              <w:jc w:val="center"/>
              <w:rPr>
                <w:color w:val="FF0000"/>
                <w:sz w:val="28"/>
                <w:szCs w:val="28"/>
              </w:rPr>
            </w:pPr>
            <w:bookmarkStart w:id="40" w:name="_Toc37256189"/>
            <w:bookmarkStart w:id="41" w:name="_Toc46500282"/>
            <w:bookmarkStart w:id="42" w:name="_Toc37256343"/>
            <w:bookmarkStart w:id="43" w:name="_Toc193402426"/>
            <w:bookmarkStart w:id="44" w:name="_Toc29242932"/>
            <w:bookmarkStart w:id="45" w:name="_Toc52536191"/>
            <w:r>
              <w:rPr>
                <w:color w:val="FF0000"/>
                <w:sz w:val="28"/>
                <w:szCs w:val="28"/>
              </w:rPr>
              <w:t>NEXT CHANGES</w:t>
            </w:r>
          </w:p>
        </w:tc>
      </w:tr>
      <w:bookmarkEnd w:id="40"/>
      <w:bookmarkEnd w:id="41"/>
      <w:bookmarkEnd w:id="42"/>
      <w:bookmarkEnd w:id="43"/>
      <w:bookmarkEnd w:id="44"/>
      <w:bookmarkEnd w:id="45"/>
    </w:tbl>
    <w:p w14:paraId="7088C175" w14:textId="77777777" w:rsidR="00A36524" w:rsidRDefault="00A36524">
      <w:pPr>
        <w:pStyle w:val="EX"/>
        <w:ind w:left="2268" w:hanging="1984"/>
      </w:pPr>
    </w:p>
    <w:p w14:paraId="4972A9E7" w14:textId="77777777" w:rsidR="00A36524" w:rsidRDefault="00355467">
      <w:pPr>
        <w:pStyle w:val="Heading1"/>
      </w:pPr>
      <w:bookmarkStart w:id="46" w:name="_Toc37256344"/>
      <w:bookmarkStart w:id="47" w:name="_Toc29242933"/>
      <w:bookmarkStart w:id="48" w:name="_Toc46500283"/>
      <w:bookmarkStart w:id="49" w:name="_Toc52536192"/>
      <w:bookmarkStart w:id="50" w:name="_Toc193402427"/>
      <w:bookmarkStart w:id="51" w:name="_Toc37256190"/>
      <w:r>
        <w:t>4</w:t>
      </w:r>
      <w:r>
        <w:tab/>
        <w:t>General</w:t>
      </w:r>
      <w:bookmarkEnd w:id="46"/>
      <w:bookmarkEnd w:id="47"/>
      <w:bookmarkEnd w:id="48"/>
      <w:bookmarkEnd w:id="49"/>
      <w:bookmarkEnd w:id="50"/>
      <w:bookmarkEnd w:id="51"/>
    </w:p>
    <w:p w14:paraId="4EECDB42" w14:textId="77777777" w:rsidR="00A36524" w:rsidRDefault="00355467">
      <w:pPr>
        <w:pStyle w:val="Heading2"/>
      </w:pPr>
      <w:bookmarkStart w:id="52" w:name="_Toc37256345"/>
      <w:bookmarkStart w:id="53" w:name="_Toc46500284"/>
      <w:bookmarkStart w:id="54" w:name="_Toc52536193"/>
      <w:bookmarkStart w:id="55" w:name="_Toc193402428"/>
      <w:bookmarkStart w:id="56" w:name="_Toc29242934"/>
      <w:bookmarkStart w:id="57" w:name="_Toc37256191"/>
      <w:r>
        <w:t>4.1</w:t>
      </w:r>
      <w:r>
        <w:tab/>
        <w:t>Introduction</w:t>
      </w:r>
      <w:bookmarkEnd w:id="52"/>
      <w:bookmarkEnd w:id="53"/>
      <w:bookmarkEnd w:id="54"/>
      <w:bookmarkEnd w:id="55"/>
      <w:bookmarkEnd w:id="56"/>
      <w:bookmarkEnd w:id="57"/>
    </w:p>
    <w:p w14:paraId="6FA452BB" w14:textId="6126D126" w:rsidR="00A36524" w:rsidRDefault="00355467">
      <w:r>
        <w:t xml:space="preserve">The objective is to describe the MAC architecture and the MAC entity from a functional point of view. Functionality specified for the UE equally applies to the RN for functionality necessary for the RN. There is also </w:t>
      </w:r>
      <w:proofErr w:type="gramStart"/>
      <w:r>
        <w:t>functionality</w:t>
      </w:r>
      <w:proofErr w:type="gramEnd"/>
      <w:r>
        <w:t xml:space="preserve"> which is only applicable to the RN, in which case the specification denotes the RN instead of the UE. RN</w:t>
      </w:r>
      <w:r>
        <w:noBreakHyphen/>
        <w:t xml:space="preserve">specific behaviour is not applicable to the UE. For TDD operation, UE behaviour follows the TDD UL/DL configuration indicated by </w:t>
      </w:r>
      <w:proofErr w:type="spellStart"/>
      <w:r>
        <w:rPr>
          <w:i/>
          <w:iCs/>
        </w:rPr>
        <w:t>tdd</w:t>
      </w:r>
      <w:proofErr w:type="spellEnd"/>
      <w:r>
        <w:rPr>
          <w:i/>
          <w:iCs/>
        </w:rPr>
        <w:t>-Config</w:t>
      </w:r>
      <w:r>
        <w:t xml:space="preserve"> unless specified otherwise.</w:t>
      </w:r>
      <w:ins w:id="58" w:author="Toyota ITC" w:date="2025-07-01T08:01:00Z">
        <w:r>
          <w:t xml:space="preserve"> </w:t>
        </w:r>
        <w:commentRangeStart w:id="59"/>
        <w:commentRangeStart w:id="60"/>
        <w:r>
          <w:t>IoT</w:t>
        </w:r>
      </w:ins>
      <w:ins w:id="61" w:author="Toyota ITC" w:date="2025-08-12T15:28:00Z">
        <w:r w:rsidR="000F0ADE">
          <w:t xml:space="preserve"> </w:t>
        </w:r>
      </w:ins>
      <w:ins w:id="62" w:author="Toyota ITC" w:date="2025-07-01T08:01:00Z">
        <w:r>
          <w:t xml:space="preserve">NTN TDD mode applies to NB-IoT unless </w:t>
        </w:r>
      </w:ins>
      <w:ins w:id="63" w:author="Toyota ITC" w:date="2025-08-04T10:15:00Z">
        <w:r>
          <w:t>specified</w:t>
        </w:r>
      </w:ins>
      <w:ins w:id="64" w:author="Toyota ITC" w:date="2025-07-01T08:01:00Z">
        <w:r>
          <w:t xml:space="preserve"> otherwise</w:t>
        </w:r>
      </w:ins>
      <w:commentRangeEnd w:id="59"/>
      <w:r w:rsidR="00A74491">
        <w:rPr>
          <w:rStyle w:val="CommentReference"/>
        </w:rPr>
        <w:commentReference w:id="59"/>
      </w:r>
      <w:ins w:id="65" w:author="Toyota ITC" w:date="2025-07-01T08:01:00Z">
        <w:r>
          <w:t>. IoT</w:t>
        </w:r>
      </w:ins>
      <w:ins w:id="66" w:author="Toyota ITC" w:date="2025-08-12T15:28:00Z">
        <w:r w:rsidR="000F0ADE">
          <w:t xml:space="preserve"> </w:t>
        </w:r>
      </w:ins>
      <w:ins w:id="67" w:author="Toyota ITC" w:date="2025-07-01T08:01:00Z">
        <w:r>
          <w:t xml:space="preserve">NTN TDD mode </w:t>
        </w:r>
      </w:ins>
      <w:ins w:id="68" w:author="Toyota ITC" w:date="2025-08-12T15:30:00Z">
        <w:r w:rsidR="004221AE">
          <w:t>does not</w:t>
        </w:r>
      </w:ins>
      <w:ins w:id="69" w:author="Toyota ITC2" w:date="2025-08-07T23:54:00Z">
        <w:r w:rsidR="00FA24EA">
          <w:t xml:space="preserve"> </w:t>
        </w:r>
      </w:ins>
      <w:ins w:id="70" w:author="Toyota ITC" w:date="2025-07-01T08:01:00Z">
        <w:r>
          <w:t>appl</w:t>
        </w:r>
      </w:ins>
      <w:ins w:id="71" w:author="Toyota ITC" w:date="2025-08-12T15:30:00Z">
        <w:r w:rsidR="004221AE">
          <w:t>y</w:t>
        </w:r>
      </w:ins>
      <w:ins w:id="72" w:author="Toyota ITC" w:date="2025-07-01T08:01:00Z">
        <w:r>
          <w:t xml:space="preserve"> to</w:t>
        </w:r>
        <w:commentRangeStart w:id="73"/>
        <w:commentRangeStart w:id="74"/>
        <w:r>
          <w:t xml:space="preserve"> TDD </w:t>
        </w:r>
      </w:ins>
      <w:ins w:id="75" w:author="Toyota ITC" w:date="2025-08-12T15:30:00Z">
        <w:r w:rsidR="004221AE">
          <w:t>or</w:t>
        </w:r>
      </w:ins>
      <w:ins w:id="76" w:author="Toyota ITC" w:date="2025-07-01T08:01:00Z">
        <w:r>
          <w:t xml:space="preserve"> TDD mode </w:t>
        </w:r>
      </w:ins>
      <w:commentRangeEnd w:id="73"/>
      <w:r w:rsidR="00A74491">
        <w:rPr>
          <w:rStyle w:val="CommentReference"/>
        </w:rPr>
        <w:commentReference w:id="73"/>
      </w:r>
      <w:commentRangeEnd w:id="74"/>
      <w:r w:rsidR="00050D8F">
        <w:rPr>
          <w:rStyle w:val="CommentReference"/>
        </w:rPr>
        <w:commentReference w:id="74"/>
      </w:r>
      <w:ins w:id="77" w:author="Toyota ITC" w:date="2025-07-01T08:01:00Z">
        <w:r>
          <w:t>unless s</w:t>
        </w:r>
      </w:ins>
      <w:ins w:id="78" w:author="Toyota ITC" w:date="2025-08-04T10:15:00Z">
        <w:r>
          <w:t>pecified</w:t>
        </w:r>
      </w:ins>
      <w:ins w:id="79" w:author="Toyota ITC" w:date="2025-07-01T08:01:00Z">
        <w:r>
          <w:t xml:space="preserve"> otherwise.</w:t>
        </w:r>
      </w:ins>
      <w:commentRangeEnd w:id="60"/>
      <w:r w:rsidR="007632AF">
        <w:rPr>
          <w:rStyle w:val="CommentReference"/>
        </w:rPr>
        <w:commentReference w:id="60"/>
      </w:r>
    </w:p>
    <w:p w14:paraId="0138A393" w14:textId="3AB840FC" w:rsidR="00A36524" w:rsidRDefault="00355467">
      <w:r>
        <w:t>The introduction of short TTI allows for more than a single instance of a TTI to occur within a 1ms subframe and as such the use of the term "for each TTI" shall be read as meaning that the associated actions shall be executed for all TTIs also in the case of overlapping TTIs (e.g. a UE may read multiple instances of PDCCH in a downlink subframe).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2C9844F" w14:textId="77777777">
        <w:trPr>
          <w:trHeight w:val="196"/>
        </w:trPr>
        <w:tc>
          <w:tcPr>
            <w:tcW w:w="9797" w:type="dxa"/>
            <w:shd w:val="clear" w:color="auto" w:fill="FDE9D9"/>
            <w:vAlign w:val="center"/>
          </w:tcPr>
          <w:p w14:paraId="74E7FC5D" w14:textId="77777777" w:rsidR="00A36524" w:rsidRDefault="00355467">
            <w:pPr>
              <w:snapToGrid w:val="0"/>
              <w:spacing w:after="0"/>
              <w:jc w:val="center"/>
              <w:rPr>
                <w:color w:val="FF0000"/>
                <w:sz w:val="28"/>
                <w:szCs w:val="28"/>
              </w:rPr>
            </w:pPr>
            <w:bookmarkStart w:id="80" w:name="_Toc29242935"/>
            <w:bookmarkStart w:id="81" w:name="_Toc37256192"/>
            <w:bookmarkStart w:id="82" w:name="_Toc193402429"/>
            <w:bookmarkStart w:id="83" w:name="_Toc46500285"/>
            <w:bookmarkStart w:id="84" w:name="_Toc52536194"/>
            <w:bookmarkStart w:id="85" w:name="_Toc37256346"/>
            <w:r>
              <w:rPr>
                <w:color w:val="FF0000"/>
                <w:sz w:val="28"/>
                <w:szCs w:val="28"/>
              </w:rPr>
              <w:lastRenderedPageBreak/>
              <w:t>NEXT CHANGES</w:t>
            </w:r>
          </w:p>
        </w:tc>
      </w:tr>
    </w:tbl>
    <w:p w14:paraId="3184880E" w14:textId="77777777" w:rsidR="00B3315D" w:rsidRPr="00D92410" w:rsidRDefault="00B3315D" w:rsidP="00B3315D">
      <w:pPr>
        <w:pStyle w:val="Heading3"/>
        <w:rPr>
          <w:noProof/>
        </w:rPr>
      </w:pPr>
      <w:bookmarkStart w:id="86" w:name="_Toc29242952"/>
      <w:bookmarkStart w:id="87" w:name="_Toc37256209"/>
      <w:bookmarkStart w:id="88" w:name="_Toc37256363"/>
      <w:bookmarkStart w:id="89" w:name="_Toc46500302"/>
      <w:bookmarkStart w:id="90" w:name="_Toc52536211"/>
      <w:bookmarkStart w:id="91" w:name="_Toc193402446"/>
      <w:bookmarkEnd w:id="80"/>
      <w:bookmarkEnd w:id="81"/>
      <w:bookmarkEnd w:id="82"/>
      <w:bookmarkEnd w:id="83"/>
      <w:bookmarkEnd w:id="84"/>
      <w:bookmarkEnd w:id="85"/>
      <w:r w:rsidRPr="00D92410">
        <w:rPr>
          <w:noProof/>
        </w:rPr>
        <w:t>5.1.3</w:t>
      </w:r>
      <w:r w:rsidRPr="00D92410">
        <w:rPr>
          <w:noProof/>
        </w:rPr>
        <w:tab/>
        <w:t>Random Access Preamble transmission</w:t>
      </w:r>
      <w:bookmarkEnd w:id="86"/>
      <w:bookmarkEnd w:id="87"/>
      <w:bookmarkEnd w:id="88"/>
      <w:bookmarkEnd w:id="89"/>
      <w:bookmarkEnd w:id="90"/>
      <w:bookmarkEnd w:id="91"/>
    </w:p>
    <w:p w14:paraId="44645EBF" w14:textId="77777777" w:rsidR="00B3315D" w:rsidRPr="00D92410" w:rsidRDefault="00B3315D" w:rsidP="00B3315D">
      <w:pPr>
        <w:rPr>
          <w:rFonts w:eastAsia="?? ??"/>
          <w:noProof/>
        </w:rPr>
      </w:pPr>
      <w:r w:rsidRPr="00D92410">
        <w:rPr>
          <w:rFonts w:eastAsia="?? ??"/>
          <w:noProof/>
        </w:rPr>
        <w:t>The random-access procedure shall be performed as follows:</w:t>
      </w:r>
    </w:p>
    <w:p w14:paraId="5993A12C" w14:textId="77777777" w:rsidR="00B3315D" w:rsidRPr="00D92410" w:rsidRDefault="00B3315D" w:rsidP="00B3315D">
      <w:pPr>
        <w:pStyle w:val="B1"/>
        <w:rPr>
          <w:noProof/>
        </w:rPr>
      </w:pPr>
      <w:r w:rsidRPr="00D92410">
        <w:rPr>
          <w:noProof/>
        </w:rPr>
        <w:t>-</w:t>
      </w:r>
      <w:r w:rsidRPr="00D92410">
        <w:rPr>
          <w:noProof/>
        </w:rPr>
        <w:tab/>
        <w:t xml:space="preserve">set PREAMBLE_RECEIVED_TARGET_POWER to </w:t>
      </w:r>
      <w:proofErr w:type="spellStart"/>
      <w:r w:rsidRPr="00D92410">
        <w:rPr>
          <w:i/>
        </w:rPr>
        <w:t>preambleInitialReceivedTargetPower</w:t>
      </w:r>
      <w:proofErr w:type="spellEnd"/>
      <w:r w:rsidRPr="00D92410">
        <w:rPr>
          <w:noProof/>
        </w:rPr>
        <w:t xml:space="preserve"> + DELTA_PREAMBLE + (PREAMBLE_TRANSMISSION_COUNTER </w:t>
      </w:r>
      <w:r w:rsidRPr="00D92410">
        <w:t xml:space="preserve">– </w:t>
      </w:r>
      <w:r w:rsidRPr="00D92410">
        <w:rPr>
          <w:noProof/>
        </w:rPr>
        <w:t xml:space="preserve">1) * </w:t>
      </w:r>
      <w:proofErr w:type="spellStart"/>
      <w:proofErr w:type="gramStart"/>
      <w:r w:rsidRPr="00D92410">
        <w:rPr>
          <w:i/>
        </w:rPr>
        <w:t>powerRampingStep</w:t>
      </w:r>
      <w:proofErr w:type="spellEnd"/>
      <w:r w:rsidRPr="00D92410">
        <w:rPr>
          <w:noProof/>
        </w:rPr>
        <w:t>;</w:t>
      </w:r>
      <w:proofErr w:type="gramEnd"/>
    </w:p>
    <w:p w14:paraId="0F9B0262"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 B</w:t>
      </w:r>
      <w:r w:rsidRPr="00D92410">
        <w:rPr>
          <w:noProof/>
        </w:rPr>
        <w:t>L UE or a UE in enhanced coverage:</w:t>
      </w:r>
    </w:p>
    <w:p w14:paraId="48B72492" w14:textId="77777777" w:rsidR="00B3315D" w:rsidRPr="00D92410" w:rsidRDefault="00B3315D" w:rsidP="00B3315D">
      <w:pPr>
        <w:pStyle w:val="B2"/>
      </w:pPr>
      <w:r w:rsidRPr="00D92410">
        <w:rPr>
          <w:noProof/>
        </w:rPr>
        <w:t>-</w:t>
      </w:r>
      <w:r w:rsidRPr="00D92410">
        <w:rPr>
          <w:noProof/>
        </w:rPr>
        <w:tab/>
        <w:t>the</w:t>
      </w:r>
      <w:r w:rsidRPr="00D92410">
        <w:t xml:space="preserve"> PREAMBLE_RECEIVED_TARGET_POWER is set to:</w:t>
      </w:r>
      <w:r w:rsidRPr="00D92410">
        <w:br/>
        <w:t>PREAMBLE_RECEIVED_TARGET_POWER - 10 * log10(</w:t>
      </w:r>
      <w:proofErr w:type="spellStart"/>
      <w:r w:rsidRPr="00D92410">
        <w:rPr>
          <w:i/>
        </w:rPr>
        <w:t>numRepetitionPerPreambleAttempt</w:t>
      </w:r>
      <w:proofErr w:type="spellEnd"/>
      <w:proofErr w:type="gramStart"/>
      <w:r w:rsidRPr="00D92410">
        <w:t>);</w:t>
      </w:r>
      <w:proofErr w:type="gramEnd"/>
    </w:p>
    <w:p w14:paraId="3502CD02" w14:textId="77777777" w:rsidR="00B3315D" w:rsidRPr="00D92410" w:rsidRDefault="00B3315D" w:rsidP="00B3315D">
      <w:pPr>
        <w:pStyle w:val="B1"/>
      </w:pPr>
      <w:r w:rsidRPr="00D92410">
        <w:t>-</w:t>
      </w:r>
      <w:r w:rsidRPr="00D92410">
        <w:tab/>
        <w:t>if the UE is an NB-IoT UE:</w:t>
      </w:r>
    </w:p>
    <w:p w14:paraId="477F82A5" w14:textId="77777777" w:rsidR="00B3315D" w:rsidRPr="00D92410" w:rsidRDefault="00B3315D" w:rsidP="00B3315D">
      <w:pPr>
        <w:pStyle w:val="B2"/>
      </w:pPr>
      <w:r w:rsidRPr="00D92410">
        <w:t>-</w:t>
      </w:r>
      <w:r w:rsidRPr="00D92410">
        <w:tab/>
        <w:t xml:space="preserve">for </w:t>
      </w:r>
      <w:r w:rsidRPr="00D92410">
        <w:rPr>
          <w:noProof/>
        </w:rPr>
        <w:t>enhanced coverage level 0</w:t>
      </w:r>
      <w:r w:rsidRPr="00D92410">
        <w:t>, the PREAMBLE_RECEIVED_TARGET_POWER is set to:</w:t>
      </w:r>
      <w:r w:rsidRPr="00D92410">
        <w:br/>
        <w:t xml:space="preserve"> PREAMBLE_RECEIVED_TARGET_POWER - 10 * log10(</w:t>
      </w:r>
      <w:proofErr w:type="spellStart"/>
      <w:r w:rsidRPr="00D92410">
        <w:rPr>
          <w:i/>
        </w:rPr>
        <w:t>numRepetitionPerPreambleAttempt</w:t>
      </w:r>
      <w:proofErr w:type="spellEnd"/>
      <w:r w:rsidRPr="00D92410">
        <w:t>)</w:t>
      </w:r>
    </w:p>
    <w:p w14:paraId="01C3C146" w14:textId="2E81456C" w:rsidR="00B3315D" w:rsidRPr="00D92410" w:rsidRDefault="00B3315D" w:rsidP="00B3315D">
      <w:pPr>
        <w:pStyle w:val="B3"/>
      </w:pPr>
      <w:r w:rsidRPr="00D92410">
        <w:t>-</w:t>
      </w:r>
      <w:r w:rsidRPr="00D92410">
        <w:tab/>
        <w:t xml:space="preserve">for FDD </w:t>
      </w:r>
      <w:ins w:id="92" w:author="Toyota ITC" w:date="2025-08-12T14:59:00Z">
        <w:r w:rsidR="0047078E">
          <w:t>o</w:t>
        </w:r>
      </w:ins>
      <w:ins w:id="93" w:author="Toyota ITC" w:date="2025-08-12T16:15:00Z">
        <w:r w:rsidR="00D15700">
          <w:t>r</w:t>
        </w:r>
      </w:ins>
      <w:ins w:id="94" w:author="Toyota ITC" w:date="2025-08-12T14:59:00Z">
        <w:r w:rsidR="0047078E">
          <w:t xml:space="preserve"> for IoT NTN TDD</w:t>
        </w:r>
        <w:r w:rsidR="000F710F">
          <w:t xml:space="preserve">, </w:t>
        </w:r>
      </w:ins>
      <w:r w:rsidRPr="00D92410">
        <w:t xml:space="preserve">if the UE supports enhanced random access power control and </w:t>
      </w:r>
      <w:r w:rsidRPr="00D92410">
        <w:rPr>
          <w:i/>
        </w:rPr>
        <w:t>PowerRampingParameters-NB-v1450</w:t>
      </w:r>
      <w:r w:rsidRPr="00D92410">
        <w:t xml:space="preserve"> is configured by upper layers, or for TDD:</w:t>
      </w:r>
    </w:p>
    <w:p w14:paraId="4DDA38ED" w14:textId="77777777" w:rsidR="00B3315D" w:rsidRPr="00D92410" w:rsidRDefault="00B3315D" w:rsidP="00B3315D">
      <w:pPr>
        <w:pStyle w:val="B4"/>
      </w:pPr>
      <w:r w:rsidRPr="00D92410">
        <w:t>-</w:t>
      </w:r>
      <w:r w:rsidRPr="00D92410">
        <w:tab/>
        <w:t xml:space="preserve">the MSG3_RECEIVED_TARGET_POWER is set to </w:t>
      </w:r>
      <w:proofErr w:type="spellStart"/>
      <w:r w:rsidRPr="00D92410">
        <w:rPr>
          <w:i/>
        </w:rPr>
        <w:t>preambleInitialReceivedTargetPower</w:t>
      </w:r>
      <w:proofErr w:type="spellEnd"/>
      <w:r w:rsidRPr="00D92410">
        <w:t xml:space="preserve"> + (PREAMBLE_TRANSMISSION_COUNTER_CE – 1) * </w:t>
      </w:r>
      <w:proofErr w:type="spellStart"/>
      <w:proofErr w:type="gramStart"/>
      <w:r w:rsidRPr="00D92410">
        <w:rPr>
          <w:i/>
        </w:rPr>
        <w:t>powerRampingStep</w:t>
      </w:r>
      <w:proofErr w:type="spellEnd"/>
      <w:r w:rsidRPr="00D92410">
        <w:t>;</w:t>
      </w:r>
      <w:proofErr w:type="gramEnd"/>
    </w:p>
    <w:p w14:paraId="47C6B32B" w14:textId="77777777" w:rsidR="00B3315D" w:rsidRPr="00D92410" w:rsidRDefault="00B3315D" w:rsidP="00B3315D">
      <w:pPr>
        <w:pStyle w:val="B2"/>
      </w:pPr>
      <w:r w:rsidRPr="00D92410">
        <w:t>-</w:t>
      </w:r>
      <w:r w:rsidRPr="00D92410">
        <w:tab/>
        <w:t xml:space="preserve">for other </w:t>
      </w:r>
      <w:r w:rsidRPr="00D92410">
        <w:rPr>
          <w:noProof/>
        </w:rPr>
        <w:t>enhanced coverage</w:t>
      </w:r>
      <w:r w:rsidRPr="00D92410">
        <w:t xml:space="preserve"> levels:</w:t>
      </w:r>
    </w:p>
    <w:p w14:paraId="2CD445A6" w14:textId="09A0D99C" w:rsidR="00B3315D" w:rsidRPr="00D92410" w:rsidRDefault="00B3315D" w:rsidP="00B3315D">
      <w:pPr>
        <w:pStyle w:val="B3"/>
      </w:pPr>
      <w:r w:rsidRPr="00D92410">
        <w:t>-</w:t>
      </w:r>
      <w:r w:rsidRPr="00D92410">
        <w:tab/>
        <w:t xml:space="preserve">for FDD </w:t>
      </w:r>
      <w:ins w:id="95" w:author="Toyota ITC" w:date="2025-08-12T14:59:00Z">
        <w:r w:rsidR="00FE1F29">
          <w:t>o</w:t>
        </w:r>
      </w:ins>
      <w:ins w:id="96" w:author="Toyota ITC" w:date="2025-08-12T16:15:00Z">
        <w:r w:rsidR="00D15700">
          <w:t>r</w:t>
        </w:r>
      </w:ins>
      <w:ins w:id="97" w:author="Toyota ITC" w:date="2025-08-12T14:59:00Z">
        <w:r w:rsidR="00FE1F29">
          <w:t xml:space="preserve"> for IoT NTN TDD,</w:t>
        </w:r>
      </w:ins>
      <w:r w:rsidR="00FE1F29">
        <w:t xml:space="preserve"> </w:t>
      </w:r>
      <w:r w:rsidRPr="00D92410">
        <w:t xml:space="preserve">if the UE supports enhanced random access power control and </w:t>
      </w:r>
      <w:r w:rsidRPr="00D92410">
        <w:rPr>
          <w:i/>
        </w:rPr>
        <w:t>PowerRampingParameters-NB-v1450</w:t>
      </w:r>
      <w:r w:rsidRPr="00D92410">
        <w:t xml:space="preserve"> is configured by upper layers, or for TDD; and</w:t>
      </w:r>
    </w:p>
    <w:p w14:paraId="6680C0A7" w14:textId="77777777" w:rsidR="00B3315D" w:rsidRPr="00D92410" w:rsidRDefault="00B3315D" w:rsidP="00B3315D">
      <w:pPr>
        <w:pStyle w:val="B3"/>
      </w:pPr>
      <w:r w:rsidRPr="00D92410">
        <w:t>-</w:t>
      </w:r>
      <w:r w:rsidRPr="00D92410">
        <w:tab/>
        <w:t>if the starting enhanced coverage level was enhanced coverage level 0 or enhanced coverage level 1:</w:t>
      </w:r>
    </w:p>
    <w:p w14:paraId="746BAE37" w14:textId="77777777" w:rsidR="00B3315D" w:rsidRPr="00D92410" w:rsidRDefault="00B3315D" w:rsidP="00B3315D">
      <w:pPr>
        <w:pStyle w:val="B4"/>
      </w:pPr>
      <w:r w:rsidRPr="00D92410">
        <w:t>-</w:t>
      </w:r>
      <w:r w:rsidRPr="00D92410">
        <w:tab/>
        <w:t xml:space="preserve">if the MAC entity considers itself to be in enhanced coverage level 1 and if </w:t>
      </w:r>
      <w:r w:rsidRPr="00D92410">
        <w:rPr>
          <w:i/>
        </w:rPr>
        <w:t>powerRampingStepCE1</w:t>
      </w:r>
      <w:r w:rsidRPr="00D92410">
        <w:t xml:space="preserve"> and </w:t>
      </w:r>
      <w:r w:rsidRPr="00D92410">
        <w:rPr>
          <w:i/>
        </w:rPr>
        <w:t>preambleInitialReceivedTargetPowerCE1</w:t>
      </w:r>
      <w:r w:rsidRPr="00D92410">
        <w:t xml:space="preserve"> have been configured by upper layers:</w:t>
      </w:r>
    </w:p>
    <w:p w14:paraId="6207753B" w14:textId="77777777" w:rsidR="00B3315D" w:rsidRPr="00D92410" w:rsidRDefault="00B3315D" w:rsidP="00B3315D">
      <w:pPr>
        <w:pStyle w:val="B5"/>
      </w:pPr>
      <w:r w:rsidRPr="00D92410">
        <w:t>-</w:t>
      </w:r>
      <w:r w:rsidRPr="00D92410">
        <w:tab/>
        <w:t xml:space="preserve">the PREAMBLE_RECEIVED_TARGET_POWER is set to </w:t>
      </w:r>
      <w:r w:rsidRPr="00D92410">
        <w:rPr>
          <w:i/>
        </w:rPr>
        <w:t>preambleInitialReceivedTargetPowerCE1</w:t>
      </w:r>
      <w:r w:rsidRPr="00D92410">
        <w:t xml:space="preserve"> + DELTA_PREAMBLE + (PREAMBLE_TRANSMISSION_COUNTER_CE – 1) * </w:t>
      </w:r>
      <w:r w:rsidRPr="00D92410">
        <w:rPr>
          <w:i/>
        </w:rPr>
        <w:t>powerRampingStepCE1</w:t>
      </w:r>
      <w:r w:rsidRPr="00D92410">
        <w:t xml:space="preserve"> - 10 * log10(</w:t>
      </w:r>
      <w:proofErr w:type="spellStart"/>
      <w:r w:rsidRPr="00D92410">
        <w:rPr>
          <w:i/>
        </w:rPr>
        <w:t>numRepetitionPerPreambleAttempt</w:t>
      </w:r>
      <w:proofErr w:type="spellEnd"/>
      <w:proofErr w:type="gramStart"/>
      <w:r w:rsidRPr="00D92410">
        <w:t>);</w:t>
      </w:r>
      <w:proofErr w:type="gramEnd"/>
    </w:p>
    <w:p w14:paraId="53293F02" w14:textId="77777777" w:rsidR="00B3315D" w:rsidRPr="00D92410" w:rsidRDefault="00B3315D" w:rsidP="00B3315D">
      <w:pPr>
        <w:pStyle w:val="B5"/>
      </w:pPr>
      <w:r w:rsidRPr="00D92410">
        <w:t>-</w:t>
      </w:r>
      <w:r w:rsidRPr="00D92410">
        <w:tab/>
        <w:t xml:space="preserve">the MSG3_RECEIVED_TARGET_POWER is set to </w:t>
      </w:r>
      <w:r w:rsidRPr="00D92410">
        <w:rPr>
          <w:i/>
        </w:rPr>
        <w:t>preambleInitialReceivedTargetPowerCE1</w:t>
      </w:r>
      <w:r w:rsidRPr="00D92410">
        <w:t xml:space="preserve"> + (PREAMBLE_TRANSMISSION_COUNTER_CE – 1) * </w:t>
      </w:r>
      <w:proofErr w:type="gramStart"/>
      <w:r w:rsidRPr="00D92410">
        <w:rPr>
          <w:i/>
        </w:rPr>
        <w:t>powerRampingStepCE1</w:t>
      </w:r>
      <w:r w:rsidRPr="00D92410">
        <w:t>;</w:t>
      </w:r>
      <w:proofErr w:type="gramEnd"/>
    </w:p>
    <w:p w14:paraId="7063231D" w14:textId="77777777" w:rsidR="00B3315D" w:rsidRPr="00D92410" w:rsidRDefault="00B3315D" w:rsidP="00B3315D">
      <w:pPr>
        <w:pStyle w:val="B4"/>
      </w:pPr>
      <w:r w:rsidRPr="00D92410">
        <w:t>-</w:t>
      </w:r>
      <w:r w:rsidRPr="00D92410">
        <w:tab/>
        <w:t>else:</w:t>
      </w:r>
    </w:p>
    <w:p w14:paraId="26470540" w14:textId="77777777" w:rsidR="00B3315D" w:rsidRPr="00D92410" w:rsidRDefault="00B3315D" w:rsidP="00B3315D">
      <w:pPr>
        <w:pStyle w:val="B5"/>
      </w:pPr>
      <w:r w:rsidRPr="00D92410">
        <w:t>-</w:t>
      </w:r>
      <w:r w:rsidRPr="00D92410">
        <w:tab/>
        <w:t xml:space="preserve">the PREAMBLE_RECEIVED_TARGET_POWER is set to </w:t>
      </w:r>
      <w:proofErr w:type="spellStart"/>
      <w:r w:rsidRPr="00D92410">
        <w:rPr>
          <w:i/>
        </w:rPr>
        <w:t>preambleInitialReceivedTargetPower</w:t>
      </w:r>
      <w:proofErr w:type="spellEnd"/>
      <w:r w:rsidRPr="00D92410">
        <w:t xml:space="preserve"> + DELTA_PREAMBLE + (PREAMBLE_TRANSMISSION_COUNTER_CE – 1) * </w:t>
      </w:r>
      <w:proofErr w:type="spellStart"/>
      <w:r w:rsidRPr="00D92410">
        <w:rPr>
          <w:i/>
        </w:rPr>
        <w:t>powerRampingStep</w:t>
      </w:r>
      <w:proofErr w:type="spellEnd"/>
      <w:r w:rsidRPr="00D92410">
        <w:t xml:space="preserve"> - 10 * log10(</w:t>
      </w:r>
      <w:proofErr w:type="spellStart"/>
      <w:r w:rsidRPr="00D92410">
        <w:rPr>
          <w:i/>
        </w:rPr>
        <w:t>numRepetitionPerPreambleAttempt</w:t>
      </w:r>
      <w:proofErr w:type="spellEnd"/>
      <w:proofErr w:type="gramStart"/>
      <w:r w:rsidRPr="00D92410">
        <w:t>);</w:t>
      </w:r>
      <w:proofErr w:type="gramEnd"/>
    </w:p>
    <w:p w14:paraId="0DA12984" w14:textId="77777777" w:rsidR="00B3315D" w:rsidRPr="00D92410" w:rsidRDefault="00B3315D" w:rsidP="00B3315D">
      <w:pPr>
        <w:pStyle w:val="B5"/>
      </w:pPr>
      <w:r w:rsidRPr="00D92410">
        <w:t>-</w:t>
      </w:r>
      <w:r w:rsidRPr="00D92410">
        <w:tab/>
        <w:t xml:space="preserve">the MSG3_RECEIVED_TARGET_POWER is set to </w:t>
      </w:r>
      <w:proofErr w:type="spellStart"/>
      <w:r w:rsidRPr="00D92410">
        <w:rPr>
          <w:i/>
        </w:rPr>
        <w:t>preambleInitialReceivedTargetPower</w:t>
      </w:r>
      <w:proofErr w:type="spellEnd"/>
      <w:r w:rsidRPr="00D92410">
        <w:t xml:space="preserve"> + (PREAMBLE_TRANSMISSION_COUNTER_CE – 1) * </w:t>
      </w:r>
      <w:proofErr w:type="spellStart"/>
      <w:proofErr w:type="gramStart"/>
      <w:r w:rsidRPr="00D92410">
        <w:rPr>
          <w:i/>
        </w:rPr>
        <w:t>powerRampingStep</w:t>
      </w:r>
      <w:proofErr w:type="spellEnd"/>
      <w:r w:rsidRPr="00D92410">
        <w:t>;</w:t>
      </w:r>
      <w:proofErr w:type="gramEnd"/>
    </w:p>
    <w:p w14:paraId="7AC26871" w14:textId="77777777" w:rsidR="00B3315D" w:rsidRPr="00D92410" w:rsidRDefault="00B3315D" w:rsidP="00B3315D">
      <w:pPr>
        <w:pStyle w:val="B3"/>
      </w:pPr>
      <w:r w:rsidRPr="00D92410">
        <w:t>-</w:t>
      </w:r>
      <w:r w:rsidRPr="00D92410">
        <w:tab/>
        <w:t>else:</w:t>
      </w:r>
    </w:p>
    <w:p w14:paraId="0F2DBFCC" w14:textId="77777777" w:rsidR="00B3315D" w:rsidRPr="00D92410" w:rsidRDefault="00B3315D" w:rsidP="00B3315D">
      <w:pPr>
        <w:pStyle w:val="B4"/>
      </w:pPr>
      <w:r w:rsidRPr="00D92410">
        <w:t>-</w:t>
      </w:r>
      <w:r w:rsidRPr="00D92410">
        <w:tab/>
        <w:t>the PREAMBLE_RECEIVED_TARGET_POWER is set corresponding to the max</w:t>
      </w:r>
      <w:r w:rsidRPr="00D92410">
        <w:rPr>
          <w:noProof/>
        </w:rPr>
        <w:t xml:space="preserve"> UE output</w:t>
      </w:r>
      <w:r w:rsidRPr="00D92410">
        <w:t xml:space="preserve"> </w:t>
      </w:r>
      <w:proofErr w:type="gramStart"/>
      <w:r w:rsidRPr="00D92410">
        <w:t>power;</w:t>
      </w:r>
      <w:proofErr w:type="gramEnd"/>
    </w:p>
    <w:p w14:paraId="6923BB9D"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an NB-IoT UE,</w:t>
      </w:r>
      <w:r w:rsidRPr="00D92410">
        <w:rPr>
          <w:noProof/>
        </w:rPr>
        <w:t xml:space="preserve"> a BL UE or a UE in enhanced coverage:</w:t>
      </w:r>
    </w:p>
    <w:p w14:paraId="1AE17351" w14:textId="77777777" w:rsidR="00B3315D" w:rsidRPr="00D92410" w:rsidRDefault="00B3315D" w:rsidP="00B3315D">
      <w:pPr>
        <w:pStyle w:val="B2"/>
        <w:rPr>
          <w:noProof/>
        </w:rPr>
      </w:pPr>
      <w:r w:rsidRPr="00D92410">
        <w:rPr>
          <w:noProof/>
        </w:rPr>
        <w:t>-</w:t>
      </w:r>
      <w:r w:rsidRPr="00D92410">
        <w:rPr>
          <w:noProof/>
        </w:rPr>
        <w:tab/>
        <w:t xml:space="preserve">instruct the physical layer to transmit a preamble with the number of repetitions required for preamble transmission corresponding to the selected preamble group (i.e., </w:t>
      </w:r>
      <w:r w:rsidRPr="00D92410">
        <w:rPr>
          <w:i/>
          <w:noProof/>
        </w:rPr>
        <w:t>numRepetitionPerPreambleAttempt</w:t>
      </w:r>
      <w:r w:rsidRPr="00D92410">
        <w:rPr>
          <w:noProof/>
        </w:rPr>
        <w:t>) using the selected PRACH corresponding to the selected enhanced coverage level, corresponding RA-RNTI, preamble index</w:t>
      </w:r>
      <w:r w:rsidRPr="00D92410">
        <w:t xml:space="preserve"> or for NB-IoT subcarrier index</w:t>
      </w:r>
      <w:r w:rsidRPr="00D92410">
        <w:rPr>
          <w:noProof/>
        </w:rPr>
        <w:t>, and PREAMBLE_RECEIVED_TARGET_POWER.</w:t>
      </w:r>
    </w:p>
    <w:p w14:paraId="5611B8E0" w14:textId="77777777" w:rsidR="00B3315D" w:rsidRPr="00D92410" w:rsidRDefault="00B3315D" w:rsidP="00B3315D">
      <w:pPr>
        <w:pStyle w:val="B1"/>
        <w:rPr>
          <w:noProof/>
        </w:rPr>
      </w:pPr>
      <w:r w:rsidRPr="00D92410">
        <w:rPr>
          <w:noProof/>
        </w:rPr>
        <w:t>-</w:t>
      </w:r>
      <w:r w:rsidRPr="00D92410">
        <w:rPr>
          <w:noProof/>
        </w:rPr>
        <w:tab/>
        <w:t>else:</w:t>
      </w:r>
    </w:p>
    <w:p w14:paraId="00EE4A09" w14:textId="77777777" w:rsidR="00B3315D" w:rsidRPr="00D92410" w:rsidRDefault="00B3315D" w:rsidP="00B3315D">
      <w:pPr>
        <w:pStyle w:val="B2"/>
        <w:rPr>
          <w:noProof/>
        </w:rPr>
      </w:pPr>
      <w:r w:rsidRPr="00D92410">
        <w:rPr>
          <w:noProof/>
        </w:rPr>
        <w:lastRenderedPageBreak/>
        <w:t>-</w:t>
      </w:r>
      <w:r w:rsidRPr="00D92410">
        <w:rPr>
          <w:noProof/>
        </w:rPr>
        <w:tab/>
        <w:t>instruct the physical layer to transmit a preamble using the selected PRACH, corresponding RA-RNTI, preamble index and PREAMBLE_RECEIVED_TARGET_POWER.</w:t>
      </w:r>
    </w:p>
    <w:p w14:paraId="0B964579" w14:textId="77777777" w:rsidR="00A36524" w:rsidRDefault="00355467">
      <w:pPr>
        <w:pStyle w:val="Heading3"/>
      </w:pPr>
      <w:bookmarkStart w:id="98" w:name="_Toc37256210"/>
      <w:bookmarkStart w:id="99" w:name="_Toc29242953"/>
      <w:bookmarkStart w:id="100" w:name="_Toc37256364"/>
      <w:bookmarkStart w:id="101" w:name="_Toc193402447"/>
      <w:bookmarkStart w:id="102" w:name="_Toc46500303"/>
      <w:bookmarkStart w:id="103" w:name="_Toc52536212"/>
      <w:r>
        <w:t>5.1.4</w:t>
      </w:r>
      <w:r>
        <w:tab/>
        <w:t>Random Access Response reception</w:t>
      </w:r>
      <w:bookmarkEnd w:id="98"/>
      <w:bookmarkEnd w:id="99"/>
      <w:bookmarkEnd w:id="100"/>
      <w:bookmarkEnd w:id="101"/>
      <w:bookmarkEnd w:id="102"/>
      <w:bookmarkEnd w:id="103"/>
    </w:p>
    <w:p w14:paraId="1EF3E035" w14:textId="77777777" w:rsidR="00A36524" w:rsidRDefault="00355467">
      <w:r>
        <w:t xml:space="preserve">Once the Random Access Preamble is transmitted and regardless of the possible occurrence of a measurement gap or a </w:t>
      </w:r>
      <w:proofErr w:type="spellStart"/>
      <w:r>
        <w:t>Sidelink</w:t>
      </w:r>
      <w:proofErr w:type="spellEnd"/>
      <w:r>
        <w:t xml:space="preserve"> Discovery Gap for Transmission or a </w:t>
      </w:r>
      <w:proofErr w:type="spellStart"/>
      <w:r>
        <w:t>Sidelink</w:t>
      </w:r>
      <w:proofErr w:type="spellEnd"/>
      <w:r>
        <w:t xml:space="preserve"> Discovery Gap for Reception, and regardless of the prioritization of V2X </w:t>
      </w:r>
      <w:proofErr w:type="spellStart"/>
      <w:r>
        <w:t>sidelink</w:t>
      </w:r>
      <w:proofErr w:type="spellEnd"/>
      <w:r>
        <w:t xml:space="preserve"> communication described in clause 5.14.1.2.2, the MAC entity shall monitor the PDCCH of the </w:t>
      </w:r>
      <w:proofErr w:type="spellStart"/>
      <w:r>
        <w:t>SpCell</w:t>
      </w:r>
      <w:proofErr w:type="spellEnd"/>
      <w:r>
        <w:t xml:space="preserve"> for Random Access Response(s) identified by the RA-RNTI defined below, in the RA Response window which starts at the subframe that contains the end of the preamble </w:t>
      </w:r>
      <w:proofErr w:type="spellStart"/>
      <w:r>
        <w:t>transmission,as</w:t>
      </w:r>
      <w:proofErr w:type="spellEnd"/>
      <w:r>
        <w:t xml:space="preserve"> specified in TS 36.211 [7], plus three subframes and has length </w:t>
      </w:r>
      <w:proofErr w:type="spellStart"/>
      <w:r>
        <w:rPr>
          <w:i/>
        </w:rPr>
        <w:t>ra-ResponseWindowSize</w:t>
      </w:r>
      <w:proofErr w:type="spellEnd"/>
      <w:r>
        <w:t>.</w:t>
      </w:r>
    </w:p>
    <w:p w14:paraId="0CED10C0" w14:textId="77777777" w:rsidR="00A36524" w:rsidRDefault="00355467">
      <w:r>
        <w:t>If the UE is a BL UE or a UE in enhanced coverage:</w:t>
      </w:r>
    </w:p>
    <w:p w14:paraId="7DA84ADF" w14:textId="77777777" w:rsidR="00A36524" w:rsidRDefault="00355467">
      <w:pPr>
        <w:pStyle w:val="B1"/>
      </w:pPr>
      <w:r>
        <w:t>-</w:t>
      </w:r>
      <w:r>
        <w:tab/>
        <w:t xml:space="preserve">if the </w:t>
      </w:r>
      <w:proofErr w:type="gramStart"/>
      <w:r>
        <w:t>random access</w:t>
      </w:r>
      <w:proofErr w:type="gramEnd"/>
      <w:r>
        <w:t xml:space="preserve"> preamble was transmitted in a non-terrestrial network:</w:t>
      </w:r>
    </w:p>
    <w:p w14:paraId="3C4D44E6" w14:textId="77777777" w:rsidR="00A36524" w:rsidRDefault="00355467">
      <w:pPr>
        <w:pStyle w:val="B2"/>
      </w:pPr>
      <w:r>
        <w:t>-</w:t>
      </w:r>
      <w:r>
        <w:tab/>
        <w:t>RA Response window starts at the subframe that contains the end of the last preamble repetition plus 3 subframes plus UE-</w:t>
      </w:r>
      <w:proofErr w:type="spellStart"/>
      <w:r>
        <w:t>eNB</w:t>
      </w:r>
      <w:proofErr w:type="spellEnd"/>
      <w:r>
        <w:t xml:space="preserve"> RTT and has length </w:t>
      </w:r>
      <w:proofErr w:type="spellStart"/>
      <w:r>
        <w:rPr>
          <w:i/>
        </w:rPr>
        <w:t>ra-ResponseWindowSize</w:t>
      </w:r>
      <w:proofErr w:type="spellEnd"/>
      <w:r>
        <w:t xml:space="preserve"> for the corresponding enhanced coverage </w:t>
      </w:r>
      <w:proofErr w:type="gramStart"/>
      <w:r>
        <w:t>level;</w:t>
      </w:r>
      <w:proofErr w:type="gramEnd"/>
    </w:p>
    <w:p w14:paraId="7B58F701" w14:textId="77777777" w:rsidR="00A36524" w:rsidRDefault="00355467">
      <w:pPr>
        <w:pStyle w:val="B1"/>
      </w:pPr>
      <w:r>
        <w:t>-</w:t>
      </w:r>
      <w:r>
        <w:tab/>
        <w:t>else:</w:t>
      </w:r>
    </w:p>
    <w:p w14:paraId="1F08DE32" w14:textId="77777777" w:rsidR="00A36524" w:rsidRDefault="00355467">
      <w:pPr>
        <w:pStyle w:val="B2"/>
      </w:pPr>
      <w:r>
        <w:t>-</w:t>
      </w:r>
      <w:r>
        <w:tab/>
        <w:t xml:space="preserve">RA Response window starts at the subframe that contains the end of the last preamble repetition plus three subframes and has length </w:t>
      </w:r>
      <w:proofErr w:type="spellStart"/>
      <w:r>
        <w:rPr>
          <w:i/>
        </w:rPr>
        <w:t>ra-ResponseWindowSize</w:t>
      </w:r>
      <w:proofErr w:type="spellEnd"/>
      <w:r>
        <w:t xml:space="preserve"> for the corresponding enhanced coverage level.</w:t>
      </w:r>
    </w:p>
    <w:p w14:paraId="3240EF51" w14:textId="77777777" w:rsidR="00A36524" w:rsidRDefault="00355467">
      <w:r>
        <w:t>If the UE is an NB-IoT UE:</w:t>
      </w:r>
    </w:p>
    <w:p w14:paraId="0029D763" w14:textId="77777777" w:rsidR="00A36524" w:rsidRDefault="00355467">
      <w:pPr>
        <w:pStyle w:val="B1"/>
      </w:pPr>
      <w:r>
        <w:t>-</w:t>
      </w:r>
      <w:r>
        <w:tab/>
        <w:t xml:space="preserve">if the </w:t>
      </w:r>
      <w:proofErr w:type="gramStart"/>
      <w:r>
        <w:t>random access</w:t>
      </w:r>
      <w:proofErr w:type="gramEnd"/>
      <w:r>
        <w:t xml:space="preserve"> preamble was transmitted in a non-terrestrial network:</w:t>
      </w:r>
    </w:p>
    <w:p w14:paraId="6038A616" w14:textId="77777777" w:rsidR="00A36524" w:rsidRDefault="00355467">
      <w:pPr>
        <w:pStyle w:val="B2"/>
      </w:pPr>
      <w:r>
        <w:t>-</w:t>
      </w:r>
      <w:r>
        <w:tab/>
        <w:t>RA Response window starts at the subframe that contains the end of the last preamble repetition plus X subframes plus UE-</w:t>
      </w:r>
      <w:proofErr w:type="spellStart"/>
      <w:r>
        <w:t>eNB</w:t>
      </w:r>
      <w:proofErr w:type="spellEnd"/>
      <w:r>
        <w:t xml:space="preserve"> RTT 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w:t>
      </w:r>
      <w:proofErr w:type="gramStart"/>
      <w:r>
        <w:t>repetitions;</w:t>
      </w:r>
      <w:proofErr w:type="gramEnd"/>
    </w:p>
    <w:p w14:paraId="784891E0" w14:textId="77777777" w:rsidR="00A36524" w:rsidRDefault="00355467">
      <w:pPr>
        <w:pStyle w:val="B1"/>
      </w:pPr>
      <w:r>
        <w:t>-</w:t>
      </w:r>
      <w:r>
        <w:tab/>
        <w:t>else:</w:t>
      </w:r>
    </w:p>
    <w:p w14:paraId="13113E95" w14:textId="77777777" w:rsidR="00A36524" w:rsidRDefault="00355467">
      <w:pPr>
        <w:pStyle w:val="B2"/>
      </w:pPr>
      <w:r>
        <w:t>-</w:t>
      </w:r>
      <w:r>
        <w:tab/>
        <w:t xml:space="preserve">RA Response window starts at the subframe that contains the end of the last preamble repetition plus X subframes 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repetitions.</w:t>
      </w:r>
    </w:p>
    <w:p w14:paraId="179A8584" w14:textId="77777777" w:rsidR="00A36524" w:rsidRPr="00812FAD" w:rsidRDefault="00355467">
      <w:pPr>
        <w:pStyle w:val="TH"/>
      </w:pPr>
      <w:r>
        <w:t xml:space="preserve">Table 5.1.4-1: </w:t>
      </w:r>
      <w:r w:rsidRPr="00812FAD">
        <w:t>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A36524" w:rsidRPr="00812FAD" w14:paraId="46A4A79B" w14:textId="77777777">
        <w:trPr>
          <w:jc w:val="center"/>
        </w:trPr>
        <w:tc>
          <w:tcPr>
            <w:tcW w:w="1802" w:type="dxa"/>
          </w:tcPr>
          <w:p w14:paraId="1E00D2F3" w14:textId="46D2D45F" w:rsidR="00A36524" w:rsidRPr="00812FAD" w:rsidRDefault="00355467">
            <w:pPr>
              <w:pStyle w:val="TAH"/>
              <w:rPr>
                <w:lang w:eastAsia="zh-CN"/>
              </w:rPr>
            </w:pPr>
            <w:r w:rsidRPr="00812FAD">
              <w:rPr>
                <w:lang w:eastAsia="ko-KR"/>
              </w:rPr>
              <w:t>TDD/FDD</w:t>
            </w:r>
            <w:ins w:id="104" w:author="Toyota ITC2" w:date="2025-08-07T23:57:00Z">
              <w:r w:rsidR="00FA24EA" w:rsidRPr="00812FAD">
                <w:rPr>
                  <w:lang w:eastAsia="ko-KR"/>
                </w:rPr>
                <w:t>/IoT</w:t>
              </w:r>
            </w:ins>
            <w:ins w:id="105" w:author="Toyota ITC" w:date="2025-08-12T15:32:00Z">
              <w:r w:rsidR="00F15126">
                <w:rPr>
                  <w:lang w:eastAsia="ko-KR"/>
                </w:rPr>
                <w:t xml:space="preserve"> </w:t>
              </w:r>
            </w:ins>
            <w:ins w:id="106" w:author="Toyota ITC2" w:date="2025-08-07T23:57:00Z">
              <w:r w:rsidR="00FA24EA" w:rsidRPr="00812FAD">
                <w:rPr>
                  <w:lang w:eastAsia="ko-KR"/>
                </w:rPr>
                <w:t>NTN TDD</w:t>
              </w:r>
            </w:ins>
            <w:r w:rsidRPr="00812FAD">
              <w:rPr>
                <w:lang w:eastAsia="ko-KR"/>
              </w:rPr>
              <w:t xml:space="preserve"> mode</w:t>
            </w:r>
          </w:p>
        </w:tc>
        <w:tc>
          <w:tcPr>
            <w:tcW w:w="1721" w:type="dxa"/>
          </w:tcPr>
          <w:p w14:paraId="20A97E62" w14:textId="77777777" w:rsidR="00A36524" w:rsidRPr="00812FAD" w:rsidRDefault="00355467">
            <w:pPr>
              <w:pStyle w:val="TAH"/>
              <w:rPr>
                <w:lang w:eastAsia="zh-CN"/>
              </w:rPr>
            </w:pPr>
            <w:r w:rsidRPr="00812FAD">
              <w:rPr>
                <w:lang w:eastAsia="ko-KR"/>
              </w:rPr>
              <w:t>Preamble format</w:t>
            </w:r>
          </w:p>
        </w:tc>
        <w:tc>
          <w:tcPr>
            <w:tcW w:w="3119" w:type="dxa"/>
          </w:tcPr>
          <w:p w14:paraId="216241BB" w14:textId="77777777" w:rsidR="00A36524" w:rsidRPr="00812FAD" w:rsidRDefault="00355467">
            <w:pPr>
              <w:pStyle w:val="TAH"/>
              <w:rPr>
                <w:lang w:eastAsia="ko-KR"/>
              </w:rPr>
            </w:pPr>
            <w:r w:rsidRPr="00812FAD">
              <w:rPr>
                <w:lang w:eastAsia="ko-KR"/>
              </w:rPr>
              <w:t>Number of NPRACH repetitions</w:t>
            </w:r>
          </w:p>
        </w:tc>
        <w:tc>
          <w:tcPr>
            <w:tcW w:w="971" w:type="dxa"/>
          </w:tcPr>
          <w:p w14:paraId="51806B63" w14:textId="77777777" w:rsidR="00A36524" w:rsidRPr="00812FAD" w:rsidRDefault="00355467">
            <w:pPr>
              <w:pStyle w:val="TAH"/>
              <w:rPr>
                <w:lang w:eastAsia="zh-CN"/>
              </w:rPr>
            </w:pPr>
            <w:r w:rsidRPr="00812FAD">
              <w:rPr>
                <w:lang w:eastAsia="ko-KR"/>
              </w:rPr>
              <w:t xml:space="preserve">X </w:t>
            </w:r>
          </w:p>
        </w:tc>
      </w:tr>
      <w:tr w:rsidR="00A36524" w:rsidRPr="00812FAD" w14:paraId="16D2D39F" w14:textId="77777777">
        <w:trPr>
          <w:jc w:val="center"/>
        </w:trPr>
        <w:tc>
          <w:tcPr>
            <w:tcW w:w="1802" w:type="dxa"/>
            <w:vAlign w:val="center"/>
          </w:tcPr>
          <w:p w14:paraId="35BEBBB4" w14:textId="4A40FDD8" w:rsidR="00A36524" w:rsidRPr="00812FAD" w:rsidRDefault="00355467">
            <w:pPr>
              <w:pStyle w:val="TAC"/>
              <w:rPr>
                <w:lang w:eastAsia="ko-KR"/>
              </w:rPr>
            </w:pPr>
            <w:r w:rsidRPr="00812FAD">
              <w:rPr>
                <w:lang w:eastAsia="ko-KR"/>
              </w:rPr>
              <w:t>FDD</w:t>
            </w:r>
            <w:ins w:id="107" w:author="Toyota ITC2" w:date="2025-08-07T23:57:00Z">
              <w:r w:rsidR="00050D4B" w:rsidRPr="00812FAD">
                <w:rPr>
                  <w:lang w:eastAsia="ko-KR"/>
                </w:rPr>
                <w:t>/IoT</w:t>
              </w:r>
            </w:ins>
            <w:ins w:id="108" w:author="Toyota ITC" w:date="2025-08-12T15:32:00Z">
              <w:r w:rsidR="00050D4B">
                <w:rPr>
                  <w:lang w:eastAsia="ko-KR"/>
                </w:rPr>
                <w:t xml:space="preserve"> </w:t>
              </w:r>
            </w:ins>
            <w:ins w:id="109" w:author="Toyota ITC2" w:date="2025-08-07T23:57:00Z">
              <w:r w:rsidR="00050D4B" w:rsidRPr="00812FAD">
                <w:rPr>
                  <w:lang w:eastAsia="ko-KR"/>
                </w:rPr>
                <w:t>NTN TDD</w:t>
              </w:r>
            </w:ins>
          </w:p>
        </w:tc>
        <w:tc>
          <w:tcPr>
            <w:tcW w:w="1721" w:type="dxa"/>
            <w:vAlign w:val="center"/>
          </w:tcPr>
          <w:p w14:paraId="7133AC6C" w14:textId="77777777" w:rsidR="00A36524" w:rsidRPr="00812FAD" w:rsidRDefault="00355467">
            <w:pPr>
              <w:pStyle w:val="TAC"/>
              <w:rPr>
                <w:lang w:eastAsia="ko-KR"/>
              </w:rPr>
            </w:pPr>
            <w:r w:rsidRPr="00812FAD">
              <w:rPr>
                <w:lang w:eastAsia="ko-KR"/>
              </w:rPr>
              <w:t>0 or 1</w:t>
            </w:r>
          </w:p>
        </w:tc>
        <w:tc>
          <w:tcPr>
            <w:tcW w:w="3119" w:type="dxa"/>
          </w:tcPr>
          <w:p w14:paraId="666AA8BD" w14:textId="77777777" w:rsidR="00A36524" w:rsidRPr="00812FAD" w:rsidRDefault="00355467">
            <w:pPr>
              <w:pStyle w:val="TAC"/>
              <w:rPr>
                <w:lang w:eastAsia="zh-CN"/>
              </w:rPr>
            </w:pPr>
            <w:r w:rsidRPr="00812FAD">
              <w:rPr>
                <w:lang w:eastAsia="zh-CN"/>
              </w:rPr>
              <w:t>&gt;= 64</w:t>
            </w:r>
          </w:p>
        </w:tc>
        <w:tc>
          <w:tcPr>
            <w:tcW w:w="971" w:type="dxa"/>
            <w:vAlign w:val="center"/>
          </w:tcPr>
          <w:p w14:paraId="24D83E18" w14:textId="77777777" w:rsidR="00A36524" w:rsidRPr="00812FAD" w:rsidRDefault="00355467">
            <w:pPr>
              <w:pStyle w:val="TAC"/>
              <w:rPr>
                <w:lang w:eastAsia="ko-KR"/>
              </w:rPr>
            </w:pPr>
            <w:r w:rsidRPr="00812FAD">
              <w:rPr>
                <w:lang w:eastAsia="ko-KR"/>
              </w:rPr>
              <w:t>41</w:t>
            </w:r>
          </w:p>
        </w:tc>
      </w:tr>
      <w:tr w:rsidR="00A36524" w:rsidRPr="00812FAD" w14:paraId="40783C84" w14:textId="77777777">
        <w:trPr>
          <w:jc w:val="center"/>
        </w:trPr>
        <w:tc>
          <w:tcPr>
            <w:tcW w:w="1802" w:type="dxa"/>
            <w:vAlign w:val="center"/>
          </w:tcPr>
          <w:p w14:paraId="310D3761" w14:textId="5D14387C" w:rsidR="00A36524" w:rsidRPr="00812FAD" w:rsidRDefault="00355467">
            <w:pPr>
              <w:pStyle w:val="TAC"/>
              <w:rPr>
                <w:lang w:eastAsia="ko-KR"/>
              </w:rPr>
            </w:pPr>
            <w:r w:rsidRPr="00812FAD">
              <w:rPr>
                <w:lang w:eastAsia="ko-KR"/>
              </w:rPr>
              <w:t>FDD</w:t>
            </w:r>
            <w:ins w:id="110" w:author="Toyota ITC2" w:date="2025-08-07T23:57:00Z">
              <w:r w:rsidR="00050D4B" w:rsidRPr="00812FAD">
                <w:rPr>
                  <w:lang w:eastAsia="ko-KR"/>
                </w:rPr>
                <w:t>/IoT</w:t>
              </w:r>
            </w:ins>
            <w:ins w:id="111" w:author="Toyota ITC" w:date="2025-08-12T15:32:00Z">
              <w:r w:rsidR="00050D4B">
                <w:rPr>
                  <w:lang w:eastAsia="ko-KR"/>
                </w:rPr>
                <w:t xml:space="preserve"> </w:t>
              </w:r>
            </w:ins>
            <w:ins w:id="112" w:author="Toyota ITC2" w:date="2025-08-07T23:57:00Z">
              <w:r w:rsidR="00050D4B" w:rsidRPr="00812FAD">
                <w:rPr>
                  <w:lang w:eastAsia="ko-KR"/>
                </w:rPr>
                <w:t>NTN TDD</w:t>
              </w:r>
            </w:ins>
          </w:p>
        </w:tc>
        <w:tc>
          <w:tcPr>
            <w:tcW w:w="1721" w:type="dxa"/>
            <w:vAlign w:val="center"/>
          </w:tcPr>
          <w:p w14:paraId="63125C0D" w14:textId="77777777" w:rsidR="00A36524" w:rsidRPr="00812FAD" w:rsidRDefault="00355467">
            <w:pPr>
              <w:pStyle w:val="TAC"/>
              <w:rPr>
                <w:lang w:eastAsia="ko-KR"/>
              </w:rPr>
            </w:pPr>
            <w:r w:rsidRPr="00812FAD">
              <w:rPr>
                <w:lang w:eastAsia="ko-KR"/>
              </w:rPr>
              <w:t>0 or 1</w:t>
            </w:r>
          </w:p>
        </w:tc>
        <w:tc>
          <w:tcPr>
            <w:tcW w:w="3119" w:type="dxa"/>
          </w:tcPr>
          <w:p w14:paraId="52625A6E" w14:textId="77777777" w:rsidR="00A36524" w:rsidRPr="00812FAD" w:rsidRDefault="00355467">
            <w:pPr>
              <w:pStyle w:val="TAC"/>
              <w:rPr>
                <w:lang w:eastAsia="zh-CN"/>
              </w:rPr>
            </w:pPr>
            <w:r w:rsidRPr="00812FAD">
              <w:rPr>
                <w:lang w:eastAsia="zh-CN"/>
              </w:rPr>
              <w:t>&lt; 64</w:t>
            </w:r>
          </w:p>
        </w:tc>
        <w:tc>
          <w:tcPr>
            <w:tcW w:w="971" w:type="dxa"/>
            <w:vAlign w:val="center"/>
          </w:tcPr>
          <w:p w14:paraId="22340388" w14:textId="77777777" w:rsidR="00A36524" w:rsidRPr="00812FAD" w:rsidRDefault="00355467">
            <w:pPr>
              <w:pStyle w:val="TAC"/>
              <w:rPr>
                <w:lang w:eastAsia="ko-KR"/>
              </w:rPr>
            </w:pPr>
            <w:r w:rsidRPr="00812FAD">
              <w:rPr>
                <w:lang w:eastAsia="ko-KR"/>
              </w:rPr>
              <w:t>4</w:t>
            </w:r>
          </w:p>
        </w:tc>
      </w:tr>
      <w:tr w:rsidR="00A36524" w14:paraId="4B265234" w14:textId="77777777">
        <w:trPr>
          <w:jc w:val="center"/>
        </w:trPr>
        <w:tc>
          <w:tcPr>
            <w:tcW w:w="1802" w:type="dxa"/>
            <w:vAlign w:val="center"/>
          </w:tcPr>
          <w:p w14:paraId="5FB67210" w14:textId="77777777" w:rsidR="00A36524" w:rsidRPr="00812FAD" w:rsidRDefault="00355467">
            <w:pPr>
              <w:pStyle w:val="TAC"/>
              <w:rPr>
                <w:lang w:eastAsia="ko-KR"/>
              </w:rPr>
            </w:pPr>
            <w:r w:rsidRPr="00812FAD">
              <w:rPr>
                <w:lang w:eastAsia="ko-KR"/>
              </w:rPr>
              <w:t>FDD</w:t>
            </w:r>
          </w:p>
        </w:tc>
        <w:tc>
          <w:tcPr>
            <w:tcW w:w="1721" w:type="dxa"/>
            <w:vAlign w:val="center"/>
          </w:tcPr>
          <w:p w14:paraId="7542AF0B" w14:textId="77777777" w:rsidR="00A36524" w:rsidRPr="00812FAD" w:rsidRDefault="00355467">
            <w:pPr>
              <w:pStyle w:val="TAC"/>
              <w:rPr>
                <w:lang w:eastAsia="ko-KR"/>
              </w:rPr>
            </w:pPr>
            <w:r w:rsidRPr="00812FAD">
              <w:rPr>
                <w:lang w:eastAsia="ko-KR"/>
              </w:rPr>
              <w:t>2</w:t>
            </w:r>
          </w:p>
        </w:tc>
        <w:tc>
          <w:tcPr>
            <w:tcW w:w="3119" w:type="dxa"/>
          </w:tcPr>
          <w:p w14:paraId="1A423408" w14:textId="77777777" w:rsidR="00A36524" w:rsidRPr="00812FAD" w:rsidRDefault="00355467">
            <w:pPr>
              <w:pStyle w:val="TAC"/>
              <w:rPr>
                <w:lang w:eastAsia="zh-CN"/>
              </w:rPr>
            </w:pPr>
            <w:r w:rsidRPr="00812FAD">
              <w:rPr>
                <w:lang w:eastAsia="zh-CN"/>
              </w:rPr>
              <w:t>&gt;= 16</w:t>
            </w:r>
          </w:p>
        </w:tc>
        <w:tc>
          <w:tcPr>
            <w:tcW w:w="971" w:type="dxa"/>
            <w:vAlign w:val="center"/>
          </w:tcPr>
          <w:p w14:paraId="78D2D445" w14:textId="77777777" w:rsidR="00A36524" w:rsidRDefault="00355467">
            <w:pPr>
              <w:pStyle w:val="TAC"/>
              <w:rPr>
                <w:lang w:eastAsia="ko-KR"/>
              </w:rPr>
            </w:pPr>
            <w:r w:rsidRPr="00812FAD">
              <w:rPr>
                <w:lang w:eastAsia="ko-KR"/>
              </w:rPr>
              <w:t>41</w:t>
            </w:r>
          </w:p>
        </w:tc>
      </w:tr>
      <w:tr w:rsidR="00A36524" w14:paraId="7DBA0ECF" w14:textId="77777777">
        <w:trPr>
          <w:jc w:val="center"/>
        </w:trPr>
        <w:tc>
          <w:tcPr>
            <w:tcW w:w="1802" w:type="dxa"/>
            <w:vAlign w:val="center"/>
          </w:tcPr>
          <w:p w14:paraId="182C678A" w14:textId="77777777" w:rsidR="00A36524" w:rsidRDefault="00355467">
            <w:pPr>
              <w:pStyle w:val="TAC"/>
              <w:rPr>
                <w:lang w:eastAsia="ko-KR"/>
              </w:rPr>
            </w:pPr>
            <w:r>
              <w:rPr>
                <w:lang w:eastAsia="ko-KR"/>
              </w:rPr>
              <w:t>FDD</w:t>
            </w:r>
          </w:p>
        </w:tc>
        <w:tc>
          <w:tcPr>
            <w:tcW w:w="1721" w:type="dxa"/>
            <w:vAlign w:val="center"/>
          </w:tcPr>
          <w:p w14:paraId="7A8CDA04" w14:textId="77777777" w:rsidR="00A36524" w:rsidRDefault="00355467">
            <w:pPr>
              <w:pStyle w:val="TAC"/>
              <w:rPr>
                <w:lang w:eastAsia="ko-KR"/>
              </w:rPr>
            </w:pPr>
            <w:r>
              <w:rPr>
                <w:lang w:eastAsia="ko-KR"/>
              </w:rPr>
              <w:t>2</w:t>
            </w:r>
          </w:p>
        </w:tc>
        <w:tc>
          <w:tcPr>
            <w:tcW w:w="3119" w:type="dxa"/>
          </w:tcPr>
          <w:p w14:paraId="0894D733" w14:textId="77777777" w:rsidR="00A36524" w:rsidRDefault="00355467">
            <w:pPr>
              <w:pStyle w:val="TAC"/>
              <w:rPr>
                <w:lang w:eastAsia="zh-CN"/>
              </w:rPr>
            </w:pPr>
            <w:r>
              <w:rPr>
                <w:lang w:eastAsia="zh-CN"/>
              </w:rPr>
              <w:t>&lt; 16</w:t>
            </w:r>
          </w:p>
        </w:tc>
        <w:tc>
          <w:tcPr>
            <w:tcW w:w="971" w:type="dxa"/>
            <w:vAlign w:val="center"/>
          </w:tcPr>
          <w:p w14:paraId="511069DC" w14:textId="77777777" w:rsidR="00A36524" w:rsidRDefault="00355467">
            <w:pPr>
              <w:pStyle w:val="TAC"/>
              <w:rPr>
                <w:lang w:eastAsia="ko-KR"/>
              </w:rPr>
            </w:pPr>
            <w:r>
              <w:rPr>
                <w:lang w:eastAsia="ko-KR"/>
              </w:rPr>
              <w:t>4</w:t>
            </w:r>
          </w:p>
        </w:tc>
      </w:tr>
      <w:tr w:rsidR="00A36524" w14:paraId="5ACCD0B3" w14:textId="77777777">
        <w:trPr>
          <w:jc w:val="center"/>
        </w:trPr>
        <w:tc>
          <w:tcPr>
            <w:tcW w:w="1802" w:type="dxa"/>
            <w:vAlign w:val="center"/>
          </w:tcPr>
          <w:p w14:paraId="65D71EFF" w14:textId="77777777" w:rsidR="00A36524" w:rsidRDefault="00355467">
            <w:pPr>
              <w:pStyle w:val="TAC"/>
              <w:rPr>
                <w:lang w:eastAsia="ko-KR"/>
              </w:rPr>
            </w:pPr>
            <w:r>
              <w:rPr>
                <w:lang w:eastAsia="ko-KR"/>
              </w:rPr>
              <w:t>TDD</w:t>
            </w:r>
          </w:p>
        </w:tc>
        <w:tc>
          <w:tcPr>
            <w:tcW w:w="1721" w:type="dxa"/>
            <w:vAlign w:val="center"/>
          </w:tcPr>
          <w:p w14:paraId="08CD09F6" w14:textId="77777777" w:rsidR="00A36524" w:rsidRDefault="00355467">
            <w:pPr>
              <w:pStyle w:val="TAC"/>
              <w:rPr>
                <w:lang w:eastAsia="ko-KR"/>
              </w:rPr>
            </w:pPr>
            <w:r>
              <w:rPr>
                <w:lang w:eastAsia="ko-KR"/>
              </w:rPr>
              <w:t>Any</w:t>
            </w:r>
          </w:p>
        </w:tc>
        <w:tc>
          <w:tcPr>
            <w:tcW w:w="3119" w:type="dxa"/>
          </w:tcPr>
          <w:p w14:paraId="3D03D65E" w14:textId="77777777" w:rsidR="00A36524" w:rsidRDefault="00355467">
            <w:pPr>
              <w:pStyle w:val="TAC"/>
              <w:rPr>
                <w:lang w:eastAsia="zh-CN"/>
              </w:rPr>
            </w:pPr>
            <w:r>
              <w:rPr>
                <w:lang w:eastAsia="zh-CN"/>
              </w:rPr>
              <w:t>Any</w:t>
            </w:r>
          </w:p>
        </w:tc>
        <w:tc>
          <w:tcPr>
            <w:tcW w:w="971" w:type="dxa"/>
            <w:vAlign w:val="center"/>
          </w:tcPr>
          <w:p w14:paraId="5743B03C" w14:textId="77777777" w:rsidR="00A36524" w:rsidRDefault="00355467">
            <w:pPr>
              <w:pStyle w:val="TAC"/>
              <w:rPr>
                <w:lang w:eastAsia="ko-KR"/>
              </w:rPr>
            </w:pPr>
            <w:r>
              <w:rPr>
                <w:lang w:eastAsia="ko-KR"/>
              </w:rPr>
              <w:t>4</w:t>
            </w:r>
          </w:p>
        </w:tc>
      </w:tr>
    </w:tbl>
    <w:p w14:paraId="7E6F5A3C" w14:textId="77777777" w:rsidR="00A36524" w:rsidRDefault="00A36524">
      <w:pPr>
        <w:rPr>
          <w:sz w:val="4"/>
          <w:szCs w:val="4"/>
        </w:rPr>
      </w:pPr>
    </w:p>
    <w:p w14:paraId="568F6278" w14:textId="77777777" w:rsidR="00A36524" w:rsidRDefault="00355467">
      <w:r>
        <w:t xml:space="preserve">The RA-RNTI associated with the PRACH in which the </w:t>
      </w:r>
      <w:proofErr w:type="gramStart"/>
      <w:r>
        <w:t>Random Access</w:t>
      </w:r>
      <w:proofErr w:type="gramEnd"/>
      <w:r>
        <w:t xml:space="preserve"> Preamble is transmitted, is computed as:</w:t>
      </w:r>
    </w:p>
    <w:p w14:paraId="55C16B29" w14:textId="77777777" w:rsidR="00A36524" w:rsidRDefault="00355467">
      <w:pPr>
        <w:jc w:val="center"/>
      </w:pPr>
      <w:r>
        <w:t xml:space="preserve">RA-RNTI= 1 + </w:t>
      </w:r>
      <w:proofErr w:type="spellStart"/>
      <w:r>
        <w:t>t_id</w:t>
      </w:r>
      <w:proofErr w:type="spellEnd"/>
      <w:r>
        <w:t xml:space="preserve"> + 10*</w:t>
      </w:r>
      <w:proofErr w:type="spellStart"/>
      <w:r>
        <w:t>f_id</w:t>
      </w:r>
      <w:proofErr w:type="spellEnd"/>
    </w:p>
    <w:p w14:paraId="7838EE5D" w14:textId="77777777" w:rsidR="00A36524" w:rsidRDefault="00355467">
      <w:r>
        <w:t xml:space="preserve">where </w:t>
      </w:r>
      <w:proofErr w:type="spellStart"/>
      <w:r>
        <w:t>t_id</w:t>
      </w:r>
      <w:proofErr w:type="spellEnd"/>
      <w:r>
        <w:t xml:space="preserve"> is the index of the first subframe of the specified PRACH (0≤ </w:t>
      </w:r>
      <w:proofErr w:type="spellStart"/>
      <w:r>
        <w:t>t_id</w:t>
      </w:r>
      <w:proofErr w:type="spellEnd"/>
      <w:r>
        <w:t xml:space="preserve"> &lt;10), and </w:t>
      </w:r>
      <w:proofErr w:type="spellStart"/>
      <w:r>
        <w:t>f_id</w:t>
      </w:r>
      <w:proofErr w:type="spellEnd"/>
      <w:r>
        <w:t xml:space="preserve"> is the index of the specified PRACH within that subframe, in ascending order of frequency domain (0≤ </w:t>
      </w:r>
      <w:proofErr w:type="spellStart"/>
      <w:r>
        <w:t>f_id</w:t>
      </w:r>
      <w:proofErr w:type="spellEnd"/>
      <w:r>
        <w:t xml:space="preserve">&lt; 6) except for NB-IoT UEs, BL UEs or UEs in enhanced coverage. If the PRACH resource is on a </w:t>
      </w:r>
      <w:r>
        <w:rPr>
          <w:iCs/>
          <w:lang w:eastAsia="zh-CN"/>
        </w:rPr>
        <w:t>TDD carrier,</w:t>
      </w:r>
      <w:r>
        <w:t xml:space="preserve"> the </w:t>
      </w:r>
      <w:proofErr w:type="spellStart"/>
      <w:r>
        <w:t>f_id</w:t>
      </w:r>
      <w:proofErr w:type="spellEnd"/>
      <w:r>
        <w:t xml:space="preserve"> is set to </w:t>
      </w:r>
      <w:r>
        <w:rPr>
          <w:position w:val="-10"/>
        </w:rPr>
        <w:object w:dxaOrig="376" w:dyaOrig="301" w14:anchorId="27531106">
          <v:shape id="_x0000_i1026" type="#_x0000_t75" style="width:19.15pt;height:15pt" o:ole="">
            <v:imagedata r:id="rId17" o:title=""/>
          </v:shape>
          <o:OLEObject Type="Embed" ProgID="Equation.3" ShapeID="_x0000_i1026" DrawAspect="Content" ObjectID="_1818588077" r:id="rId18"/>
        </w:object>
      </w:r>
      <w:r>
        <w:t xml:space="preserve">, where </w:t>
      </w:r>
      <w:r>
        <w:rPr>
          <w:position w:val="-10"/>
        </w:rPr>
        <w:object w:dxaOrig="376" w:dyaOrig="301" w14:anchorId="3D4771E1">
          <v:shape id="_x0000_i1027" type="#_x0000_t75" style="width:19.15pt;height:15pt" o:ole="">
            <v:imagedata r:id="rId17" o:title=""/>
          </v:shape>
          <o:OLEObject Type="Embed" ProgID="Equation.3" ShapeID="_x0000_i1027" DrawAspect="Content" ObjectID="_1818588078" r:id="rId19"/>
        </w:object>
      </w:r>
      <w:r>
        <w:t xml:space="preserve"> is defined in clause 5.7.1 of TS 36.211 [7].</w:t>
      </w:r>
    </w:p>
    <w:p w14:paraId="0CAE613F" w14:textId="77777777" w:rsidR="00A36524" w:rsidRDefault="00355467">
      <w:r>
        <w:t xml:space="preserve">For BL UEs and UEs in enhanced coverage, RA-RNTI associated with the PRACH in which the </w:t>
      </w:r>
      <w:proofErr w:type="gramStart"/>
      <w:r>
        <w:t>Random Access</w:t>
      </w:r>
      <w:proofErr w:type="gramEnd"/>
      <w:r>
        <w:t xml:space="preserve"> Preamble is transmitted, is computed as:</w:t>
      </w:r>
    </w:p>
    <w:p w14:paraId="18D564A9" w14:textId="77777777" w:rsidR="00A36524" w:rsidRDefault="00355467">
      <w:pPr>
        <w:jc w:val="center"/>
      </w:pPr>
      <w:r>
        <w:rPr>
          <w:rFonts w:eastAsia="MS PGothic" w:cs="Arial"/>
          <w:bCs/>
        </w:rPr>
        <w:t>RA-RNTI=1+t_id + 10*</w:t>
      </w:r>
      <w:proofErr w:type="spellStart"/>
      <w:r>
        <w:rPr>
          <w:rFonts w:eastAsia="MS PGothic" w:cs="Arial"/>
          <w:bCs/>
        </w:rPr>
        <w:t>f_id</w:t>
      </w:r>
      <w:proofErr w:type="spellEnd"/>
      <w:r>
        <w:rPr>
          <w:rFonts w:eastAsia="MS PGothic" w:cs="Arial"/>
          <w:bCs/>
        </w:rPr>
        <w:t> + 60*(</w:t>
      </w:r>
      <w:proofErr w:type="spellStart"/>
      <w:r>
        <w:rPr>
          <w:rFonts w:eastAsia="MS PGothic" w:cs="Arial"/>
          <w:bCs/>
        </w:rPr>
        <w:t>SFN_id</w:t>
      </w:r>
      <w:proofErr w:type="spellEnd"/>
      <w:r>
        <w:rPr>
          <w:rFonts w:eastAsia="MS PGothic" w:cs="Arial"/>
          <w:bCs/>
        </w:rPr>
        <w:t xml:space="preserve"> mod (</w:t>
      </w:r>
      <w:proofErr w:type="spellStart"/>
      <w:r>
        <w:rPr>
          <w:rFonts w:eastAsia="MS PGothic" w:cs="Arial"/>
          <w:bCs/>
        </w:rPr>
        <w:t>Wmax</w:t>
      </w:r>
      <w:proofErr w:type="spellEnd"/>
      <w:r>
        <w:rPr>
          <w:rFonts w:eastAsia="MS PGothic" w:cs="Arial"/>
          <w:bCs/>
        </w:rPr>
        <w:t>/10))</w:t>
      </w:r>
    </w:p>
    <w:p w14:paraId="4D8378C4" w14:textId="77777777" w:rsidR="00A36524" w:rsidRDefault="00355467">
      <w:r>
        <w:lastRenderedPageBreak/>
        <w:t xml:space="preserve">where </w:t>
      </w:r>
      <w:proofErr w:type="spellStart"/>
      <w:r>
        <w:t>t_id</w:t>
      </w:r>
      <w:proofErr w:type="spellEnd"/>
      <w:r>
        <w:t xml:space="preserve"> is the index of the first subframe of the specified PRACH (0≤ </w:t>
      </w:r>
      <w:proofErr w:type="spellStart"/>
      <w:r>
        <w:t>t_id</w:t>
      </w:r>
      <w:proofErr w:type="spellEnd"/>
      <w:r>
        <w:t xml:space="preserve"> &lt;10), </w:t>
      </w:r>
      <w:proofErr w:type="spellStart"/>
      <w:r>
        <w:t>f_id</w:t>
      </w:r>
      <w:proofErr w:type="spellEnd"/>
      <w:r>
        <w:t xml:space="preserve"> is the index of the specified PRACH within that subframe, in ascending order of frequency domain (0≤ </w:t>
      </w:r>
      <w:proofErr w:type="spellStart"/>
      <w:r>
        <w:t>f_id</w:t>
      </w:r>
      <w:proofErr w:type="spellEnd"/>
      <w:r>
        <w:t xml:space="preserve">&lt; 6), </w:t>
      </w:r>
      <w:proofErr w:type="spellStart"/>
      <w:r>
        <w:t>SFN_id</w:t>
      </w:r>
      <w:proofErr w:type="spellEnd"/>
      <w:r>
        <w:t xml:space="preserve"> is the index of the first radio frame of the specified PRACH, and </w:t>
      </w:r>
      <w:proofErr w:type="spellStart"/>
      <w:r>
        <w:t>Wmax</w:t>
      </w:r>
      <w:proofErr w:type="spellEnd"/>
      <w:r>
        <w:t xml:space="preserve"> is 400, maximum possible RAR window size in subframes for BL UEs or UEs in enhanced coverage. If the PRACH resource is on a </w:t>
      </w:r>
      <w:r>
        <w:rPr>
          <w:iCs/>
          <w:lang w:eastAsia="zh-CN"/>
        </w:rPr>
        <w:t>TDD carrier,</w:t>
      </w:r>
      <w:r>
        <w:t xml:space="preserve"> the </w:t>
      </w:r>
      <w:proofErr w:type="spellStart"/>
      <w:r>
        <w:t>f_id</w:t>
      </w:r>
      <w:proofErr w:type="spellEnd"/>
      <w:r>
        <w:t xml:space="preserve"> is set to </w:t>
      </w:r>
      <w:r>
        <w:rPr>
          <w:position w:val="-10"/>
        </w:rPr>
        <w:object w:dxaOrig="376" w:dyaOrig="301" w14:anchorId="50A72146">
          <v:shape id="_x0000_i1028" type="#_x0000_t75" style="width:19.15pt;height:15pt" o:ole="">
            <v:imagedata r:id="rId17" o:title=""/>
          </v:shape>
          <o:OLEObject Type="Embed" ProgID="Equation.3" ShapeID="_x0000_i1028" DrawAspect="Content" ObjectID="_1818588079" r:id="rId20"/>
        </w:object>
      </w:r>
      <w:r>
        <w:t xml:space="preserve">, where </w:t>
      </w:r>
      <w:r>
        <w:rPr>
          <w:position w:val="-10"/>
        </w:rPr>
        <w:object w:dxaOrig="376" w:dyaOrig="301" w14:anchorId="7A14907A">
          <v:shape id="_x0000_i1029" type="#_x0000_t75" style="width:19.15pt;height:15pt" o:ole="">
            <v:imagedata r:id="rId17" o:title=""/>
          </v:shape>
          <o:OLEObject Type="Embed" ProgID="Equation.3" ShapeID="_x0000_i1029" DrawAspect="Content" ObjectID="_1818588080" r:id="rId21"/>
        </w:object>
      </w:r>
      <w:r>
        <w:t xml:space="preserve"> is defined in clause 5.7.1 of TS 36.211 [7].</w:t>
      </w:r>
    </w:p>
    <w:p w14:paraId="122783EA" w14:textId="77777777" w:rsidR="00A36524" w:rsidRDefault="00355467">
      <w:r>
        <w:t xml:space="preserve">For </w:t>
      </w:r>
      <w:commentRangeStart w:id="113"/>
      <w:commentRangeStart w:id="114"/>
      <w:commentRangeStart w:id="115"/>
      <w:r>
        <w:t>NB-IoT UEs</w:t>
      </w:r>
      <w:commentRangeEnd w:id="113"/>
      <w:r w:rsidR="00A74491">
        <w:rPr>
          <w:rStyle w:val="CommentReference"/>
        </w:rPr>
        <w:commentReference w:id="113"/>
      </w:r>
      <w:commentRangeEnd w:id="114"/>
      <w:r w:rsidR="00967011">
        <w:rPr>
          <w:rStyle w:val="CommentReference"/>
        </w:rPr>
        <w:commentReference w:id="114"/>
      </w:r>
      <w:commentRangeEnd w:id="115"/>
      <w:r w:rsidR="009B6786">
        <w:rPr>
          <w:rStyle w:val="CommentReference"/>
        </w:rPr>
        <w:commentReference w:id="115"/>
      </w:r>
      <w:r>
        <w:t xml:space="preserve">, the RA-RNTI associated with the PRACH in which the </w:t>
      </w:r>
      <w:proofErr w:type="gramStart"/>
      <w:r>
        <w:t>Random Access</w:t>
      </w:r>
      <w:proofErr w:type="gramEnd"/>
      <w:r>
        <w:t xml:space="preserve"> Preamble is transmitted, is computed as:</w:t>
      </w:r>
    </w:p>
    <w:p w14:paraId="10FC72CB" w14:textId="77777777" w:rsidR="00A36524" w:rsidRDefault="00355467">
      <w:pPr>
        <w:jc w:val="center"/>
      </w:pPr>
      <w:r>
        <w:rPr>
          <w:rFonts w:eastAsia="MS PGothic" w:cs="Arial"/>
          <w:bCs/>
        </w:rPr>
        <w:t xml:space="preserve">RA-RNTI=1 + </w:t>
      </w:r>
      <w:proofErr w:type="gramStart"/>
      <w:r>
        <w:rPr>
          <w:rFonts w:cs="Arial"/>
          <w:bCs/>
          <w:lang w:eastAsia="zh-CN"/>
        </w:rPr>
        <w:t>floor(</w:t>
      </w:r>
      <w:proofErr w:type="spellStart"/>
      <w:proofErr w:type="gramEnd"/>
      <w:r>
        <w:rPr>
          <w:rFonts w:eastAsia="MS PGothic" w:cs="Arial"/>
          <w:bCs/>
        </w:rPr>
        <w:t>SFN_id</w:t>
      </w:r>
      <w:proofErr w:type="spellEnd"/>
      <w:r>
        <w:rPr>
          <w:rFonts w:eastAsia="MS PGothic" w:cs="Arial"/>
          <w:bCs/>
        </w:rPr>
        <w:t>/4</w:t>
      </w:r>
      <w:r>
        <w:rPr>
          <w:rFonts w:cs="Arial"/>
          <w:bCs/>
          <w:lang w:eastAsia="zh-CN"/>
        </w:rPr>
        <w:t>) + 256*</w:t>
      </w:r>
      <w:proofErr w:type="spellStart"/>
      <w:r>
        <w:rPr>
          <w:rFonts w:cs="Arial"/>
          <w:bCs/>
          <w:lang w:eastAsia="zh-CN"/>
        </w:rPr>
        <w:t>carrier_id</w:t>
      </w:r>
      <w:proofErr w:type="spellEnd"/>
    </w:p>
    <w:p w14:paraId="24040987" w14:textId="77777777" w:rsidR="00A36524" w:rsidRDefault="00355467">
      <w:r>
        <w:t xml:space="preserve">where </w:t>
      </w:r>
      <w:proofErr w:type="spellStart"/>
      <w:r>
        <w:t>SFN_id</w:t>
      </w:r>
      <w:proofErr w:type="spellEnd"/>
      <w:r>
        <w:t xml:space="preserve"> is the index of the first radio frame of the specified PRACH and </w:t>
      </w:r>
      <w:proofErr w:type="spellStart"/>
      <w:r>
        <w:t>carrier_id</w:t>
      </w:r>
      <w:proofErr w:type="spellEnd"/>
      <w:r>
        <w:t xml:space="preserve"> is the index of the UL carrier associated with the specified PRACH. The </w:t>
      </w:r>
      <w:proofErr w:type="spellStart"/>
      <w:r>
        <w:t>carrier_id</w:t>
      </w:r>
      <w:proofErr w:type="spellEnd"/>
      <w:r>
        <w:t xml:space="preserve"> of the anchor carrier is 0.</w:t>
      </w:r>
    </w:p>
    <w:p w14:paraId="49EE5084" w14:textId="77777777" w:rsidR="00A36524" w:rsidRDefault="00355467">
      <w:r>
        <w:t xml:space="preserve">For NB-IoT UEs operating in TDD mode, the RA-RNTI associated with the PRACH in which the </w:t>
      </w:r>
      <w:proofErr w:type="gramStart"/>
      <w:r>
        <w:t>Random Access</w:t>
      </w:r>
      <w:proofErr w:type="gramEnd"/>
      <w:r>
        <w:t xml:space="preserve"> Preamble is transmitted, is computed as:</w:t>
      </w:r>
    </w:p>
    <w:p w14:paraId="5693B4F0" w14:textId="77777777" w:rsidR="00A36524" w:rsidRDefault="00355467">
      <w:pPr>
        <w:pStyle w:val="EQ"/>
        <w:jc w:val="center"/>
      </w:pPr>
      <w:r>
        <w:t xml:space="preserve">RA-RNTI = 1 + </w:t>
      </w:r>
      <w:proofErr w:type="gramStart"/>
      <w:r>
        <w:t>floor(</w:t>
      </w:r>
      <w:proofErr w:type="spellStart"/>
      <w:proofErr w:type="gramEnd"/>
      <w:r>
        <w:t>SFN_id</w:t>
      </w:r>
      <w:proofErr w:type="spellEnd"/>
      <w:r>
        <w:t>/4) + 256*(H-SFN mod 2)</w:t>
      </w:r>
    </w:p>
    <w:p w14:paraId="0F1063AC" w14:textId="77777777" w:rsidR="00A36524" w:rsidRDefault="00355467">
      <w:r>
        <w:t xml:space="preserve">where </w:t>
      </w:r>
      <w:proofErr w:type="spellStart"/>
      <w:r>
        <w:t>SFN_id</w:t>
      </w:r>
      <w:proofErr w:type="spellEnd"/>
      <w:r>
        <w:t xml:space="preserve"> is the index of the first radio frame of the specified PRACH and H-SFN is the index of the first hyper frame of the specified PRACH. The PDCCH transmission and the PRACH resource are on the same carrier.</w:t>
      </w:r>
    </w:p>
    <w:p w14:paraId="02CC7529" w14:textId="77777777" w:rsidR="00A36524" w:rsidRDefault="00355467">
      <w:r>
        <w:t xml:space="preserve">The MAC entity may stop monitoring for Random Access Response(s) after successful reception of a </w:t>
      </w:r>
      <w:proofErr w:type="gramStart"/>
      <w:r>
        <w:t>Random Access</w:t>
      </w:r>
      <w:proofErr w:type="gramEnd"/>
      <w:r>
        <w:t xml:space="preserve"> Response containing Random Access Preamble identifiers that matches the transmitted </w:t>
      </w:r>
      <w:proofErr w:type="gramStart"/>
      <w:r>
        <w:t>Random Access</w:t>
      </w:r>
      <w:proofErr w:type="gramEnd"/>
      <w:r>
        <w:t xml:space="preserve"> Preamble.</w:t>
      </w:r>
    </w:p>
    <w:p w14:paraId="78B757CB" w14:textId="77777777" w:rsidR="00A36524" w:rsidRDefault="00355467">
      <w:pPr>
        <w:pStyle w:val="B1"/>
      </w:pPr>
      <w:r>
        <w:t>-</w:t>
      </w:r>
      <w:r>
        <w:tab/>
        <w:t>If a downlink assignment for this TTI has been received on the PDCCH for the RA</w:t>
      </w:r>
      <w:r>
        <w:rPr>
          <w:lang w:eastAsia="zh-CN"/>
        </w:rPr>
        <w:t>-</w:t>
      </w:r>
      <w:r>
        <w:t xml:space="preserve">RNTI and the received TB is successfully decoded, the MAC entity shall regardless of the possible occurrence of a measurement gap or a </w:t>
      </w:r>
      <w:proofErr w:type="spellStart"/>
      <w:r>
        <w:t>Sidelink</w:t>
      </w:r>
      <w:proofErr w:type="spellEnd"/>
      <w:r>
        <w:t xml:space="preserve"> Discovery Gap for Transmission or a </w:t>
      </w:r>
      <w:proofErr w:type="spellStart"/>
      <w:r>
        <w:t>Sidelink</w:t>
      </w:r>
      <w:proofErr w:type="spellEnd"/>
      <w:r>
        <w:t xml:space="preserve"> Discovery Gap for Reception, and regardless of the prioritization of V2X </w:t>
      </w:r>
      <w:proofErr w:type="spellStart"/>
      <w:r>
        <w:t>sidelink</w:t>
      </w:r>
      <w:proofErr w:type="spellEnd"/>
      <w:r>
        <w:t xml:space="preserve"> communication described in clause 5.14.1.2.2:</w:t>
      </w:r>
    </w:p>
    <w:p w14:paraId="2CB005E7" w14:textId="77777777" w:rsidR="00A36524" w:rsidRDefault="00355467">
      <w:pPr>
        <w:pStyle w:val="B2"/>
      </w:pPr>
      <w:r>
        <w:t>-</w:t>
      </w:r>
      <w:r>
        <w:tab/>
        <w:t xml:space="preserve">if the </w:t>
      </w:r>
      <w:proofErr w:type="gramStart"/>
      <w:r>
        <w:t>Random Access</w:t>
      </w:r>
      <w:proofErr w:type="gramEnd"/>
      <w:r>
        <w:t xml:space="preserve"> Response contains a Backoff Indicator </w:t>
      </w:r>
      <w:proofErr w:type="spellStart"/>
      <w:r>
        <w:t>subheader</w:t>
      </w:r>
      <w:proofErr w:type="spellEnd"/>
      <w:r>
        <w:t>:</w:t>
      </w:r>
    </w:p>
    <w:p w14:paraId="77DF42C2" w14:textId="77777777" w:rsidR="00A36524" w:rsidRDefault="00355467">
      <w:pPr>
        <w:pStyle w:val="B3"/>
      </w:pPr>
      <w:r>
        <w:t>-</w:t>
      </w:r>
      <w:r>
        <w:tab/>
        <w:t xml:space="preserve">set the backoff parameter value as indicated by the BI field of the Backoff Indicator </w:t>
      </w:r>
      <w:proofErr w:type="spellStart"/>
      <w:r>
        <w:t>subheader</w:t>
      </w:r>
      <w:proofErr w:type="spellEnd"/>
      <w:r>
        <w:t xml:space="preserve"> and Table 7.2-1, except for NB-IoT where the value from Table 7.2-2 is used.</w:t>
      </w:r>
    </w:p>
    <w:p w14:paraId="4B11167E" w14:textId="77777777" w:rsidR="00A36524" w:rsidRDefault="00355467">
      <w:pPr>
        <w:pStyle w:val="B2"/>
      </w:pPr>
      <w:r>
        <w:t>-</w:t>
      </w:r>
      <w:r>
        <w:tab/>
        <w:t xml:space="preserve">else, set the backoff parameter value to 0 </w:t>
      </w:r>
      <w:proofErr w:type="spellStart"/>
      <w:r>
        <w:t>ms</w:t>
      </w:r>
      <w:proofErr w:type="spellEnd"/>
      <w:r>
        <w:t>.</w:t>
      </w:r>
    </w:p>
    <w:p w14:paraId="6998D017" w14:textId="77777777" w:rsidR="00A36524" w:rsidRDefault="00355467">
      <w:pPr>
        <w:pStyle w:val="B2"/>
      </w:pPr>
      <w:r>
        <w:t>-</w:t>
      </w:r>
      <w:r>
        <w:tab/>
        <w:t xml:space="preserve">if the </w:t>
      </w:r>
      <w:proofErr w:type="gramStart"/>
      <w:r>
        <w:t>Random Access</w:t>
      </w:r>
      <w:proofErr w:type="gramEnd"/>
      <w:r>
        <w:t xml:space="preserve"> Response contains a </w:t>
      </w:r>
      <w:proofErr w:type="gramStart"/>
      <w:r>
        <w:t>Random Access</w:t>
      </w:r>
      <w:proofErr w:type="gramEnd"/>
      <w:r>
        <w:t xml:space="preserve"> Preamble identifier corresponding to the transmitted </w:t>
      </w:r>
      <w:proofErr w:type="gramStart"/>
      <w:r>
        <w:t>Random Access</w:t>
      </w:r>
      <w:proofErr w:type="gramEnd"/>
      <w:r>
        <w:t xml:space="preserve"> Preamble (see clause 5.1.3), the MAC entity shall:</w:t>
      </w:r>
    </w:p>
    <w:p w14:paraId="2673E6E9" w14:textId="77777777" w:rsidR="00A36524" w:rsidRDefault="00355467">
      <w:pPr>
        <w:pStyle w:val="B3"/>
      </w:pPr>
      <w:r>
        <w:t>-</w:t>
      </w:r>
      <w:r>
        <w:tab/>
        <w:t xml:space="preserve">consider this </w:t>
      </w:r>
      <w:proofErr w:type="gramStart"/>
      <w:r>
        <w:t>Random Access</w:t>
      </w:r>
      <w:proofErr w:type="gramEnd"/>
      <w:r>
        <w:t xml:space="preserve"> Response reception successful and apply the </w:t>
      </w:r>
      <w:r>
        <w:rPr>
          <w:lang w:eastAsia="zh-CN"/>
        </w:rPr>
        <w:t>following actions</w:t>
      </w:r>
      <w:r>
        <w:t xml:space="preserve"> for the serving cell where the </w:t>
      </w:r>
      <w:proofErr w:type="gramStart"/>
      <w:r>
        <w:t>Random Access</w:t>
      </w:r>
      <w:proofErr w:type="gramEnd"/>
      <w:r>
        <w:t xml:space="preserve"> Preamble was transmitted</w:t>
      </w:r>
      <w:r>
        <w:rPr>
          <w:lang w:eastAsia="zh-CN"/>
        </w:rPr>
        <w:t>:</w:t>
      </w:r>
    </w:p>
    <w:p w14:paraId="476E4958" w14:textId="77777777" w:rsidR="00A36524" w:rsidRDefault="00355467">
      <w:pPr>
        <w:pStyle w:val="B4"/>
      </w:pPr>
      <w:r>
        <w:t>-</w:t>
      </w:r>
      <w:r>
        <w:tab/>
        <w:t>process the received Timing Advance Command (see clause 5.2</w:t>
      </w:r>
      <w:proofErr w:type="gramStart"/>
      <w:r>
        <w:t>);</w:t>
      </w:r>
      <w:proofErr w:type="gramEnd"/>
    </w:p>
    <w:p w14:paraId="6D00807E" w14:textId="77777777" w:rsidR="00A36524" w:rsidRDefault="00355467">
      <w:pPr>
        <w:pStyle w:val="B4"/>
      </w:pPr>
      <w:r>
        <w:t>-</w:t>
      </w:r>
      <w:r>
        <w:tab/>
        <w:t xml:space="preserve">indicate the </w:t>
      </w:r>
      <w:proofErr w:type="spellStart"/>
      <w:r>
        <w:rPr>
          <w:i/>
          <w:iCs/>
        </w:rPr>
        <w:t>preambleInitialReceivedTargetPower</w:t>
      </w:r>
      <w:proofErr w:type="spellEnd"/>
      <w:r>
        <w:t xml:space="preserve"> and the amount of power ramping applied to the latest preamble transmission to lower layers (i.e., (PREAMBLE_TRANSMISSION_COUNTER – 1) * </w:t>
      </w:r>
      <w:proofErr w:type="spellStart"/>
      <w:r>
        <w:rPr>
          <w:i/>
          <w:iCs/>
        </w:rPr>
        <w:t>powerRampingStep</w:t>
      </w:r>
      <w:proofErr w:type="spellEnd"/>
      <w:proofErr w:type="gramStart"/>
      <w:r>
        <w:t>);</w:t>
      </w:r>
      <w:proofErr w:type="gramEnd"/>
    </w:p>
    <w:p w14:paraId="474E6592" w14:textId="77777777" w:rsidR="00A36524" w:rsidRDefault="00355467">
      <w:pPr>
        <w:pStyle w:val="B4"/>
      </w:pPr>
      <w:r>
        <w:t>-</w:t>
      </w:r>
      <w:r>
        <w:tab/>
      </w:r>
      <w:r>
        <w:rPr>
          <w:lang w:eastAsia="zh-CN"/>
        </w:rPr>
        <w:t xml:space="preserve">if the </w:t>
      </w:r>
      <w:proofErr w:type="spellStart"/>
      <w:r>
        <w:rPr>
          <w:lang w:eastAsia="zh-CN"/>
        </w:rPr>
        <w:t>SCell</w:t>
      </w:r>
      <w:proofErr w:type="spellEnd"/>
      <w:r>
        <w:rPr>
          <w:lang w:eastAsia="zh-CN"/>
        </w:rPr>
        <w:t xml:space="preserve"> is configured with </w:t>
      </w:r>
      <w:r>
        <w:rPr>
          <w:i/>
        </w:rPr>
        <w:t>ul-Configuration-r1</w:t>
      </w:r>
      <w:r>
        <w:rPr>
          <w:i/>
          <w:lang w:eastAsia="zh-CN"/>
        </w:rPr>
        <w:t>4</w:t>
      </w:r>
      <w:r>
        <w:t>, ignore the received UL grant</w:t>
      </w:r>
      <w:r>
        <w:rPr>
          <w:lang w:eastAsia="zh-CN"/>
        </w:rPr>
        <w:t xml:space="preserve"> otherwise</w:t>
      </w:r>
      <w:r>
        <w:t xml:space="preserve"> process the received UL grant value and indicate it to the lower </w:t>
      </w:r>
      <w:proofErr w:type="gramStart"/>
      <w:r>
        <w:t>layers;</w:t>
      </w:r>
      <w:proofErr w:type="gramEnd"/>
    </w:p>
    <w:p w14:paraId="259B7F5D" w14:textId="77777777" w:rsidR="00A36524" w:rsidRDefault="00355467">
      <w:pPr>
        <w:pStyle w:val="B3"/>
      </w:pPr>
      <w:r>
        <w:t>-</w:t>
      </w:r>
      <w:r>
        <w:tab/>
        <w:t xml:space="preserve">if, except for NB-IoT, </w:t>
      </w:r>
      <w:proofErr w:type="spellStart"/>
      <w:r>
        <w:rPr>
          <w:i/>
        </w:rPr>
        <w:t>ra-PreambleIndex</w:t>
      </w:r>
      <w:proofErr w:type="spellEnd"/>
      <w:r>
        <w:t xml:space="preserve"> was explicitly signalled and it was not 000000 (i.e., not selected by MAC):</w:t>
      </w:r>
    </w:p>
    <w:p w14:paraId="5971C6C9" w14:textId="77777777" w:rsidR="00A36524" w:rsidRDefault="00355467">
      <w:pPr>
        <w:pStyle w:val="B4"/>
      </w:pPr>
      <w:r>
        <w:t>-</w:t>
      </w:r>
      <w:r>
        <w:tab/>
        <w:t xml:space="preserve">consider the </w:t>
      </w:r>
      <w:proofErr w:type="gramStart"/>
      <w:r>
        <w:t>Random Access</w:t>
      </w:r>
      <w:proofErr w:type="gramEnd"/>
      <w:r>
        <w:t xml:space="preserve"> procedure successfully completed.</w:t>
      </w:r>
    </w:p>
    <w:p w14:paraId="7CE3E91A" w14:textId="77777777" w:rsidR="00A36524" w:rsidRDefault="00355467">
      <w:pPr>
        <w:pStyle w:val="B3"/>
      </w:pPr>
      <w:r>
        <w:t>-</w:t>
      </w:r>
      <w:r>
        <w:tab/>
        <w:t xml:space="preserve">else if, the UE is an NB-IoT UE, </w:t>
      </w:r>
      <w:proofErr w:type="spellStart"/>
      <w:r>
        <w:rPr>
          <w:i/>
        </w:rPr>
        <w:t>ra-PreambleIndex</w:t>
      </w:r>
      <w:proofErr w:type="spellEnd"/>
      <w:r>
        <w:t xml:space="preserve"> was explicitly signalled and it was not 000000 (i.e., not selected by MAC) and </w:t>
      </w:r>
      <w:proofErr w:type="spellStart"/>
      <w:r>
        <w:rPr>
          <w:i/>
        </w:rPr>
        <w:t>ra</w:t>
      </w:r>
      <w:proofErr w:type="spellEnd"/>
      <w:r>
        <w:rPr>
          <w:i/>
        </w:rPr>
        <w:t>-CFRA-Config</w:t>
      </w:r>
      <w:r>
        <w:t xml:space="preserve"> is configured:</w:t>
      </w:r>
    </w:p>
    <w:p w14:paraId="4E7293B7" w14:textId="77777777" w:rsidR="00A36524" w:rsidRDefault="00355467">
      <w:pPr>
        <w:pStyle w:val="B4"/>
      </w:pPr>
      <w:r>
        <w:t>-</w:t>
      </w:r>
      <w:r>
        <w:tab/>
        <w:t xml:space="preserve">consider the </w:t>
      </w:r>
      <w:proofErr w:type="gramStart"/>
      <w:r>
        <w:t>Random Access</w:t>
      </w:r>
      <w:proofErr w:type="gramEnd"/>
      <w:r>
        <w:t xml:space="preserve"> procedure successfully completed.</w:t>
      </w:r>
    </w:p>
    <w:p w14:paraId="1C99A455" w14:textId="77777777" w:rsidR="00A36524" w:rsidRDefault="00355467">
      <w:pPr>
        <w:pStyle w:val="B4"/>
      </w:pPr>
      <w:r>
        <w:t>-</w:t>
      </w:r>
      <w:r>
        <w:tab/>
        <w:t xml:space="preserve">the UL grant provided in the </w:t>
      </w:r>
      <w:proofErr w:type="gramStart"/>
      <w:r>
        <w:t>Random Access</w:t>
      </w:r>
      <w:proofErr w:type="gramEnd"/>
      <w:r>
        <w:t xml:space="preserve"> Response message is valid only for the configured carrier (i.e. UL carrier used prior to this </w:t>
      </w:r>
      <w:proofErr w:type="gramStart"/>
      <w:r>
        <w:t>Random Access</w:t>
      </w:r>
      <w:proofErr w:type="gramEnd"/>
      <w:r>
        <w:t xml:space="preserve"> procedure).</w:t>
      </w:r>
    </w:p>
    <w:p w14:paraId="4D4203FB" w14:textId="77777777" w:rsidR="00A36524" w:rsidRDefault="00355467">
      <w:pPr>
        <w:pStyle w:val="B3"/>
        <w:tabs>
          <w:tab w:val="left" w:pos="3119"/>
        </w:tabs>
      </w:pPr>
      <w:r>
        <w:t>-</w:t>
      </w:r>
      <w:r>
        <w:tab/>
        <w:t>else:</w:t>
      </w:r>
    </w:p>
    <w:p w14:paraId="789F8960" w14:textId="77777777" w:rsidR="00A36524" w:rsidRDefault="00355467">
      <w:pPr>
        <w:pStyle w:val="B4"/>
        <w:tabs>
          <w:tab w:val="left" w:pos="3119"/>
        </w:tabs>
      </w:pPr>
      <w:r>
        <w:lastRenderedPageBreak/>
        <w:t>-</w:t>
      </w:r>
      <w:r>
        <w:tab/>
        <w:t xml:space="preserve">if the </w:t>
      </w:r>
      <w:proofErr w:type="gramStart"/>
      <w:r>
        <w:t>Random Access</w:t>
      </w:r>
      <w:proofErr w:type="gramEnd"/>
      <w:r>
        <w:t xml:space="preserve"> Preamble was selected by the MAC entity; or</w:t>
      </w:r>
    </w:p>
    <w:p w14:paraId="1B6615DF" w14:textId="77777777" w:rsidR="00A36524" w:rsidRDefault="00355467">
      <w:pPr>
        <w:pStyle w:val="B4"/>
      </w:pPr>
      <w:r>
        <w:t>-</w:t>
      </w:r>
      <w:r>
        <w:tab/>
        <w:t xml:space="preserve">if the UE is an NB-IoT UE, the </w:t>
      </w:r>
      <w:proofErr w:type="spellStart"/>
      <w:r>
        <w:rPr>
          <w:i/>
        </w:rPr>
        <w:t>ra-PreambleIndex</w:t>
      </w:r>
      <w:proofErr w:type="spellEnd"/>
      <w:r>
        <w:t xml:space="preserve"> was explicitly </w:t>
      </w:r>
      <w:proofErr w:type="gramStart"/>
      <w:r>
        <w:t>signalled</w:t>
      </w:r>
      <w:proofErr w:type="gramEnd"/>
      <w:r>
        <w:t xml:space="preserve"> and it was not 000000 and </w:t>
      </w:r>
      <w:proofErr w:type="spellStart"/>
      <w:r>
        <w:rPr>
          <w:i/>
        </w:rPr>
        <w:t>ra</w:t>
      </w:r>
      <w:proofErr w:type="spellEnd"/>
      <w:r>
        <w:rPr>
          <w:i/>
        </w:rPr>
        <w:t>-CFRA-Config</w:t>
      </w:r>
      <w:r>
        <w:t xml:space="preserve"> is not configured:</w:t>
      </w:r>
    </w:p>
    <w:p w14:paraId="3661D85D" w14:textId="77777777" w:rsidR="00A36524" w:rsidRDefault="00355467">
      <w:pPr>
        <w:pStyle w:val="B5"/>
      </w:pPr>
      <w:r>
        <w:t>-</w:t>
      </w:r>
      <w:r>
        <w:tab/>
        <w:t xml:space="preserve">set the Temporary C-RNTI to the value received in the </w:t>
      </w:r>
      <w:proofErr w:type="gramStart"/>
      <w:r>
        <w:t>Random Access</w:t>
      </w:r>
      <w:proofErr w:type="gramEnd"/>
      <w:r>
        <w:t xml:space="preserve"> Response message no later than at the time of the first transmission corresponding to the UL grant provided in the </w:t>
      </w:r>
      <w:proofErr w:type="gramStart"/>
      <w:r>
        <w:t>Random Access</w:t>
      </w:r>
      <w:proofErr w:type="gramEnd"/>
      <w:r>
        <w:t xml:space="preserve"> Response </w:t>
      </w:r>
      <w:proofErr w:type="gramStart"/>
      <w:r>
        <w:t>message;</w:t>
      </w:r>
      <w:proofErr w:type="gramEnd"/>
    </w:p>
    <w:p w14:paraId="62B64525" w14:textId="77777777" w:rsidR="00A36524" w:rsidRDefault="00355467">
      <w:pPr>
        <w:pStyle w:val="B5"/>
      </w:pPr>
      <w:r>
        <w:t>-</w:t>
      </w:r>
      <w:r>
        <w:tab/>
        <w:t xml:space="preserve">if the </w:t>
      </w:r>
      <w:proofErr w:type="gramStart"/>
      <w:r>
        <w:t>Random Access</w:t>
      </w:r>
      <w:proofErr w:type="gramEnd"/>
      <w:r>
        <w:t xml:space="preserve"> Preamble associated with EDT was transmitted and UL grant provided in the </w:t>
      </w:r>
      <w:proofErr w:type="gramStart"/>
      <w:r>
        <w:t>Random Access</w:t>
      </w:r>
      <w:proofErr w:type="gramEnd"/>
      <w:r>
        <w:t xml:space="preserve"> Response message is not for EDT:</w:t>
      </w:r>
    </w:p>
    <w:p w14:paraId="058782B9" w14:textId="77777777" w:rsidR="00A36524" w:rsidRDefault="00355467">
      <w:pPr>
        <w:pStyle w:val="B6"/>
      </w:pPr>
      <w:r>
        <w:t>-</w:t>
      </w:r>
      <w:r>
        <w:tab/>
        <w:t xml:space="preserve">indicate to upper layers that EDT is cancelled due to UL grant not being for </w:t>
      </w:r>
      <w:proofErr w:type="gramStart"/>
      <w:r>
        <w:t>EDT;</w:t>
      </w:r>
      <w:proofErr w:type="gramEnd"/>
    </w:p>
    <w:p w14:paraId="3AAEA45C" w14:textId="77777777" w:rsidR="00A36524" w:rsidRDefault="00355467">
      <w:pPr>
        <w:pStyle w:val="B6"/>
      </w:pPr>
      <w:r>
        <w:t>-</w:t>
      </w:r>
      <w:r>
        <w:tab/>
        <w:t>for CP-EDT, flush the Msg3 buffer.</w:t>
      </w:r>
    </w:p>
    <w:p w14:paraId="58E43D41" w14:textId="77777777" w:rsidR="00A36524" w:rsidRDefault="00355467">
      <w:pPr>
        <w:pStyle w:val="B6"/>
      </w:pPr>
      <w:r>
        <w:t>-</w:t>
      </w:r>
      <w:r>
        <w:tab/>
        <w:t xml:space="preserve">for UP-EDT, update the MAC PDU in the Msg3 buffer in accordance with the uplink grant received in the </w:t>
      </w:r>
      <w:proofErr w:type="gramStart"/>
      <w:r>
        <w:t>Random Access</w:t>
      </w:r>
      <w:proofErr w:type="gramEnd"/>
      <w:r>
        <w:t xml:space="preserve"> Response.</w:t>
      </w:r>
    </w:p>
    <w:p w14:paraId="470ECCAA" w14:textId="77777777" w:rsidR="00A36524" w:rsidRDefault="00355467">
      <w:pPr>
        <w:pStyle w:val="B5"/>
      </w:pPr>
      <w:r>
        <w:t>-</w:t>
      </w:r>
      <w:r>
        <w:tab/>
        <w:t xml:space="preserve">if the </w:t>
      </w:r>
      <w:proofErr w:type="gramStart"/>
      <w:r>
        <w:t>Random Access</w:t>
      </w:r>
      <w:proofErr w:type="gramEnd"/>
      <w:r>
        <w:t xml:space="preserve"> Preamble associated with EDT was transmitted, the UL grant was received in a </w:t>
      </w:r>
      <w:proofErr w:type="gramStart"/>
      <w:r>
        <w:t>Random Access</w:t>
      </w:r>
      <w:proofErr w:type="gramEnd"/>
      <w:r>
        <w:t xml:space="preserve"> Response for EDT, and there is a MAC PDU in the Msg3 buffer:</w:t>
      </w:r>
    </w:p>
    <w:p w14:paraId="1DCE7EBC" w14:textId="77777777" w:rsidR="00A36524" w:rsidRDefault="00355467">
      <w:pPr>
        <w:pStyle w:val="B6"/>
      </w:pPr>
      <w:r>
        <w:t>-</w:t>
      </w:r>
      <w:r>
        <w:tab/>
        <w:t xml:space="preserve">if the TB size according to </w:t>
      </w:r>
      <w:proofErr w:type="spellStart"/>
      <w:r>
        <w:rPr>
          <w:i/>
        </w:rPr>
        <w:t>edt</w:t>
      </w:r>
      <w:proofErr w:type="spellEnd"/>
      <w:r>
        <w:rPr>
          <w:i/>
        </w:rPr>
        <w:t>-</w:t>
      </w:r>
      <w:proofErr w:type="spellStart"/>
      <w:r>
        <w:rPr>
          <w:i/>
        </w:rPr>
        <w:t>SmallTBS</w:t>
      </w:r>
      <w:proofErr w:type="spellEnd"/>
      <w:r>
        <w:rPr>
          <w:i/>
        </w:rPr>
        <w:t>-Enabled</w:t>
      </w:r>
      <w:r>
        <w:t xml:space="preserve"> and as described in clause 8.6.2 and 16.3.3 of TS 36.213 [2] does not match the size of the MAC PDU in the Msg3 buffer:</w:t>
      </w:r>
    </w:p>
    <w:p w14:paraId="15E0B822" w14:textId="77777777" w:rsidR="00A36524" w:rsidRDefault="00355467">
      <w:pPr>
        <w:pStyle w:val="B7"/>
      </w:pPr>
      <w:r>
        <w:t>-</w:t>
      </w:r>
      <w:r>
        <w:tab/>
        <w:t>the MAC entity shall update the MAC PDU in the Msg3 buffer in accordance with the TB size.</w:t>
      </w:r>
    </w:p>
    <w:p w14:paraId="6904AEEA" w14:textId="77777777" w:rsidR="00A36524" w:rsidRDefault="00355467">
      <w:pPr>
        <w:pStyle w:val="B5"/>
      </w:pPr>
      <w:r>
        <w:t>-</w:t>
      </w:r>
      <w:r>
        <w:tab/>
        <w:t xml:space="preserve">if this is the first successfully received Random Access Response within this </w:t>
      </w:r>
      <w:proofErr w:type="gramStart"/>
      <w:r>
        <w:t>Random Access</w:t>
      </w:r>
      <w:proofErr w:type="gramEnd"/>
      <w:r>
        <w:t xml:space="preserve"> procedure; or</w:t>
      </w:r>
    </w:p>
    <w:p w14:paraId="73B73A8B" w14:textId="77777777" w:rsidR="00A36524" w:rsidRDefault="00355467">
      <w:pPr>
        <w:pStyle w:val="B5"/>
      </w:pPr>
      <w:r>
        <w:t>-</w:t>
      </w:r>
      <w:r>
        <w:tab/>
        <w:t xml:space="preserve">if CP-EDT is cancelled due to the UL grant provided in the </w:t>
      </w:r>
      <w:proofErr w:type="gramStart"/>
      <w:r>
        <w:t>Random Access</w:t>
      </w:r>
      <w:proofErr w:type="gramEnd"/>
      <w:r>
        <w:t xml:space="preserve"> Response message not being for EDT:</w:t>
      </w:r>
    </w:p>
    <w:p w14:paraId="574DEA25" w14:textId="77777777" w:rsidR="00A36524" w:rsidRDefault="00355467">
      <w:pPr>
        <w:pStyle w:val="B6"/>
      </w:pPr>
      <w:r>
        <w:t>-</w:t>
      </w:r>
      <w:r>
        <w:tab/>
        <w:t xml:space="preserve">if the transmission is not being made for the CCCH logical channel, indicate to the Multiplexing and assembly entity to include a C-RNTI MAC control element in the subsequent uplink </w:t>
      </w:r>
      <w:proofErr w:type="gramStart"/>
      <w:r>
        <w:t>transmission;</w:t>
      </w:r>
      <w:proofErr w:type="gramEnd"/>
    </w:p>
    <w:p w14:paraId="631C6CD3" w14:textId="77777777" w:rsidR="00A36524" w:rsidRDefault="00355467">
      <w:pPr>
        <w:pStyle w:val="B6"/>
      </w:pPr>
      <w:r>
        <w:t>-</w:t>
      </w:r>
      <w:r>
        <w:tab/>
        <w:t>obtain the MAC PDU to transmit from the "Multiplexing and assembly" entity and store it in the Msg3 buffer.</w:t>
      </w:r>
    </w:p>
    <w:p w14:paraId="5487BD42" w14:textId="77777777" w:rsidR="00A36524" w:rsidRDefault="00355467">
      <w:pPr>
        <w:pStyle w:val="NO"/>
      </w:pPr>
      <w:r>
        <w:t>NOTE 1:</w:t>
      </w:r>
      <w:r>
        <w:tab/>
        <w:t xml:space="preserve">When an uplink transmission is required, e.g., for contention resolution, the </w:t>
      </w:r>
      <w:proofErr w:type="spellStart"/>
      <w:r>
        <w:t>eNB</w:t>
      </w:r>
      <w:proofErr w:type="spellEnd"/>
      <w:r>
        <w:t xml:space="preserve"> should not provide a grant smaller than 56 bits </w:t>
      </w:r>
      <w:r>
        <w:rPr>
          <w:lang w:eastAsia="zh-CN"/>
        </w:rPr>
        <w:t xml:space="preserve">(or 88 bits for NB-IoT) </w:t>
      </w:r>
      <w:r>
        <w:t xml:space="preserve">in the </w:t>
      </w:r>
      <w:proofErr w:type="gramStart"/>
      <w:r>
        <w:t>Random Access</w:t>
      </w:r>
      <w:proofErr w:type="gramEnd"/>
      <w:r>
        <w:t xml:space="preserve"> Response.</w:t>
      </w:r>
    </w:p>
    <w:p w14:paraId="76746850" w14:textId="77777777" w:rsidR="00A36524" w:rsidRDefault="00355467">
      <w:pPr>
        <w:pStyle w:val="NO"/>
      </w:pPr>
      <w:r>
        <w:t>NOTE 2:</w:t>
      </w:r>
      <w:r>
        <w:tab/>
        <w:t xml:space="preserve">If within a </w:t>
      </w:r>
      <w:proofErr w:type="gramStart"/>
      <w:r>
        <w:t>Random Access</w:t>
      </w:r>
      <w:proofErr w:type="gramEnd"/>
      <w:r>
        <w:t xml:space="preserve"> procedure, an uplink grant provided in the </w:t>
      </w:r>
      <w:proofErr w:type="gramStart"/>
      <w:r>
        <w:t>Random Access</w:t>
      </w:r>
      <w:proofErr w:type="gramEnd"/>
      <w:r>
        <w:t xml:space="preserve"> Response for the same group of </w:t>
      </w:r>
      <w:proofErr w:type="gramStart"/>
      <w:r>
        <w:t>Random Access</w:t>
      </w:r>
      <w:proofErr w:type="gramEnd"/>
      <w:r>
        <w:t xml:space="preserve"> Preambles has a different size than the first uplink grant allocated during that Random Access procedure, the UE </w:t>
      </w:r>
      <w:proofErr w:type="spellStart"/>
      <w:r>
        <w:t>behavior</w:t>
      </w:r>
      <w:proofErr w:type="spellEnd"/>
      <w:r>
        <w:t xml:space="preserve"> is not defined except for EDT.</w:t>
      </w:r>
    </w:p>
    <w:p w14:paraId="6AD2AF02" w14:textId="77777777" w:rsidR="00A36524" w:rsidRDefault="00355467">
      <w: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2F90D9F0" w14:textId="77777777" w:rsidR="00A36524" w:rsidRDefault="00355467">
      <w:pPr>
        <w:pStyle w:val="B1"/>
      </w:pPr>
      <w:r>
        <w:t>-</w:t>
      </w:r>
      <w:r>
        <w:tab/>
        <w:t>if the notification of power ramping suspension has not been received from lower layers</w:t>
      </w:r>
      <w:r>
        <w:rPr>
          <w:lang w:eastAsia="en-US"/>
        </w:rPr>
        <w:t>:</w:t>
      </w:r>
    </w:p>
    <w:p w14:paraId="6305898D" w14:textId="77777777" w:rsidR="00A36524" w:rsidRDefault="00355467">
      <w:pPr>
        <w:pStyle w:val="B2"/>
      </w:pPr>
      <w:r>
        <w:t>-</w:t>
      </w:r>
      <w:r>
        <w:tab/>
        <w:t xml:space="preserve">increment PREAMBLE_TRANSMISSION_COUNTER by </w:t>
      </w:r>
      <w:proofErr w:type="gramStart"/>
      <w:r>
        <w:t>1;</w:t>
      </w:r>
      <w:proofErr w:type="gramEnd"/>
    </w:p>
    <w:p w14:paraId="667ADD5B" w14:textId="77777777" w:rsidR="00A36524" w:rsidRDefault="00355467">
      <w:pPr>
        <w:pStyle w:val="B1"/>
      </w:pPr>
      <w:r>
        <w:t>-</w:t>
      </w:r>
      <w:r>
        <w:tab/>
        <w:t>if the UE is an NB-IoT UE, a BL UE or a UE in enhanced coverage:</w:t>
      </w:r>
    </w:p>
    <w:p w14:paraId="128AE4EC" w14:textId="77777777" w:rsidR="00A36524" w:rsidRDefault="00355467">
      <w:pPr>
        <w:pStyle w:val="B2"/>
      </w:pPr>
      <w:r>
        <w:t>-</w:t>
      </w:r>
      <w:r>
        <w:tab/>
        <w:t xml:space="preserve">if PREAMBLE_TRANSMISSION_COUNTER = </w:t>
      </w:r>
      <w:proofErr w:type="spellStart"/>
      <w:r>
        <w:rPr>
          <w:i/>
        </w:rPr>
        <w:t>preambleTransMax</w:t>
      </w:r>
      <w:proofErr w:type="spellEnd"/>
      <w:r>
        <w:rPr>
          <w:i/>
        </w:rPr>
        <w:t>-CE</w:t>
      </w:r>
      <w:r>
        <w:t xml:space="preserve"> + 1:</w:t>
      </w:r>
    </w:p>
    <w:p w14:paraId="757CE4AF" w14:textId="77777777" w:rsidR="00A36524" w:rsidRDefault="00355467">
      <w:pPr>
        <w:pStyle w:val="B3"/>
      </w:pPr>
      <w:r>
        <w:t>-</w:t>
      </w:r>
      <w:r>
        <w:tab/>
        <w:t xml:space="preserve">if the </w:t>
      </w:r>
      <w:proofErr w:type="gramStart"/>
      <w:r>
        <w:t>Random Access</w:t>
      </w:r>
      <w:proofErr w:type="gramEnd"/>
      <w:r>
        <w:t xml:space="preserve"> Preamble is transmitted on the </w:t>
      </w:r>
      <w:proofErr w:type="spellStart"/>
      <w:r>
        <w:t>SpCell</w:t>
      </w:r>
      <w:proofErr w:type="spellEnd"/>
      <w:r>
        <w:t>:</w:t>
      </w:r>
    </w:p>
    <w:p w14:paraId="535DFB32" w14:textId="77777777" w:rsidR="00A36524" w:rsidRDefault="00355467">
      <w:pPr>
        <w:pStyle w:val="B4"/>
      </w:pPr>
      <w:r>
        <w:t>-</w:t>
      </w:r>
      <w:r>
        <w:tab/>
        <w:t xml:space="preserve">indicate a </w:t>
      </w:r>
      <w:proofErr w:type="gramStart"/>
      <w:r>
        <w:t>Random Access</w:t>
      </w:r>
      <w:proofErr w:type="gramEnd"/>
      <w:r>
        <w:t xml:space="preserve"> problem to upper </w:t>
      </w:r>
      <w:proofErr w:type="gramStart"/>
      <w:r>
        <w:t>layers;</w:t>
      </w:r>
      <w:proofErr w:type="gramEnd"/>
    </w:p>
    <w:p w14:paraId="577A7D1D" w14:textId="77777777" w:rsidR="00A36524" w:rsidRDefault="00355467">
      <w:pPr>
        <w:pStyle w:val="B4"/>
      </w:pPr>
      <w:r>
        <w:t>-</w:t>
      </w:r>
      <w:r>
        <w:tab/>
        <w:t>if NB-IoT:</w:t>
      </w:r>
    </w:p>
    <w:p w14:paraId="111E941C" w14:textId="77777777" w:rsidR="00A36524" w:rsidRDefault="00355467">
      <w:pPr>
        <w:pStyle w:val="B5"/>
      </w:pPr>
      <w:r>
        <w:lastRenderedPageBreak/>
        <w:t>-</w:t>
      </w:r>
      <w:r>
        <w:tab/>
        <w:t xml:space="preserve">consider the </w:t>
      </w:r>
      <w:proofErr w:type="gramStart"/>
      <w:r>
        <w:t>Random Access</w:t>
      </w:r>
      <w:proofErr w:type="gramEnd"/>
      <w:r>
        <w:t xml:space="preserve"> procedure unsuccessfully </w:t>
      </w:r>
      <w:proofErr w:type="gramStart"/>
      <w:r>
        <w:t>completed;</w:t>
      </w:r>
      <w:proofErr w:type="gramEnd"/>
    </w:p>
    <w:p w14:paraId="5D24B017" w14:textId="77777777" w:rsidR="00A36524" w:rsidRDefault="00355467">
      <w:pPr>
        <w:pStyle w:val="B1"/>
      </w:pPr>
      <w:r>
        <w:t>-</w:t>
      </w:r>
      <w:r>
        <w:tab/>
        <w:t>else:</w:t>
      </w:r>
    </w:p>
    <w:p w14:paraId="63844BDA" w14:textId="77777777" w:rsidR="00A36524" w:rsidRDefault="00355467">
      <w:pPr>
        <w:pStyle w:val="B2"/>
      </w:pPr>
      <w:r>
        <w:t>-</w:t>
      </w:r>
      <w:r>
        <w:tab/>
        <w:t xml:space="preserve">if PREAMBLE_TRANSMISSION_COUNTER = </w:t>
      </w:r>
      <w:proofErr w:type="spellStart"/>
      <w:r>
        <w:rPr>
          <w:i/>
        </w:rPr>
        <w:t>preambleTransMax</w:t>
      </w:r>
      <w:proofErr w:type="spellEnd"/>
      <w:r>
        <w:t xml:space="preserve"> + 1:</w:t>
      </w:r>
    </w:p>
    <w:p w14:paraId="655EE0CE" w14:textId="77777777" w:rsidR="00A36524" w:rsidRDefault="00355467">
      <w:pPr>
        <w:pStyle w:val="B3"/>
      </w:pPr>
      <w:r>
        <w:t>-</w:t>
      </w:r>
      <w:r>
        <w:tab/>
        <w:t xml:space="preserve">if the </w:t>
      </w:r>
      <w:proofErr w:type="gramStart"/>
      <w:r>
        <w:t>Random Access</w:t>
      </w:r>
      <w:proofErr w:type="gramEnd"/>
      <w:r>
        <w:t xml:space="preserve"> Preamble is transmitted on the </w:t>
      </w:r>
      <w:proofErr w:type="spellStart"/>
      <w:r>
        <w:t>SpCell</w:t>
      </w:r>
      <w:proofErr w:type="spellEnd"/>
      <w:r>
        <w:t>:</w:t>
      </w:r>
    </w:p>
    <w:p w14:paraId="03E32D49" w14:textId="77777777" w:rsidR="00A36524" w:rsidRDefault="00355467">
      <w:pPr>
        <w:pStyle w:val="B4"/>
      </w:pPr>
      <w:r>
        <w:t>-</w:t>
      </w:r>
      <w:r>
        <w:tab/>
        <w:t xml:space="preserve">indicate a </w:t>
      </w:r>
      <w:proofErr w:type="gramStart"/>
      <w:r>
        <w:t>Random Access</w:t>
      </w:r>
      <w:proofErr w:type="gramEnd"/>
      <w:r>
        <w:t xml:space="preserve"> problem to upper </w:t>
      </w:r>
      <w:proofErr w:type="gramStart"/>
      <w:r>
        <w:t>layers;</w:t>
      </w:r>
      <w:proofErr w:type="gramEnd"/>
    </w:p>
    <w:p w14:paraId="3D4CF2F5" w14:textId="77777777" w:rsidR="00A36524" w:rsidRDefault="00355467">
      <w:pPr>
        <w:pStyle w:val="B3"/>
      </w:pPr>
      <w:r>
        <w:t>-</w:t>
      </w:r>
      <w:r>
        <w:tab/>
        <w:t xml:space="preserve">if the </w:t>
      </w:r>
      <w:proofErr w:type="gramStart"/>
      <w:r>
        <w:t>Random Access</w:t>
      </w:r>
      <w:proofErr w:type="gramEnd"/>
      <w:r>
        <w:t xml:space="preserve"> Preamble is transmitted on an </w:t>
      </w:r>
      <w:proofErr w:type="spellStart"/>
      <w:r>
        <w:t>SCell</w:t>
      </w:r>
      <w:proofErr w:type="spellEnd"/>
      <w:r>
        <w:t>:</w:t>
      </w:r>
    </w:p>
    <w:p w14:paraId="4C1165A3" w14:textId="77777777" w:rsidR="00A36524" w:rsidRDefault="00355467">
      <w:pPr>
        <w:pStyle w:val="B4"/>
      </w:pPr>
      <w:r>
        <w:t>-</w:t>
      </w:r>
      <w:r>
        <w:tab/>
        <w:t xml:space="preserve">consider the </w:t>
      </w:r>
      <w:proofErr w:type="gramStart"/>
      <w:r>
        <w:t>Random Access</w:t>
      </w:r>
      <w:proofErr w:type="gramEnd"/>
      <w:r>
        <w:t xml:space="preserve"> procedure unsuccessfully completed.</w:t>
      </w:r>
    </w:p>
    <w:p w14:paraId="527506BD" w14:textId="77777777" w:rsidR="00A36524" w:rsidRDefault="00355467">
      <w:pPr>
        <w:pStyle w:val="B1"/>
      </w:pPr>
      <w:r>
        <w:t>-</w:t>
      </w:r>
      <w:r>
        <w:tab/>
        <w:t xml:space="preserve">if in this </w:t>
      </w:r>
      <w:proofErr w:type="gramStart"/>
      <w:r>
        <w:t>Random Access</w:t>
      </w:r>
      <w:proofErr w:type="gramEnd"/>
      <w:r>
        <w:t xml:space="preserve"> procedure, the </w:t>
      </w:r>
      <w:proofErr w:type="gramStart"/>
      <w:r>
        <w:t>Random Access</w:t>
      </w:r>
      <w:proofErr w:type="gramEnd"/>
      <w:r>
        <w:t xml:space="preserve"> Preamble was selected by MAC:</w:t>
      </w:r>
    </w:p>
    <w:p w14:paraId="6E906968" w14:textId="77777777" w:rsidR="00A36524" w:rsidRDefault="00355467">
      <w:pPr>
        <w:pStyle w:val="B2"/>
      </w:pPr>
      <w:r>
        <w:t>-</w:t>
      </w:r>
      <w:r>
        <w:tab/>
        <w:t xml:space="preserve">based on the backoff parameter, select a random backoff time according to a uniform distribution between 0 and the Backoff Parameter </w:t>
      </w:r>
      <w:proofErr w:type="gramStart"/>
      <w:r>
        <w:t>Value;</w:t>
      </w:r>
      <w:proofErr w:type="gramEnd"/>
    </w:p>
    <w:p w14:paraId="3528B870" w14:textId="77777777" w:rsidR="00A36524" w:rsidRDefault="00355467">
      <w:pPr>
        <w:pStyle w:val="B2"/>
        <w:rPr>
          <w:lang w:eastAsia="zh-CN"/>
        </w:rPr>
      </w:pPr>
      <w:r>
        <w:t>-</w:t>
      </w:r>
      <w:r>
        <w:tab/>
        <w:t xml:space="preserve">delay the subsequent </w:t>
      </w:r>
      <w:proofErr w:type="gramStart"/>
      <w:r>
        <w:t>Random Access</w:t>
      </w:r>
      <w:proofErr w:type="gramEnd"/>
      <w:r>
        <w:t xml:space="preserve"> transmission by the backoff </w:t>
      </w:r>
      <w:proofErr w:type="gramStart"/>
      <w:r>
        <w:t>time;</w:t>
      </w:r>
      <w:proofErr w:type="gramEnd"/>
    </w:p>
    <w:p w14:paraId="76386BB0" w14:textId="77777777" w:rsidR="00A36524" w:rsidRDefault="00355467">
      <w:pPr>
        <w:pStyle w:val="B1"/>
      </w:pPr>
      <w:r>
        <w:t>-</w:t>
      </w:r>
      <w:r>
        <w:tab/>
      </w:r>
      <w:r>
        <w:rPr>
          <w:lang w:eastAsia="zh-CN"/>
        </w:rPr>
        <w:t>else</w:t>
      </w:r>
      <w:r>
        <w:t xml:space="preserve"> if the </w:t>
      </w:r>
      <w:proofErr w:type="spellStart"/>
      <w:r>
        <w:t>SCell</w:t>
      </w:r>
      <w:proofErr w:type="spellEnd"/>
      <w:r>
        <w:t xml:space="preserve"> where the </w:t>
      </w:r>
      <w:proofErr w:type="gramStart"/>
      <w:r>
        <w:t>Random Access</w:t>
      </w:r>
      <w:proofErr w:type="gramEnd"/>
      <w:r>
        <w:t xml:space="preserve"> Preamble was transmitted is configured with</w:t>
      </w:r>
      <w:r>
        <w:rPr>
          <w:lang w:eastAsia="zh-CN"/>
        </w:rPr>
        <w:t xml:space="preserve"> </w:t>
      </w:r>
      <w:r>
        <w:rPr>
          <w:i/>
        </w:rPr>
        <w:t>ul-Configuration-r1</w:t>
      </w:r>
      <w:r>
        <w:rPr>
          <w:i/>
          <w:lang w:eastAsia="zh-CN"/>
        </w:rPr>
        <w:t>4</w:t>
      </w:r>
      <w:r>
        <w:t>:</w:t>
      </w:r>
    </w:p>
    <w:p w14:paraId="6D883852" w14:textId="77777777" w:rsidR="00A36524" w:rsidRDefault="00355467">
      <w:pPr>
        <w:pStyle w:val="B2"/>
      </w:pPr>
      <w:r>
        <w:t>-</w:t>
      </w:r>
      <w:r>
        <w:tab/>
        <w:t xml:space="preserve">delay the subsequent </w:t>
      </w:r>
      <w:proofErr w:type="gramStart"/>
      <w:r>
        <w:t>Random Access</w:t>
      </w:r>
      <w:proofErr w:type="gramEnd"/>
      <w:r>
        <w:t xml:space="preserve"> transmission until the </w:t>
      </w:r>
      <w:proofErr w:type="gramStart"/>
      <w:r>
        <w:t>Random Access</w:t>
      </w:r>
      <w:proofErr w:type="gramEnd"/>
      <w:r>
        <w:t xml:space="preserve"> Procedure is initiated by a PDCCH order</w:t>
      </w:r>
      <w:r>
        <w:rPr>
          <w:lang w:eastAsia="zh-CN"/>
        </w:rPr>
        <w:t xml:space="preserve"> with the same </w:t>
      </w:r>
      <w:proofErr w:type="spellStart"/>
      <w:r>
        <w:rPr>
          <w:i/>
          <w:iCs/>
        </w:rPr>
        <w:t>ra-PreambleIndex</w:t>
      </w:r>
      <w:proofErr w:type="spellEnd"/>
      <w:r>
        <w:rPr>
          <w:i/>
          <w:iCs/>
          <w:lang w:eastAsia="zh-CN"/>
        </w:rPr>
        <w:t xml:space="preserve"> and </w:t>
      </w:r>
      <w:proofErr w:type="spellStart"/>
      <w:r>
        <w:rPr>
          <w:i/>
          <w:iCs/>
        </w:rPr>
        <w:t>ra</w:t>
      </w:r>
      <w:proofErr w:type="spellEnd"/>
      <w:r>
        <w:rPr>
          <w:i/>
          <w:iCs/>
        </w:rPr>
        <w:t>-PRACH-</w:t>
      </w:r>
      <w:proofErr w:type="spellStart"/>
      <w:proofErr w:type="gramStart"/>
      <w:r>
        <w:rPr>
          <w:i/>
          <w:iCs/>
        </w:rPr>
        <w:t>MaskIndex</w:t>
      </w:r>
      <w:proofErr w:type="spellEnd"/>
      <w:r>
        <w:t>;</w:t>
      </w:r>
      <w:proofErr w:type="gramEnd"/>
    </w:p>
    <w:p w14:paraId="1DE58585" w14:textId="77777777" w:rsidR="00A36524" w:rsidRDefault="00355467">
      <w:pPr>
        <w:pStyle w:val="B1"/>
      </w:pPr>
      <w:r>
        <w:t>-</w:t>
      </w:r>
      <w:r>
        <w:tab/>
        <w:t>if the UE is an NB-IoT UE, a BL UE or a UE in enhanced coverage:</w:t>
      </w:r>
    </w:p>
    <w:p w14:paraId="0940102B" w14:textId="77777777" w:rsidR="00A36524" w:rsidRDefault="00355467">
      <w:pPr>
        <w:pStyle w:val="B2"/>
      </w:pPr>
      <w:r>
        <w:t>-</w:t>
      </w:r>
      <w:r>
        <w:tab/>
        <w:t xml:space="preserve">increment PREAMBLE_TRANSMISSION_COUNTER_CE by </w:t>
      </w:r>
      <w:proofErr w:type="gramStart"/>
      <w:r>
        <w:t>1;</w:t>
      </w:r>
      <w:proofErr w:type="gramEnd"/>
    </w:p>
    <w:p w14:paraId="79B8F4B8" w14:textId="77777777" w:rsidR="00A36524" w:rsidRDefault="00355467">
      <w:pPr>
        <w:pStyle w:val="B2"/>
      </w:pPr>
      <w:r>
        <w:t>-</w:t>
      </w:r>
      <w:r>
        <w:tab/>
        <w:t xml:space="preserve">if PREAMBLE_TRANSMISSION_COUNTER_CE = </w:t>
      </w:r>
      <w:proofErr w:type="spellStart"/>
      <w:r>
        <w:rPr>
          <w:i/>
        </w:rPr>
        <w:t>maxNumPreambleAttemptCE</w:t>
      </w:r>
      <w:proofErr w:type="spellEnd"/>
      <w:r>
        <w:rPr>
          <w:i/>
        </w:rPr>
        <w:t xml:space="preserve"> </w:t>
      </w:r>
      <w:r>
        <w:t>for the corresponding enhanced coverage level</w:t>
      </w:r>
      <w:r>
        <w:rPr>
          <w:i/>
        </w:rPr>
        <w:t xml:space="preserve"> </w:t>
      </w:r>
      <w:r>
        <w:t>+ 1:</w:t>
      </w:r>
    </w:p>
    <w:p w14:paraId="47913266" w14:textId="77777777" w:rsidR="00A36524" w:rsidRDefault="00355467">
      <w:pPr>
        <w:pStyle w:val="B3"/>
      </w:pPr>
      <w:r>
        <w:t>-</w:t>
      </w:r>
      <w:r>
        <w:tab/>
        <w:t>reset PREAMBLE_TRANSMISSION_COUNTER_</w:t>
      </w:r>
      <w:proofErr w:type="gramStart"/>
      <w:r>
        <w:t>CE;</w:t>
      </w:r>
      <w:proofErr w:type="gramEnd"/>
    </w:p>
    <w:p w14:paraId="28476120" w14:textId="77777777" w:rsidR="00A36524" w:rsidRDefault="00355467">
      <w:pPr>
        <w:pStyle w:val="B3"/>
      </w:pPr>
      <w:r>
        <w:t>-</w:t>
      </w:r>
      <w:r>
        <w:tab/>
        <w:t xml:space="preserve">consider to be in the next enhanced coverage level, if it is supported by the Serving Cell and the UE, otherwise stay in the current enhanced coverage </w:t>
      </w:r>
      <w:proofErr w:type="gramStart"/>
      <w:r>
        <w:t>level;</w:t>
      </w:r>
      <w:proofErr w:type="gramEnd"/>
    </w:p>
    <w:p w14:paraId="5565DBF2" w14:textId="77777777" w:rsidR="00A36524" w:rsidRDefault="00355467">
      <w:pPr>
        <w:pStyle w:val="B3"/>
      </w:pPr>
      <w:r>
        <w:t>-</w:t>
      </w:r>
      <w:r>
        <w:tab/>
        <w:t>if the UE is an NB-IoT UE:</w:t>
      </w:r>
    </w:p>
    <w:p w14:paraId="3FB3AC27" w14:textId="77777777" w:rsidR="00A36524" w:rsidRDefault="00355467">
      <w:pPr>
        <w:pStyle w:val="B4"/>
      </w:pPr>
      <w:r>
        <w:t>-</w:t>
      </w:r>
      <w:r>
        <w:tab/>
        <w:t xml:space="preserve">if the </w:t>
      </w:r>
      <w:proofErr w:type="gramStart"/>
      <w:r>
        <w:t>Random Access</w:t>
      </w:r>
      <w:proofErr w:type="gramEnd"/>
      <w:r>
        <w:t xml:space="preserve"> Procedure was initiated by a PDCCH order:</w:t>
      </w:r>
    </w:p>
    <w:p w14:paraId="6AE03AD1" w14:textId="77777777" w:rsidR="00A36524" w:rsidRDefault="00355467">
      <w:pPr>
        <w:pStyle w:val="B5"/>
      </w:pPr>
      <w:r>
        <w:t>-</w:t>
      </w:r>
      <w:r>
        <w:tab/>
        <w:t>select the PRACH resource in the list of UL carriers providing a PRACH resource for the selected enhanced coverage level for which the carrier index is equal to ((</w:t>
      </w:r>
      <w:r>
        <w:rPr>
          <w:i/>
        </w:rPr>
        <w:t xml:space="preserve">Carrier Indication </w:t>
      </w:r>
      <w:r>
        <w:t>from the PDCCH order) modulo (Number of PRACH resources in the selected enhanced coverage)</w:t>
      </w:r>
      <w:proofErr w:type="gramStart"/>
      <w:r>
        <w:t>);</w:t>
      </w:r>
      <w:proofErr w:type="gramEnd"/>
    </w:p>
    <w:p w14:paraId="373D5E49" w14:textId="77777777" w:rsidR="00A36524" w:rsidRDefault="00355467">
      <w:pPr>
        <w:pStyle w:val="B5"/>
      </w:pPr>
      <w:r>
        <w:t>-</w:t>
      </w:r>
      <w:r>
        <w:tab/>
        <w:t xml:space="preserve">consider the selected PRACH resource as explicitly </w:t>
      </w:r>
      <w:proofErr w:type="gramStart"/>
      <w:r>
        <w:t>signalled;</w:t>
      </w:r>
      <w:proofErr w:type="gramEnd"/>
    </w:p>
    <w:p w14:paraId="4856E1D3" w14:textId="77777777" w:rsidR="00A36524" w:rsidRDefault="00355467">
      <w:pPr>
        <w:pStyle w:val="B1"/>
      </w:pPr>
      <w:r>
        <w:t>-</w:t>
      </w:r>
      <w:r>
        <w:tab/>
        <w:t xml:space="preserve">proceed to the selection of a </w:t>
      </w:r>
      <w:proofErr w:type="gramStart"/>
      <w:r>
        <w:t>Random Access</w:t>
      </w:r>
      <w:proofErr w:type="gramEnd"/>
      <w:r>
        <w:t xml:space="preserve"> Resource (see clause 5.1.2).</w:t>
      </w:r>
    </w:p>
    <w:p w14:paraId="1CBB77B6" w14:textId="1BE5BD1D" w:rsidR="00A36524" w:rsidRDefault="00A36524"/>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85783F" w14:paraId="492E14A2" w14:textId="77777777" w:rsidTr="009E0835">
        <w:trPr>
          <w:trHeight w:val="196"/>
        </w:trPr>
        <w:tc>
          <w:tcPr>
            <w:tcW w:w="9797" w:type="dxa"/>
            <w:shd w:val="clear" w:color="auto" w:fill="FDE9D9"/>
            <w:vAlign w:val="center"/>
          </w:tcPr>
          <w:p w14:paraId="25C672C7" w14:textId="77777777" w:rsidR="0085783F" w:rsidRDefault="0085783F" w:rsidP="009E0835">
            <w:pPr>
              <w:snapToGrid w:val="0"/>
              <w:spacing w:after="0"/>
              <w:jc w:val="center"/>
              <w:rPr>
                <w:color w:val="FF0000"/>
                <w:sz w:val="28"/>
                <w:szCs w:val="28"/>
              </w:rPr>
            </w:pPr>
            <w:r>
              <w:rPr>
                <w:color w:val="FF0000"/>
                <w:sz w:val="28"/>
                <w:szCs w:val="28"/>
              </w:rPr>
              <w:t>NEXT CHANGES</w:t>
            </w:r>
          </w:p>
        </w:tc>
      </w:tr>
    </w:tbl>
    <w:p w14:paraId="49040EF7" w14:textId="1A312348" w:rsidR="0085783F" w:rsidRDefault="0085783F"/>
    <w:p w14:paraId="35D1627C" w14:textId="77777777" w:rsidR="00CE35C1" w:rsidRPr="00D92410" w:rsidRDefault="00CE35C1" w:rsidP="00CE35C1">
      <w:pPr>
        <w:pStyle w:val="Heading3"/>
        <w:rPr>
          <w:noProof/>
        </w:rPr>
      </w:pPr>
      <w:bookmarkStart w:id="116" w:name="_Toc37256232"/>
      <w:bookmarkStart w:id="117" w:name="_Toc37256386"/>
      <w:bookmarkStart w:id="118" w:name="_Toc46500325"/>
      <w:bookmarkStart w:id="119" w:name="_Toc52536234"/>
      <w:bookmarkStart w:id="120" w:name="_Toc193402470"/>
      <w:bookmarkStart w:id="121" w:name="_Hlk34724908"/>
      <w:r w:rsidRPr="00D92410">
        <w:rPr>
          <w:noProof/>
        </w:rPr>
        <w:t>5.4.7</w:t>
      </w:r>
      <w:r w:rsidRPr="00D92410">
        <w:rPr>
          <w:noProof/>
        </w:rPr>
        <w:tab/>
        <w:t>Preconfigured Uplink Resource</w:t>
      </w:r>
      <w:bookmarkEnd w:id="116"/>
      <w:bookmarkEnd w:id="117"/>
      <w:bookmarkEnd w:id="118"/>
      <w:bookmarkEnd w:id="119"/>
      <w:bookmarkEnd w:id="120"/>
    </w:p>
    <w:p w14:paraId="3CBBEFA3" w14:textId="77777777" w:rsidR="00CE35C1" w:rsidRPr="00D92410" w:rsidRDefault="00CE35C1" w:rsidP="00CE35C1">
      <w:pPr>
        <w:pStyle w:val="Heading4"/>
        <w:rPr>
          <w:noProof/>
        </w:rPr>
      </w:pPr>
      <w:bookmarkStart w:id="122" w:name="_Toc37256233"/>
      <w:bookmarkStart w:id="123" w:name="_Toc37256387"/>
      <w:bookmarkStart w:id="124" w:name="_Toc46500326"/>
      <w:bookmarkStart w:id="125" w:name="_Toc52536235"/>
      <w:bookmarkStart w:id="126" w:name="_Toc193402471"/>
      <w:r w:rsidRPr="00D92410">
        <w:rPr>
          <w:noProof/>
        </w:rPr>
        <w:t>5.4.7.1</w:t>
      </w:r>
      <w:r w:rsidRPr="00D92410">
        <w:rPr>
          <w:noProof/>
        </w:rPr>
        <w:tab/>
        <w:t>Transmission using PUR</w:t>
      </w:r>
      <w:bookmarkEnd w:id="122"/>
      <w:bookmarkEnd w:id="123"/>
      <w:bookmarkEnd w:id="124"/>
      <w:bookmarkEnd w:id="125"/>
      <w:bookmarkEnd w:id="126"/>
    </w:p>
    <w:bookmarkEnd w:id="121"/>
    <w:p w14:paraId="10E509B9" w14:textId="77777777" w:rsidR="00CE35C1" w:rsidRPr="00D92410" w:rsidRDefault="00CE35C1" w:rsidP="00CE35C1">
      <w:r w:rsidRPr="00D92410">
        <w:t>Transmission using PUR is initiated by the RRC layer. When transmission using PUR is initiated, RRC layer provides MAC with the following information:</w:t>
      </w:r>
    </w:p>
    <w:p w14:paraId="3DB2B8F4" w14:textId="77777777" w:rsidR="00CE35C1" w:rsidRPr="00D92410" w:rsidRDefault="00CE35C1" w:rsidP="00CE35C1">
      <w:pPr>
        <w:pStyle w:val="B1"/>
      </w:pPr>
      <w:r w:rsidRPr="00D92410">
        <w:t>-</w:t>
      </w:r>
      <w:r w:rsidRPr="00D92410">
        <w:tab/>
        <w:t>PUR-</w:t>
      </w:r>
      <w:proofErr w:type="gramStart"/>
      <w:r w:rsidRPr="00D92410">
        <w:t>RNTI;</w:t>
      </w:r>
      <w:proofErr w:type="gramEnd"/>
    </w:p>
    <w:p w14:paraId="0C6E2BB4" w14:textId="77777777" w:rsidR="00CE35C1" w:rsidRPr="00D92410" w:rsidRDefault="00CE35C1" w:rsidP="00CE35C1">
      <w:pPr>
        <w:pStyle w:val="B1"/>
        <w:rPr>
          <w:i/>
          <w:iCs/>
        </w:rPr>
      </w:pPr>
      <w:r w:rsidRPr="00D92410">
        <w:t>-</w:t>
      </w:r>
      <w:r w:rsidRPr="00D92410">
        <w:tab/>
        <w:t xml:space="preserve">Duration of PUR response window </w:t>
      </w:r>
      <w:proofErr w:type="spellStart"/>
      <w:r w:rsidRPr="00D92410">
        <w:rPr>
          <w:i/>
          <w:iCs/>
        </w:rPr>
        <w:t>pur-</w:t>
      </w:r>
      <w:proofErr w:type="gramStart"/>
      <w:r w:rsidRPr="00D92410">
        <w:rPr>
          <w:i/>
          <w:iCs/>
        </w:rPr>
        <w:t>ResponseWindowTimer</w:t>
      </w:r>
      <w:proofErr w:type="spellEnd"/>
      <w:r w:rsidRPr="00D92410">
        <w:t>;</w:t>
      </w:r>
      <w:proofErr w:type="gramEnd"/>
    </w:p>
    <w:p w14:paraId="798F61AB" w14:textId="77777777" w:rsidR="00CE35C1" w:rsidRPr="00D92410" w:rsidRDefault="00CE35C1" w:rsidP="00CE35C1">
      <w:pPr>
        <w:pStyle w:val="B1"/>
      </w:pPr>
      <w:r w:rsidRPr="00D92410">
        <w:lastRenderedPageBreak/>
        <w:t>-</w:t>
      </w:r>
      <w:r w:rsidRPr="00D92410">
        <w:tab/>
        <w:t>UL grant information.</w:t>
      </w:r>
    </w:p>
    <w:p w14:paraId="0CA2CFB1" w14:textId="77777777" w:rsidR="00CE35C1" w:rsidRPr="00D92410" w:rsidRDefault="00CE35C1" w:rsidP="00CE35C1">
      <w:pPr>
        <w:rPr>
          <w:noProof/>
        </w:rPr>
      </w:pPr>
      <w:r w:rsidRPr="00D92410">
        <w:rPr>
          <w:noProof/>
        </w:rPr>
        <w:t>If the MAC entity has a PUR-RNTI, the MAC entity shall for each TTI for which RRC layer has provided uplink grant for transmission using PUR:</w:t>
      </w:r>
    </w:p>
    <w:p w14:paraId="5D06626F" w14:textId="77777777" w:rsidR="00CE35C1" w:rsidRPr="00D92410" w:rsidRDefault="00CE35C1" w:rsidP="00CE35C1">
      <w:pPr>
        <w:pStyle w:val="B1"/>
        <w:rPr>
          <w:noProof/>
        </w:rPr>
      </w:pPr>
      <w:r w:rsidRPr="00D92410">
        <w:rPr>
          <w:noProof/>
        </w:rPr>
        <w:t>-</w:t>
      </w:r>
      <w:r w:rsidRPr="00D92410">
        <w:rPr>
          <w:noProof/>
        </w:rPr>
        <w:tab/>
        <w:t>deliver the uplink grant, and the associated HARQ information to the HARQ entity for this TTI.</w:t>
      </w:r>
    </w:p>
    <w:p w14:paraId="659E05E4" w14:textId="61484BF8" w:rsidR="006A1DDA" w:rsidRDefault="009B6786" w:rsidP="00CE35C1">
      <w:pPr>
        <w:rPr>
          <w:ins w:id="127" w:author="Toyota ITC2" w:date="2025-08-08T00:29:00Z"/>
          <w:noProof/>
        </w:rPr>
      </w:pPr>
      <w:ins w:id="128" w:author="Toyota ITC" w:date="2025-09-05T13:51:00Z" w16du:dateUtc="2025-09-05T11:51:00Z">
        <w:r>
          <w:rPr>
            <w:noProof/>
          </w:rPr>
          <w:t>For IoT NTN TDD mode, w</w:t>
        </w:r>
      </w:ins>
      <w:ins w:id="129" w:author="Toyota ITC2" w:date="2025-08-08T00:29:00Z">
        <w:r w:rsidR="006A1DDA" w:rsidRPr="00A849A4">
          <w:rPr>
            <w:noProof/>
          </w:rPr>
          <w:t xml:space="preserve">hen PUR resource start subframe does not align with the </w:t>
        </w:r>
      </w:ins>
      <w:ins w:id="130" w:author="Toyota ITC" w:date="2025-09-05T13:51:00Z" w16du:dateUtc="2025-09-05T11:51:00Z">
        <w:r>
          <w:rPr>
            <w:noProof/>
          </w:rPr>
          <w:t xml:space="preserve">valid </w:t>
        </w:r>
      </w:ins>
      <w:commentRangeStart w:id="131"/>
      <w:commentRangeStart w:id="132"/>
      <w:ins w:id="133" w:author="Toyota ITC2" w:date="2025-08-08T00:33:00Z">
        <w:r w:rsidR="00B47657" w:rsidRPr="00A849A4">
          <w:rPr>
            <w:noProof/>
          </w:rPr>
          <w:t>uplink</w:t>
        </w:r>
      </w:ins>
      <w:ins w:id="134" w:author="Toyota ITC2" w:date="2025-08-08T00:29:00Z">
        <w:r w:rsidR="006A1DDA" w:rsidRPr="00A849A4">
          <w:rPr>
            <w:noProof/>
          </w:rPr>
          <w:t xml:space="preserve"> subframes in the H-SFN</w:t>
        </w:r>
      </w:ins>
      <w:commentRangeEnd w:id="131"/>
      <w:r w:rsidR="003E0858">
        <w:rPr>
          <w:rStyle w:val="CommentReference"/>
        </w:rPr>
        <w:commentReference w:id="131"/>
      </w:r>
      <w:commentRangeEnd w:id="132"/>
      <w:r>
        <w:rPr>
          <w:rStyle w:val="CommentReference"/>
        </w:rPr>
        <w:commentReference w:id="132"/>
      </w:r>
      <w:ins w:id="135" w:author="Toyota ITC2" w:date="2025-08-08T00:29:00Z">
        <w:r w:rsidR="006A1DDA" w:rsidRPr="00A849A4">
          <w:rPr>
            <w:noProof/>
          </w:rPr>
          <w:t xml:space="preserve">, </w:t>
        </w:r>
      </w:ins>
      <w:ins w:id="136" w:author="Toyota ITC2" w:date="2025-08-08T00:31:00Z">
        <w:r w:rsidR="00B47657" w:rsidRPr="00A849A4">
          <w:rPr>
            <w:noProof/>
          </w:rPr>
          <w:t xml:space="preserve">the </w:t>
        </w:r>
      </w:ins>
      <w:ins w:id="137" w:author="Toyota ITC2" w:date="2025-08-08T00:29:00Z">
        <w:r w:rsidR="006A1DDA" w:rsidRPr="00A849A4">
          <w:rPr>
            <w:noProof/>
          </w:rPr>
          <w:t xml:space="preserve">PUR resource start subframe </w:t>
        </w:r>
      </w:ins>
      <w:ins w:id="138" w:author="Toyota ITC2" w:date="2025-08-08T00:31:00Z">
        <w:r w:rsidR="00B47657" w:rsidRPr="00A849A4">
          <w:rPr>
            <w:noProof/>
          </w:rPr>
          <w:t xml:space="preserve">shall be postponed </w:t>
        </w:r>
      </w:ins>
      <w:ins w:id="139" w:author="Toyota ITC2" w:date="2025-08-08T00:29:00Z">
        <w:r w:rsidR="006A1DDA" w:rsidRPr="00A849A4">
          <w:rPr>
            <w:noProof/>
          </w:rPr>
          <w:t xml:space="preserve">to the next valid </w:t>
        </w:r>
      </w:ins>
      <w:ins w:id="140" w:author="Toyota ITC2" w:date="2025-08-08T00:30:00Z">
        <w:r w:rsidR="006A1DDA" w:rsidRPr="00A849A4">
          <w:rPr>
            <w:noProof/>
          </w:rPr>
          <w:t>uplink</w:t>
        </w:r>
      </w:ins>
      <w:ins w:id="141" w:author="Toyota ITC2" w:date="2025-08-08T00:29:00Z">
        <w:r w:rsidR="006A1DDA" w:rsidRPr="00A849A4">
          <w:rPr>
            <w:noProof/>
          </w:rPr>
          <w:t xml:space="preserve"> subframe</w:t>
        </w:r>
      </w:ins>
      <w:ins w:id="142" w:author="Toyota ITC2" w:date="2025-08-08T00:30:00Z">
        <w:r w:rsidR="00725DC5" w:rsidRPr="00A849A4">
          <w:rPr>
            <w:noProof/>
          </w:rPr>
          <w:t>.</w:t>
        </w:r>
      </w:ins>
    </w:p>
    <w:p w14:paraId="58FB31D0" w14:textId="6A2341BE" w:rsidR="00CE35C1" w:rsidRPr="00D92410" w:rsidRDefault="00CE35C1" w:rsidP="00CE35C1">
      <w:pPr>
        <w:rPr>
          <w:iCs/>
          <w:noProof/>
        </w:rPr>
      </w:pPr>
      <w:r w:rsidRPr="00D92410">
        <w:rPr>
          <w:noProof/>
        </w:rPr>
        <w:t xml:space="preserve">After transmission using PUR, the MAC entity shall monitor PDCCH identified by PUR-RNTI in the PUR response window using timer </w:t>
      </w:r>
      <w:r w:rsidRPr="00D92410">
        <w:rPr>
          <w:i/>
          <w:noProof/>
        </w:rPr>
        <w:t>pur-ResponseWindowTimer</w:t>
      </w:r>
      <w:r w:rsidRPr="00D92410">
        <w:rPr>
          <w:iCs/>
          <w:noProof/>
        </w:rPr>
        <w:t>:</w:t>
      </w:r>
    </w:p>
    <w:p w14:paraId="37B2CB36" w14:textId="77777777" w:rsidR="00CE35C1" w:rsidRPr="00D92410" w:rsidRDefault="00CE35C1" w:rsidP="00CE35C1">
      <w:pPr>
        <w:pStyle w:val="B1"/>
        <w:rPr>
          <w:noProof/>
        </w:rPr>
      </w:pPr>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612A9781"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 plus UE-eNB RTT.</w:t>
      </w:r>
    </w:p>
    <w:p w14:paraId="3A03153E" w14:textId="77777777" w:rsidR="00CE35C1" w:rsidRPr="00D92410" w:rsidRDefault="00CE35C1" w:rsidP="00CE35C1">
      <w:pPr>
        <w:pStyle w:val="B1"/>
        <w:rPr>
          <w:noProof/>
        </w:rPr>
      </w:pPr>
      <w:r w:rsidRPr="00D92410">
        <w:rPr>
          <w:noProof/>
        </w:rPr>
        <w:t>-</w:t>
      </w:r>
      <w:r w:rsidRPr="00D92410">
        <w:rPr>
          <w:noProof/>
        </w:rPr>
        <w:tab/>
        <w:t>else:</w:t>
      </w:r>
    </w:p>
    <w:p w14:paraId="2352BC26"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w:t>
      </w:r>
      <w:r w:rsidRPr="00D92410">
        <w:rPr>
          <w:i/>
          <w:noProof/>
        </w:rPr>
        <w:t>.</w:t>
      </w:r>
    </w:p>
    <w:p w14:paraId="3808C25D" w14:textId="77777777" w:rsidR="00CE35C1" w:rsidRPr="00D92410" w:rsidRDefault="00CE35C1" w:rsidP="00CE35C1">
      <w:pPr>
        <w:rPr>
          <w:noProof/>
        </w:rPr>
      </w:pPr>
      <w:r w:rsidRPr="00D92410">
        <w:rPr>
          <w:noProof/>
        </w:rPr>
        <w:t xml:space="preserve">While </w:t>
      </w:r>
      <w:r w:rsidRPr="00D92410">
        <w:rPr>
          <w:i/>
          <w:noProof/>
        </w:rPr>
        <w:t xml:space="preserve">pur-ResponseWindowTimer </w:t>
      </w:r>
      <w:r w:rsidRPr="00D92410">
        <w:rPr>
          <w:noProof/>
        </w:rPr>
        <w:t>is running, the MAC entity shall:</w:t>
      </w:r>
    </w:p>
    <w:p w14:paraId="43154B58" w14:textId="77777777" w:rsidR="00CE35C1" w:rsidRPr="00D92410" w:rsidRDefault="00CE35C1" w:rsidP="00CE35C1">
      <w:pPr>
        <w:pStyle w:val="B1"/>
      </w:pPr>
      <w:r w:rsidRPr="00D92410">
        <w:t>-</w:t>
      </w:r>
      <w:r w:rsidRPr="00D92410">
        <w:tab/>
        <w:t xml:space="preserve">if </w:t>
      </w:r>
      <w:r w:rsidRPr="00D92410">
        <w:rPr>
          <w:noProof/>
        </w:rPr>
        <w:t xml:space="preserve">the PDCCH transmission is addressed to the PUR-RNTI and contains an UL grant </w:t>
      </w:r>
      <w:r w:rsidRPr="00D92410">
        <w:t>for a retransmission:</w:t>
      </w:r>
    </w:p>
    <w:p w14:paraId="22F8357A" w14:textId="77777777" w:rsidR="00CE35C1" w:rsidRPr="00D92410" w:rsidRDefault="00CE35C1" w:rsidP="00CE35C1">
      <w:pPr>
        <w:pStyle w:val="B2"/>
        <w:rPr>
          <w:iCs/>
          <w:noProof/>
        </w:rPr>
      </w:pPr>
      <w:bookmarkStart w:id="143" w:name="OLE_LINK25"/>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2728603D"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 plus UE-eNB RTT.</w:t>
      </w:r>
    </w:p>
    <w:p w14:paraId="5300D29C" w14:textId="77777777" w:rsidR="00CE35C1" w:rsidRPr="00D92410" w:rsidRDefault="00CE35C1" w:rsidP="00CE35C1">
      <w:pPr>
        <w:pStyle w:val="B2"/>
        <w:rPr>
          <w:iCs/>
          <w:noProof/>
        </w:rPr>
      </w:pPr>
      <w:r w:rsidRPr="00D92410">
        <w:rPr>
          <w:noProof/>
        </w:rPr>
        <w:t>-</w:t>
      </w:r>
      <w:r w:rsidRPr="00D92410">
        <w:rPr>
          <w:noProof/>
        </w:rPr>
        <w:tab/>
        <w:t>else:</w:t>
      </w:r>
      <w:bookmarkEnd w:id="143"/>
    </w:p>
    <w:p w14:paraId="619C8B54"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w:t>
      </w:r>
    </w:p>
    <w:p w14:paraId="4D99FB7E" w14:textId="77777777" w:rsidR="00CE35C1" w:rsidRPr="00D92410" w:rsidRDefault="00CE35C1" w:rsidP="00CE35C1">
      <w:pPr>
        <w:pStyle w:val="B1"/>
        <w:rPr>
          <w:noProof/>
        </w:rPr>
      </w:pPr>
      <w:r w:rsidRPr="00D92410">
        <w:rPr>
          <w:noProof/>
        </w:rPr>
        <w:t>-</w:t>
      </w:r>
      <w:r w:rsidRPr="00D92410">
        <w:rPr>
          <w:noProof/>
        </w:rPr>
        <w:tab/>
        <w:t>if L1 ACK for transmission using PUR is received from lower layers; or</w:t>
      </w:r>
    </w:p>
    <w:p w14:paraId="2751F2C8" w14:textId="77777777" w:rsidR="00CE35C1" w:rsidRPr="00D92410" w:rsidRDefault="00CE35C1" w:rsidP="00CE35C1">
      <w:pPr>
        <w:pStyle w:val="B1"/>
        <w:rPr>
          <w:noProof/>
        </w:rPr>
      </w:pPr>
      <w:r w:rsidRPr="00D92410">
        <w:rPr>
          <w:noProof/>
        </w:rPr>
        <w:t>-</w:t>
      </w:r>
      <w:r w:rsidRPr="00D92410">
        <w:rPr>
          <w:noProof/>
        </w:rPr>
        <w:tab/>
        <w:t xml:space="preserve">if PDCCH transmission is addressed to the </w:t>
      </w:r>
      <w:r w:rsidRPr="00D92410">
        <w:t>PUR-RNTI</w:t>
      </w:r>
      <w:r w:rsidRPr="00D92410">
        <w:rPr>
          <w:noProof/>
        </w:rPr>
        <w:t xml:space="preserve"> and the MAC PDU is successfully decoded:</w:t>
      </w:r>
    </w:p>
    <w:p w14:paraId="0DDBAC9D"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3F79C13A" w14:textId="77777777" w:rsidR="00CE35C1" w:rsidRPr="00D92410" w:rsidRDefault="00CE35C1" w:rsidP="00CE35C1">
      <w:pPr>
        <w:pStyle w:val="B2"/>
        <w:rPr>
          <w:noProof/>
        </w:rPr>
      </w:pPr>
      <w:r w:rsidRPr="00D92410">
        <w:rPr>
          <w:noProof/>
        </w:rPr>
        <w:t>-</w:t>
      </w:r>
      <w:r w:rsidRPr="00D92410">
        <w:rPr>
          <w:noProof/>
        </w:rPr>
        <w:tab/>
        <w:t>if L1 ACK for transmission using PUR is received from lower layers or the MAC PDU contains only Timing Advance Command MAC control element:</w:t>
      </w:r>
    </w:p>
    <w:p w14:paraId="3CF69EC5" w14:textId="77777777" w:rsidR="00CE35C1" w:rsidRPr="00D92410" w:rsidRDefault="00CE35C1" w:rsidP="00CE35C1">
      <w:pPr>
        <w:pStyle w:val="B3"/>
        <w:rPr>
          <w:noProof/>
        </w:rPr>
      </w:pPr>
      <w:r w:rsidRPr="00D92410">
        <w:rPr>
          <w:noProof/>
        </w:rPr>
        <w:t>-</w:t>
      </w:r>
      <w:r w:rsidRPr="00D92410">
        <w:rPr>
          <w:noProof/>
        </w:rPr>
        <w:tab/>
        <w:t>indicate to upper layers the transmission using PUR was successful;</w:t>
      </w:r>
    </w:p>
    <w:p w14:paraId="5C35B718" w14:textId="77777777" w:rsidR="00CE35C1" w:rsidRPr="00D92410" w:rsidRDefault="00CE35C1" w:rsidP="00CE35C1">
      <w:pPr>
        <w:pStyle w:val="B3"/>
        <w:rPr>
          <w:noProof/>
        </w:rPr>
      </w:pPr>
      <w:r w:rsidRPr="00D92410">
        <w:rPr>
          <w:noProof/>
        </w:rPr>
        <w:t>-</w:t>
      </w:r>
      <w:r w:rsidRPr="00D92410">
        <w:rPr>
          <w:noProof/>
        </w:rPr>
        <w:tab/>
        <w:t>if repetition adjustment for transmission using PUR is received from lower layers:</w:t>
      </w:r>
    </w:p>
    <w:p w14:paraId="13BDF128" w14:textId="77777777" w:rsidR="00CE35C1" w:rsidRPr="00D92410" w:rsidRDefault="00CE35C1" w:rsidP="00CE35C1">
      <w:pPr>
        <w:pStyle w:val="B4"/>
        <w:rPr>
          <w:noProof/>
        </w:rPr>
      </w:pPr>
      <w:r w:rsidRPr="00D92410">
        <w:rPr>
          <w:noProof/>
        </w:rPr>
        <w:t>-</w:t>
      </w:r>
      <w:r w:rsidRPr="00D92410">
        <w:rPr>
          <w:noProof/>
        </w:rPr>
        <w:tab/>
        <w:t>indicate the value of the repetition adjustment to upper layers.</w:t>
      </w:r>
    </w:p>
    <w:p w14:paraId="78D95269" w14:textId="77777777" w:rsidR="00CE35C1" w:rsidRPr="00D92410" w:rsidRDefault="00CE35C1" w:rsidP="00CE35C1">
      <w:pPr>
        <w:pStyle w:val="B2"/>
        <w:rPr>
          <w:noProof/>
        </w:rPr>
      </w:pPr>
      <w:r w:rsidRPr="00D92410">
        <w:rPr>
          <w:noProof/>
        </w:rPr>
        <w:t>-</w:t>
      </w:r>
      <w:r w:rsidRPr="00D92410">
        <w:rPr>
          <w:noProof/>
        </w:rPr>
        <w:tab/>
        <w:t>discard the PUR-RNTI.</w:t>
      </w:r>
    </w:p>
    <w:p w14:paraId="443B7FE7" w14:textId="77777777" w:rsidR="00CE35C1" w:rsidRPr="00D92410" w:rsidRDefault="00CE35C1" w:rsidP="00CE35C1">
      <w:pPr>
        <w:pStyle w:val="B1"/>
        <w:rPr>
          <w:noProof/>
        </w:rPr>
      </w:pPr>
      <w:r w:rsidRPr="00D92410">
        <w:rPr>
          <w:noProof/>
        </w:rPr>
        <w:t>-</w:t>
      </w:r>
      <w:r w:rsidRPr="00D92410">
        <w:rPr>
          <w:noProof/>
        </w:rPr>
        <w:tab/>
        <w:t>else if fallback indication for PUR is received from lower layers:</w:t>
      </w:r>
    </w:p>
    <w:p w14:paraId="39A6A134"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48830B07" w14:textId="77777777" w:rsidR="00CE35C1" w:rsidRPr="00D92410" w:rsidRDefault="00CE35C1" w:rsidP="00CE35C1">
      <w:pPr>
        <w:pStyle w:val="B2"/>
        <w:rPr>
          <w:noProof/>
        </w:rPr>
      </w:pPr>
      <w:r w:rsidRPr="00D92410">
        <w:rPr>
          <w:noProof/>
        </w:rPr>
        <w:t>-</w:t>
      </w:r>
      <w:r w:rsidRPr="00D92410">
        <w:rPr>
          <w:noProof/>
        </w:rPr>
        <w:tab/>
        <w:t>indicate to upper layers PUR fallback indication is received;</w:t>
      </w:r>
    </w:p>
    <w:p w14:paraId="664ADBCA" w14:textId="77777777" w:rsidR="00CE35C1" w:rsidRPr="00D92410" w:rsidRDefault="00CE35C1" w:rsidP="00CE35C1">
      <w:pPr>
        <w:pStyle w:val="B2"/>
      </w:pPr>
      <w:r w:rsidRPr="00D92410">
        <w:t>-</w:t>
      </w:r>
      <w:r w:rsidRPr="00D92410">
        <w:tab/>
        <w:t>if repetition adjustment for transmission using PUR is received from lower layers:</w:t>
      </w:r>
    </w:p>
    <w:p w14:paraId="60DEC2D3" w14:textId="77777777" w:rsidR="00CE35C1" w:rsidRPr="00D92410" w:rsidRDefault="00CE35C1" w:rsidP="00CE35C1">
      <w:pPr>
        <w:pStyle w:val="B3"/>
        <w:rPr>
          <w:noProof/>
        </w:rPr>
      </w:pPr>
      <w:r w:rsidRPr="00D92410">
        <w:rPr>
          <w:noProof/>
        </w:rPr>
        <w:t>-</w:t>
      </w:r>
      <w:r w:rsidRPr="00D92410">
        <w:rPr>
          <w:noProof/>
        </w:rPr>
        <w:tab/>
        <w:t>indicate the value of the repetition adjustment to upper layers.</w:t>
      </w:r>
    </w:p>
    <w:p w14:paraId="5CE50ED0" w14:textId="77777777" w:rsidR="00CE35C1" w:rsidRPr="00D92410" w:rsidRDefault="00CE35C1" w:rsidP="00CE35C1">
      <w:pPr>
        <w:pStyle w:val="B2"/>
        <w:rPr>
          <w:noProof/>
        </w:rPr>
      </w:pPr>
      <w:r w:rsidRPr="00D92410">
        <w:rPr>
          <w:noProof/>
        </w:rPr>
        <w:t>-</w:t>
      </w:r>
      <w:r w:rsidRPr="00D92410">
        <w:rPr>
          <w:noProof/>
        </w:rPr>
        <w:tab/>
        <w:t>discard the PUR-RNTI.</w:t>
      </w:r>
    </w:p>
    <w:p w14:paraId="5A762C8F" w14:textId="77777777" w:rsidR="00CE35C1" w:rsidRPr="00D92410" w:rsidRDefault="00CE35C1" w:rsidP="00CE35C1">
      <w:pPr>
        <w:pStyle w:val="B1"/>
        <w:rPr>
          <w:noProof/>
        </w:rPr>
      </w:pPr>
      <w:r w:rsidRPr="00D92410">
        <w:rPr>
          <w:noProof/>
        </w:rPr>
        <w:lastRenderedPageBreak/>
        <w:t>-</w:t>
      </w:r>
      <w:r w:rsidRPr="00D92410">
        <w:rPr>
          <w:noProof/>
        </w:rPr>
        <w:tab/>
        <w:t xml:space="preserve">if the </w:t>
      </w:r>
      <w:r w:rsidRPr="00D92410">
        <w:rPr>
          <w:i/>
          <w:noProof/>
        </w:rPr>
        <w:t xml:space="preserve">pur-ResponseWindowTimer </w:t>
      </w:r>
      <w:r w:rsidRPr="00D92410">
        <w:rPr>
          <w:noProof/>
        </w:rPr>
        <w:t>expires:</w:t>
      </w:r>
    </w:p>
    <w:p w14:paraId="0298527A" w14:textId="77777777" w:rsidR="00CE35C1" w:rsidRPr="00D92410" w:rsidRDefault="00CE35C1" w:rsidP="00CE35C1">
      <w:pPr>
        <w:pStyle w:val="B2"/>
        <w:rPr>
          <w:noProof/>
        </w:rPr>
      </w:pPr>
      <w:r w:rsidRPr="00D92410">
        <w:rPr>
          <w:noProof/>
        </w:rPr>
        <w:t>-</w:t>
      </w:r>
      <w:r w:rsidRPr="00D92410">
        <w:rPr>
          <w:noProof/>
        </w:rPr>
        <w:tab/>
        <w:t>if PUR was transmitted in a non-terrestrial network:</w:t>
      </w:r>
    </w:p>
    <w:p w14:paraId="28A0D4B5" w14:textId="77777777" w:rsidR="00CE35C1" w:rsidRPr="00D92410" w:rsidRDefault="00CE35C1" w:rsidP="00CE35C1">
      <w:pPr>
        <w:pStyle w:val="B3"/>
        <w:rPr>
          <w:noProof/>
        </w:rPr>
      </w:pPr>
      <w:r w:rsidRPr="00D92410">
        <w:rPr>
          <w:noProof/>
        </w:rPr>
        <w:t>-</w:t>
      </w:r>
      <w:r w:rsidRPr="00D92410">
        <w:rPr>
          <w:noProof/>
        </w:rPr>
        <w:tab/>
        <w:t xml:space="preserve">if no notification of a reception of a PDCCH transmission addressed to the PUR-RNTI containing an UL grant </w:t>
      </w:r>
      <w:r w:rsidRPr="00D92410">
        <w:t xml:space="preserve">for a retransmission was received after the start of </w:t>
      </w:r>
      <w:r w:rsidRPr="00D92410">
        <w:rPr>
          <w:i/>
          <w:noProof/>
        </w:rPr>
        <w:t>pur-ResponseWindowTimer</w:t>
      </w:r>
      <w:r w:rsidRPr="00D92410">
        <w:rPr>
          <w:noProof/>
        </w:rPr>
        <w:t>:</w:t>
      </w:r>
    </w:p>
    <w:p w14:paraId="3D0CFB0C" w14:textId="77777777" w:rsidR="00CE35C1" w:rsidRPr="00D92410" w:rsidRDefault="00CE35C1" w:rsidP="00CE35C1">
      <w:pPr>
        <w:pStyle w:val="B4"/>
      </w:pPr>
      <w:r w:rsidRPr="00D92410">
        <w:t>-</w:t>
      </w:r>
      <w:r w:rsidRPr="00D92410">
        <w:tab/>
      </w:r>
      <w:r w:rsidRPr="00D92410">
        <w:rPr>
          <w:noProof/>
        </w:rPr>
        <w:t>indicate to upper layers the transmission using PUR has failed;</w:t>
      </w:r>
    </w:p>
    <w:p w14:paraId="3607DD4B" w14:textId="77777777" w:rsidR="00CE35C1" w:rsidRPr="00D92410" w:rsidRDefault="00CE35C1" w:rsidP="00CE35C1">
      <w:pPr>
        <w:pStyle w:val="B4"/>
      </w:pPr>
      <w:r w:rsidRPr="00D92410">
        <w:t>-</w:t>
      </w:r>
      <w:r w:rsidRPr="00D92410">
        <w:tab/>
      </w:r>
      <w:r w:rsidRPr="00D92410">
        <w:rPr>
          <w:noProof/>
        </w:rPr>
        <w:t>discard the PUR-RNTI.</w:t>
      </w:r>
    </w:p>
    <w:p w14:paraId="66C1493B" w14:textId="77777777" w:rsidR="00CE35C1" w:rsidRPr="00D92410" w:rsidRDefault="00CE35C1" w:rsidP="00CE35C1">
      <w:pPr>
        <w:pStyle w:val="B2"/>
        <w:rPr>
          <w:noProof/>
        </w:rPr>
      </w:pPr>
      <w:r w:rsidRPr="00D92410">
        <w:rPr>
          <w:noProof/>
        </w:rPr>
        <w:t>-</w:t>
      </w:r>
      <w:r w:rsidRPr="00D92410">
        <w:rPr>
          <w:noProof/>
        </w:rPr>
        <w:tab/>
        <w:t>else:</w:t>
      </w:r>
    </w:p>
    <w:p w14:paraId="2023451C" w14:textId="77777777" w:rsidR="00CE35C1" w:rsidRPr="00D92410" w:rsidRDefault="00CE35C1" w:rsidP="00CE35C1">
      <w:pPr>
        <w:pStyle w:val="B3"/>
        <w:rPr>
          <w:noProof/>
        </w:rPr>
      </w:pPr>
      <w:r w:rsidRPr="00D92410">
        <w:rPr>
          <w:noProof/>
        </w:rPr>
        <w:t>-</w:t>
      </w:r>
      <w:r w:rsidRPr="00D92410">
        <w:rPr>
          <w:noProof/>
        </w:rPr>
        <w:tab/>
        <w:t>indicate to upper layers the transmission using PUR has failed;</w:t>
      </w:r>
    </w:p>
    <w:p w14:paraId="13D38C55" w14:textId="5B8D1E2E" w:rsidR="0085783F" w:rsidRDefault="00CE35C1" w:rsidP="005645B6">
      <w:pPr>
        <w:pStyle w:val="B3"/>
        <w:rPr>
          <w:noProof/>
        </w:rPr>
      </w:pPr>
      <w:r w:rsidRPr="00D92410">
        <w:rPr>
          <w:noProof/>
        </w:rPr>
        <w:t>-</w:t>
      </w:r>
      <w:r w:rsidRPr="00D92410">
        <w:rPr>
          <w:noProof/>
        </w:rPr>
        <w:tab/>
        <w:t>discard the PUR-RNTI.</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A1A1552" w14:textId="77777777">
        <w:trPr>
          <w:trHeight w:val="196"/>
        </w:trPr>
        <w:tc>
          <w:tcPr>
            <w:tcW w:w="9797" w:type="dxa"/>
            <w:shd w:val="clear" w:color="auto" w:fill="FDE9D9"/>
            <w:vAlign w:val="center"/>
          </w:tcPr>
          <w:p w14:paraId="5EEC4B85" w14:textId="77777777" w:rsidR="00A36524" w:rsidRDefault="00355467">
            <w:pPr>
              <w:snapToGrid w:val="0"/>
              <w:spacing w:after="0"/>
              <w:jc w:val="center"/>
              <w:rPr>
                <w:color w:val="FF0000"/>
                <w:sz w:val="28"/>
                <w:szCs w:val="28"/>
              </w:rPr>
            </w:pPr>
            <w:bookmarkStart w:id="144" w:name="_Toc52536224"/>
            <w:bookmarkStart w:id="145" w:name="_Toc193402460"/>
            <w:bookmarkStart w:id="146" w:name="_Toc29242965"/>
            <w:bookmarkStart w:id="147" w:name="_Toc37256376"/>
            <w:bookmarkStart w:id="148" w:name="_Toc46500315"/>
            <w:bookmarkStart w:id="149" w:name="_Toc37256222"/>
            <w:r>
              <w:rPr>
                <w:color w:val="FF0000"/>
                <w:sz w:val="28"/>
                <w:szCs w:val="28"/>
              </w:rPr>
              <w:t>NEXT CHANGES</w:t>
            </w:r>
          </w:p>
        </w:tc>
      </w:tr>
      <w:bookmarkEnd w:id="144"/>
      <w:bookmarkEnd w:id="145"/>
      <w:bookmarkEnd w:id="146"/>
      <w:bookmarkEnd w:id="147"/>
      <w:bookmarkEnd w:id="148"/>
      <w:bookmarkEnd w:id="149"/>
    </w:tbl>
    <w:p w14:paraId="45B0A2C3" w14:textId="77777777" w:rsidR="00A36524" w:rsidRDefault="00A36524">
      <w:pPr>
        <w:pStyle w:val="B1"/>
      </w:pPr>
    </w:p>
    <w:p w14:paraId="49839C24" w14:textId="77777777" w:rsidR="00A36524" w:rsidRDefault="00355467">
      <w:pPr>
        <w:pStyle w:val="Heading3"/>
        <w:rPr>
          <w:lang w:eastAsia="zh-CN"/>
        </w:rPr>
      </w:pPr>
      <w:bookmarkStart w:id="150" w:name="_Toc37256244"/>
      <w:bookmarkStart w:id="151" w:name="_Toc29242983"/>
      <w:bookmarkStart w:id="152" w:name="_Toc37256398"/>
      <w:bookmarkStart w:id="153" w:name="_Toc46500337"/>
      <w:bookmarkStart w:id="154" w:name="_Toc52536246"/>
      <w:bookmarkStart w:id="155" w:name="_Toc193402484"/>
      <w:r>
        <w:t>5.</w:t>
      </w:r>
      <w:r>
        <w:rPr>
          <w:lang w:eastAsia="zh-CN"/>
        </w:rPr>
        <w:t>10</w:t>
      </w:r>
      <w:r>
        <w:t>.</w:t>
      </w:r>
      <w:r>
        <w:rPr>
          <w:lang w:eastAsia="zh-CN"/>
        </w:rPr>
        <w:t>2</w:t>
      </w:r>
      <w:r>
        <w:rPr>
          <w:szCs w:val="24"/>
        </w:rPr>
        <w:tab/>
      </w:r>
      <w:r>
        <w:rPr>
          <w:lang w:eastAsia="zh-CN"/>
        </w:rPr>
        <w:t>Uplink</w:t>
      </w:r>
      <w:bookmarkEnd w:id="150"/>
      <w:bookmarkEnd w:id="151"/>
      <w:bookmarkEnd w:id="152"/>
      <w:bookmarkEnd w:id="153"/>
      <w:bookmarkEnd w:id="154"/>
      <w:bookmarkEnd w:id="155"/>
    </w:p>
    <w:p w14:paraId="5909EEBD" w14:textId="77777777" w:rsidR="00A36524" w:rsidRDefault="00355467">
      <w:pPr>
        <w:rPr>
          <w:lang w:eastAsia="zh-CN"/>
        </w:rPr>
      </w:pPr>
      <w:r>
        <w:rPr>
          <w:lang w:eastAsia="zh-CN"/>
        </w:rPr>
        <w:t>After a Semi-Persistent Scheduling uplink grant is configured, the MAC entity shall:</w:t>
      </w:r>
    </w:p>
    <w:p w14:paraId="6D18A472" w14:textId="77777777" w:rsidR="00A36524" w:rsidRDefault="00355467">
      <w:pPr>
        <w:pStyle w:val="B1"/>
        <w:rPr>
          <w:lang w:eastAsia="zh-CN"/>
        </w:rPr>
      </w:pPr>
      <w:r>
        <w:rPr>
          <w:lang w:eastAsia="zh-CN"/>
        </w:rPr>
        <w:t>-</w:t>
      </w:r>
      <w:r>
        <w:rPr>
          <w:lang w:eastAsia="zh-CN"/>
        </w:rPr>
        <w:tab/>
        <w:t xml:space="preserve">if </w:t>
      </w:r>
      <w:proofErr w:type="spellStart"/>
      <w:r>
        <w:rPr>
          <w:i/>
        </w:rPr>
        <w:t>twoIntervalsConfig</w:t>
      </w:r>
      <w:proofErr w:type="spellEnd"/>
      <w:r>
        <w:rPr>
          <w:lang w:eastAsia="zh-CN"/>
        </w:rPr>
        <w:t xml:space="preserve"> is enabled by upper layer:</w:t>
      </w:r>
    </w:p>
    <w:p w14:paraId="656996CF" w14:textId="77777777" w:rsidR="00A36524" w:rsidRDefault="00355467">
      <w:pPr>
        <w:pStyle w:val="B2"/>
        <w:rPr>
          <w:lang w:eastAsia="zh-CN"/>
        </w:rPr>
      </w:pPr>
      <w:r>
        <w:rPr>
          <w:lang w:eastAsia="zh-CN"/>
        </w:rPr>
        <w:t>-</w:t>
      </w:r>
      <w:r>
        <w:rPr>
          <w:lang w:eastAsia="zh-CN"/>
        </w:rPr>
        <w:tab/>
        <w:t>set the Subframe_Offset according to Table 7.4-1.</w:t>
      </w:r>
    </w:p>
    <w:p w14:paraId="1ECB6489" w14:textId="77777777" w:rsidR="00A36524" w:rsidRDefault="00355467">
      <w:pPr>
        <w:pStyle w:val="B1"/>
        <w:overflowPunct/>
        <w:autoSpaceDE/>
        <w:autoSpaceDN/>
        <w:adjustRightInd/>
        <w:ind w:left="284" w:firstLine="0"/>
        <w:textAlignment w:val="auto"/>
        <w:rPr>
          <w:lang w:eastAsia="zh-CN"/>
        </w:rPr>
      </w:pPr>
      <w:r>
        <w:rPr>
          <w:lang w:eastAsia="zh-CN"/>
        </w:rPr>
        <w:t>-</w:t>
      </w:r>
      <w:r>
        <w:rPr>
          <w:lang w:eastAsia="zh-CN"/>
        </w:rPr>
        <w:tab/>
        <w:t>else:</w:t>
      </w:r>
    </w:p>
    <w:p w14:paraId="7BDC8D5E" w14:textId="77777777" w:rsidR="00A36524" w:rsidRDefault="00355467">
      <w:pPr>
        <w:pStyle w:val="B2"/>
        <w:rPr>
          <w:lang w:eastAsia="zh-CN"/>
        </w:rPr>
      </w:pPr>
      <w:r>
        <w:rPr>
          <w:lang w:eastAsia="zh-CN"/>
        </w:rPr>
        <w:t>-</w:t>
      </w:r>
      <w:r>
        <w:rPr>
          <w:lang w:eastAsia="zh-CN"/>
        </w:rPr>
        <w:tab/>
        <w:t>set Subframe_Offset to 0.</w:t>
      </w:r>
    </w:p>
    <w:p w14:paraId="572858CA" w14:textId="77777777" w:rsidR="00A36524" w:rsidRDefault="00355467">
      <w:pPr>
        <w:pStyle w:val="B1"/>
        <w:rPr>
          <w:lang w:eastAsia="zh-CN"/>
        </w:rPr>
      </w:pPr>
      <w:r>
        <w:rPr>
          <w:lang w:eastAsia="zh-CN"/>
        </w:rPr>
        <w:t>-</w:t>
      </w:r>
      <w:r>
        <w:rPr>
          <w:lang w:eastAsia="zh-CN"/>
        </w:rPr>
        <w:tab/>
        <w:t xml:space="preserve">consider </w:t>
      </w:r>
      <w:r>
        <w:t xml:space="preserve">sequentially </w:t>
      </w:r>
      <w:r>
        <w:rPr>
          <w:lang w:eastAsia="zh-CN"/>
        </w:rPr>
        <w:t xml:space="preserve">that the </w:t>
      </w:r>
      <w:r>
        <w:t>N</w:t>
      </w:r>
      <w:r>
        <w:rPr>
          <w:vertAlign w:val="superscript"/>
        </w:rPr>
        <w:t>th</w:t>
      </w:r>
      <w:r>
        <w:t xml:space="preserve"> </w:t>
      </w:r>
      <w:r>
        <w:rPr>
          <w:lang w:eastAsia="zh-CN"/>
        </w:rPr>
        <w:t xml:space="preserve">grant </w:t>
      </w:r>
      <w:r>
        <w:t>occurs</w:t>
      </w:r>
      <w:r>
        <w:rPr>
          <w:lang w:eastAsia="zh-CN"/>
        </w:rPr>
        <w:t xml:space="preserve"> in </w:t>
      </w:r>
      <w:r>
        <w:t>the</w:t>
      </w:r>
      <w:r>
        <w:rPr>
          <w:lang w:eastAsia="zh-CN"/>
        </w:rPr>
        <w:t xml:space="preserve"> TTI for which:</w:t>
      </w:r>
    </w:p>
    <w:p w14:paraId="41E33126" w14:textId="77777777" w:rsidR="00A36524" w:rsidRDefault="00355467">
      <w:pPr>
        <w:pStyle w:val="B2"/>
        <w:rPr>
          <w:lang w:eastAsia="zh-CN"/>
        </w:rPr>
      </w:pPr>
      <w:r>
        <w:rPr>
          <w:lang w:eastAsia="zh-CN"/>
        </w:rPr>
        <w:t>-</w:t>
      </w:r>
      <w:r>
        <w:rPr>
          <w:lang w:eastAsia="zh-CN"/>
        </w:rPr>
        <w:tab/>
        <w:t>subframe SPS is used:</w:t>
      </w:r>
    </w:p>
    <w:p w14:paraId="43E14AA2" w14:textId="77777777" w:rsidR="00A36524" w:rsidRDefault="00355467">
      <w:pPr>
        <w:pStyle w:val="B3"/>
        <w:rPr>
          <w:lang w:eastAsia="zh-CN"/>
        </w:rPr>
      </w:pPr>
      <w:r>
        <w:rPr>
          <w:lang w:eastAsia="zh-CN"/>
        </w:rPr>
        <w:t>-</w:t>
      </w:r>
      <w:r>
        <w:rPr>
          <w:lang w:eastAsia="zh-CN"/>
        </w:rPr>
        <w:tab/>
        <w:t xml:space="preserve">(10 * SFN + subframe) = [(10 * </w:t>
      </w:r>
      <w:proofErr w:type="spellStart"/>
      <w:r>
        <w:t>SFN</w:t>
      </w:r>
      <w:r>
        <w:rPr>
          <w:vertAlign w:val="subscript"/>
        </w:rPr>
        <w:t>start</w:t>
      </w:r>
      <w:proofErr w:type="spellEnd"/>
      <w:r>
        <w:rPr>
          <w:vertAlign w:val="subscript"/>
        </w:rPr>
        <w:t xml:space="preserve"> time</w:t>
      </w:r>
      <w:r>
        <w:rPr>
          <w:lang w:eastAsia="zh-CN"/>
        </w:rPr>
        <w:t xml:space="preserve"> + </w:t>
      </w:r>
      <w:proofErr w:type="spellStart"/>
      <w:r>
        <w:t>subframe</w:t>
      </w:r>
      <w:r>
        <w:rPr>
          <w:vertAlign w:val="subscript"/>
        </w:rPr>
        <w:t>start</w:t>
      </w:r>
      <w:proofErr w:type="spellEnd"/>
      <w:r>
        <w:rPr>
          <w:vertAlign w:val="subscript"/>
        </w:rPr>
        <w:t xml:space="preserve"> time</w:t>
      </w:r>
      <w:r>
        <w:rPr>
          <w:lang w:eastAsia="zh-CN"/>
        </w:rPr>
        <w:t xml:space="preserve">) + N * </w:t>
      </w:r>
      <w:proofErr w:type="spellStart"/>
      <w:r>
        <w:rPr>
          <w:i/>
          <w:lang w:eastAsia="zh-CN"/>
        </w:rPr>
        <w:t>semiPersistSchedIntervalUL</w:t>
      </w:r>
      <w:proofErr w:type="spellEnd"/>
      <w:r>
        <w:rPr>
          <w:lang w:eastAsia="zh-CN"/>
        </w:rPr>
        <w:t xml:space="preserve"> + Subframe_Offset * (N modulo 2)] modulo 10240.</w:t>
      </w:r>
    </w:p>
    <w:p w14:paraId="34F8FBCC" w14:textId="77777777" w:rsidR="00A36524" w:rsidRDefault="00355467">
      <w:pPr>
        <w:pStyle w:val="B2"/>
        <w:rPr>
          <w:lang w:eastAsia="zh-CN"/>
        </w:rPr>
      </w:pPr>
      <w:r>
        <w:rPr>
          <w:lang w:eastAsia="zh-CN"/>
        </w:rPr>
        <w:t>-</w:t>
      </w:r>
      <w:r>
        <w:rPr>
          <w:lang w:eastAsia="zh-CN"/>
        </w:rPr>
        <w:tab/>
        <w:t xml:space="preserve">slot or </w:t>
      </w:r>
      <w:proofErr w:type="spellStart"/>
      <w:r>
        <w:rPr>
          <w:lang w:eastAsia="zh-CN"/>
        </w:rPr>
        <w:t>subslot</w:t>
      </w:r>
      <w:proofErr w:type="spellEnd"/>
      <w:r>
        <w:rPr>
          <w:lang w:eastAsia="zh-CN"/>
        </w:rPr>
        <w:t xml:space="preserve"> SPS is used:</w:t>
      </w:r>
    </w:p>
    <w:p w14:paraId="4EE09DDF" w14:textId="77777777" w:rsidR="00A36524" w:rsidRDefault="00355467">
      <w:pPr>
        <w:pStyle w:val="B3"/>
        <w:rPr>
          <w:i/>
          <w:lang w:eastAsia="zh-CN"/>
        </w:rPr>
      </w:pPr>
      <w:r>
        <w:rPr>
          <w:lang w:eastAsia="zh-CN"/>
        </w:rPr>
        <w:t>-</w:t>
      </w:r>
      <w:r>
        <w:rPr>
          <w:lang w:eastAsia="zh-CN"/>
        </w:rPr>
        <w:tab/>
        <w:t xml:space="preserve">(10 * SFN * </w:t>
      </w:r>
      <w:proofErr w:type="spellStart"/>
      <w:r>
        <w:rPr>
          <w:lang w:eastAsia="zh-CN"/>
        </w:rPr>
        <w:t>sTTI_Number_Per_Subframe</w:t>
      </w:r>
      <w:proofErr w:type="spellEnd"/>
      <w:r>
        <w:rPr>
          <w:lang w:eastAsia="zh-CN"/>
        </w:rPr>
        <w:t xml:space="preserve"> + subframe * </w:t>
      </w:r>
      <w:proofErr w:type="spellStart"/>
      <w:r>
        <w:rPr>
          <w:lang w:eastAsia="zh-CN"/>
        </w:rPr>
        <w:t>sTTI_Number_Per_Subframe</w:t>
      </w:r>
      <w:proofErr w:type="spellEnd"/>
      <w:r>
        <w:rPr>
          <w:lang w:eastAsia="zh-CN"/>
        </w:rPr>
        <w:t xml:space="preserve"> + </w:t>
      </w:r>
      <w:proofErr w:type="spellStart"/>
      <w:r>
        <w:rPr>
          <w:lang w:eastAsia="zh-CN"/>
        </w:rPr>
        <w:t>sTTI_number</w:t>
      </w:r>
      <w:proofErr w:type="spellEnd"/>
      <w:r>
        <w:rPr>
          <w:lang w:eastAsia="zh-CN"/>
        </w:rPr>
        <w:t xml:space="preserve">) = [(10 * </w:t>
      </w:r>
      <w:proofErr w:type="spellStart"/>
      <w:r>
        <w:rPr>
          <w:lang w:eastAsia="zh-CN"/>
        </w:rPr>
        <w:t>SFN</w:t>
      </w:r>
      <w:r>
        <w:rPr>
          <w:vertAlign w:val="subscript"/>
          <w:lang w:eastAsia="zh-CN"/>
        </w:rPr>
        <w:t>start</w:t>
      </w:r>
      <w:proofErr w:type="spellEnd"/>
      <w:r>
        <w:rPr>
          <w:vertAlign w:val="subscript"/>
          <w:lang w:eastAsia="zh-CN"/>
        </w:rPr>
        <w:t xml:space="preserve"> time</w:t>
      </w:r>
      <w:r>
        <w:rPr>
          <w:lang w:eastAsia="zh-CN"/>
        </w:rPr>
        <w:t xml:space="preserve"> * </w:t>
      </w:r>
      <w:proofErr w:type="spellStart"/>
      <w:r>
        <w:rPr>
          <w:lang w:eastAsia="zh-CN"/>
        </w:rPr>
        <w:t>sTTI_Number_Per_Subframe</w:t>
      </w:r>
      <w:proofErr w:type="spellEnd"/>
      <w:r>
        <w:rPr>
          <w:lang w:eastAsia="zh-CN"/>
        </w:rPr>
        <w:t xml:space="preserve"> + </w:t>
      </w:r>
      <w:proofErr w:type="spellStart"/>
      <w:r>
        <w:t>subframe</w:t>
      </w:r>
      <w:r>
        <w:rPr>
          <w:vertAlign w:val="subscript"/>
        </w:rPr>
        <w:t>start</w:t>
      </w:r>
      <w:proofErr w:type="spellEnd"/>
      <w:r>
        <w:rPr>
          <w:vertAlign w:val="subscript"/>
        </w:rPr>
        <w:t xml:space="preserve"> time</w:t>
      </w:r>
      <w:r>
        <w:rPr>
          <w:lang w:eastAsia="zh-CN"/>
        </w:rPr>
        <w:t xml:space="preserve"> * </w:t>
      </w:r>
      <w:proofErr w:type="spellStart"/>
      <w:r>
        <w:rPr>
          <w:lang w:eastAsia="zh-CN"/>
        </w:rPr>
        <w:t>sTTI_Number_Per_Subframe</w:t>
      </w:r>
      <w:proofErr w:type="spellEnd"/>
      <w:r>
        <w:rPr>
          <w:lang w:eastAsia="zh-CN"/>
        </w:rPr>
        <w:t xml:space="preserve"> + </w:t>
      </w:r>
      <w:proofErr w:type="spellStart"/>
      <w:r>
        <w:rPr>
          <w:i/>
        </w:rPr>
        <w:t>sTTIStartTimeUl</w:t>
      </w:r>
      <w:proofErr w:type="spellEnd"/>
      <w:r>
        <w:rPr>
          <w:lang w:eastAsia="zh-CN"/>
        </w:rPr>
        <w:t>) + N *</w:t>
      </w:r>
      <w:r>
        <w:rPr>
          <w:i/>
          <w:lang w:eastAsia="zh-CN"/>
        </w:rPr>
        <w:t xml:space="preserve"> </w:t>
      </w:r>
      <w:bookmarkStart w:id="156" w:name="OLE_LINK269"/>
      <w:proofErr w:type="spellStart"/>
      <w:r>
        <w:rPr>
          <w:i/>
          <w:lang w:eastAsia="zh-CN"/>
        </w:rPr>
        <w:t>semiPersistSchedIntervalUL</w:t>
      </w:r>
      <w:bookmarkEnd w:id="156"/>
      <w:r>
        <w:rPr>
          <w:i/>
          <w:lang w:eastAsia="zh-CN"/>
        </w:rPr>
        <w:t>-sTTI</w:t>
      </w:r>
      <w:proofErr w:type="spellEnd"/>
      <w:r>
        <w:rPr>
          <w:lang w:eastAsia="zh-CN"/>
        </w:rPr>
        <w:t xml:space="preserve">+ Subframe_Offset * (N modulo 2) * </w:t>
      </w:r>
      <w:proofErr w:type="spellStart"/>
      <w:r>
        <w:rPr>
          <w:lang w:eastAsia="zh-CN"/>
        </w:rPr>
        <w:t>sTTI_Number_Per_Subframe</w:t>
      </w:r>
      <w:proofErr w:type="spellEnd"/>
      <w:r>
        <w:rPr>
          <w:lang w:eastAsia="zh-CN"/>
        </w:rPr>
        <w:t>] modulo (10240</w:t>
      </w:r>
      <w:bookmarkStart w:id="157" w:name="OLE_LINK35"/>
      <w:bookmarkStart w:id="158" w:name="OLE_LINK36"/>
      <w:bookmarkStart w:id="159" w:name="OLE_LINK37"/>
      <w:bookmarkStart w:id="160" w:name="OLE_LINK38"/>
      <w:r>
        <w:rPr>
          <w:lang w:eastAsia="zh-CN"/>
        </w:rPr>
        <w:t xml:space="preserve"> </w:t>
      </w:r>
      <w:bookmarkStart w:id="161" w:name="OLE_LINK70"/>
      <w:bookmarkStart w:id="162" w:name="OLE_LINK71"/>
      <w:r>
        <w:rPr>
          <w:lang w:eastAsia="zh-CN"/>
        </w:rPr>
        <w:t xml:space="preserve">* </w:t>
      </w:r>
      <w:bookmarkEnd w:id="157"/>
      <w:bookmarkEnd w:id="158"/>
      <w:bookmarkEnd w:id="159"/>
      <w:bookmarkEnd w:id="160"/>
      <w:bookmarkEnd w:id="161"/>
      <w:bookmarkEnd w:id="162"/>
      <w:proofErr w:type="spellStart"/>
      <w:r>
        <w:rPr>
          <w:lang w:eastAsia="zh-CN"/>
        </w:rPr>
        <w:t>sTTI_Number_Per_Subframe</w:t>
      </w:r>
      <w:proofErr w:type="spellEnd"/>
      <w:r>
        <w:rPr>
          <w:lang w:eastAsia="zh-CN"/>
        </w:rPr>
        <w:t>).</w:t>
      </w:r>
    </w:p>
    <w:p w14:paraId="1A1548E8" w14:textId="77777777" w:rsidR="00A36524" w:rsidRDefault="00355467">
      <w:r>
        <w:rPr>
          <w:lang w:eastAsia="zh-CN"/>
        </w:rPr>
        <w:t>W</w:t>
      </w:r>
      <w:r>
        <w:t xml:space="preserve">here </w:t>
      </w:r>
      <w:proofErr w:type="spellStart"/>
      <w:r>
        <w:t>SFN</w:t>
      </w:r>
      <w:r>
        <w:rPr>
          <w:vertAlign w:val="subscript"/>
        </w:rPr>
        <w:t>start</w:t>
      </w:r>
      <w:proofErr w:type="spellEnd"/>
      <w:r>
        <w:rPr>
          <w:vertAlign w:val="subscript"/>
        </w:rPr>
        <w:t xml:space="preserve"> time</w:t>
      </w:r>
      <w:r>
        <w:t xml:space="preserve">, </w:t>
      </w:r>
      <w:proofErr w:type="spellStart"/>
      <w:r>
        <w:t>subframe</w:t>
      </w:r>
      <w:r>
        <w:rPr>
          <w:vertAlign w:val="subscript"/>
        </w:rPr>
        <w:t>start</w:t>
      </w:r>
      <w:proofErr w:type="spellEnd"/>
      <w:r>
        <w:rPr>
          <w:vertAlign w:val="subscript"/>
        </w:rPr>
        <w:t xml:space="preserve"> time</w:t>
      </w:r>
      <w:r>
        <w:t xml:space="preserve"> and </w:t>
      </w:r>
      <w:proofErr w:type="spellStart"/>
      <w:r>
        <w:rPr>
          <w:i/>
        </w:rPr>
        <w:t>sTTIStartTimeUl</w:t>
      </w:r>
      <w:proofErr w:type="spellEnd"/>
      <w:r>
        <w:t xml:space="preserve"> are the SFN, subframe and </w:t>
      </w:r>
      <w:proofErr w:type="spellStart"/>
      <w:r>
        <w:t>sTTI_number</w:t>
      </w:r>
      <w:proofErr w:type="spellEnd"/>
      <w:r>
        <w:t xml:space="preserve">, respectively, at the time the configured uplink grant </w:t>
      </w:r>
      <w:proofErr w:type="gramStart"/>
      <w:r>
        <w:t>were</w:t>
      </w:r>
      <w:proofErr w:type="gramEnd"/>
      <w:r>
        <w:t xml:space="preserve"> (re-)initialised. The </w:t>
      </w:r>
      <w:proofErr w:type="spellStart"/>
      <w:r>
        <w:t>sTTI_Number_Per_Subframe</w:t>
      </w:r>
      <w:proofErr w:type="spellEnd"/>
      <w:r>
        <w:t xml:space="preserve"> is 6 when </w:t>
      </w:r>
      <w:proofErr w:type="spellStart"/>
      <w:r>
        <w:t>subslot</w:t>
      </w:r>
      <w:proofErr w:type="spellEnd"/>
      <w:r>
        <w:t xml:space="preserve"> TTI is </w:t>
      </w:r>
      <w:proofErr w:type="spellStart"/>
      <w:r>
        <w:t>configued</w:t>
      </w:r>
      <w:proofErr w:type="spellEnd"/>
      <w:r>
        <w:t xml:space="preserve"> and 2 when slot TTI is configured for short TTI operation. </w:t>
      </w:r>
      <w:proofErr w:type="spellStart"/>
      <w:r>
        <w:t>sTTI_number</w:t>
      </w:r>
      <w:proofErr w:type="spellEnd"/>
      <w:r>
        <w:t xml:space="preserve"> refers to the index of the short TTI, i.e., index of </w:t>
      </w:r>
      <w:proofErr w:type="spellStart"/>
      <w:r>
        <w:t>subslot</w:t>
      </w:r>
      <w:proofErr w:type="spellEnd"/>
      <w:r>
        <w:t xml:space="preserve"> or slot within the subframe.</w:t>
      </w:r>
    </w:p>
    <w:p w14:paraId="3D9ABE67" w14:textId="77777777" w:rsidR="00A36524" w:rsidRDefault="00355467">
      <w:r>
        <w:t xml:space="preserve">Except for NB-IoT, for TDD, the MAC entity is configured with </w:t>
      </w:r>
      <w:proofErr w:type="spellStart"/>
      <w:r>
        <w:rPr>
          <w:i/>
          <w:iCs/>
        </w:rPr>
        <w:t>semiPersistSchedIntervalUL</w:t>
      </w:r>
      <w:proofErr w:type="spellEnd"/>
      <w:r>
        <w:t xml:space="preserve"> shorter than 10 subframes, the N</w:t>
      </w:r>
      <w:r>
        <w:rPr>
          <w:vertAlign w:val="superscript"/>
        </w:rPr>
        <w:t>th</w:t>
      </w:r>
      <w:r>
        <w:t xml:space="preserve"> grant shall be ignored if it occurs in a downlink subframe or a special subframe.</w:t>
      </w:r>
    </w:p>
    <w:p w14:paraId="74875240" w14:textId="77777777" w:rsidR="00A36524" w:rsidRDefault="00355467">
      <w:r>
        <w:t xml:space="preserve">Except for NB-IoT, if the MAC entity is not configured with </w:t>
      </w:r>
      <w:proofErr w:type="spellStart"/>
      <w:r>
        <w:rPr>
          <w:i/>
        </w:rPr>
        <w:t>skipUplinkTxSPS</w:t>
      </w:r>
      <w:proofErr w:type="spellEnd"/>
      <w:r>
        <w:t>,</w:t>
      </w:r>
      <w:r>
        <w:rPr>
          <w:lang w:eastAsia="zh-CN"/>
        </w:rPr>
        <w:t xml:space="preserve"> the MAC entity shall clear the configured uplink grant immediately after </w:t>
      </w:r>
      <w:proofErr w:type="spellStart"/>
      <w:r>
        <w:rPr>
          <w:i/>
        </w:rPr>
        <w:t>implicitReleaseAfter</w:t>
      </w:r>
      <w:proofErr w:type="spellEnd"/>
      <w:r>
        <w:rPr>
          <w:rFonts w:eastAsia="MS Mincho"/>
        </w:rPr>
        <w:t>, as specified in TS 36.331 </w:t>
      </w:r>
      <w:r>
        <w:t xml:space="preserve">[8], </w:t>
      </w:r>
      <w:r>
        <w:rPr>
          <w:lang w:eastAsia="zh-CN"/>
        </w:rPr>
        <w:t xml:space="preserve">number of consecutive new </w:t>
      </w:r>
      <w:r>
        <w:t>MAC PDUs</w:t>
      </w:r>
      <w:r>
        <w:rPr>
          <w:lang w:eastAsia="zh-CN"/>
        </w:rPr>
        <w:t xml:space="preserve"> each containing zero MAC SDU</w:t>
      </w:r>
      <w:r>
        <w:t xml:space="preserve">s have been provided by the Multiplexing and Assembly entity, </w:t>
      </w:r>
      <w:r>
        <w:rPr>
          <w:lang w:eastAsia="zh-CN"/>
        </w:rPr>
        <w:t>on the Semi-Persistent Scheduling resource.</w:t>
      </w:r>
    </w:p>
    <w:p w14:paraId="066B637B" w14:textId="77777777" w:rsidR="00A36524" w:rsidRDefault="00355467">
      <w:r>
        <w:t>If SPS confirmation has been triggered and not cancelled:</w:t>
      </w:r>
    </w:p>
    <w:p w14:paraId="60D40D78" w14:textId="77777777" w:rsidR="00A36524" w:rsidRDefault="00355467">
      <w:pPr>
        <w:pStyle w:val="B1"/>
      </w:pPr>
      <w:r>
        <w:t>-</w:t>
      </w:r>
      <w:r>
        <w:tab/>
        <w:t>if the MAC entity has UL resources allocated for new transmission for this TTI:</w:t>
      </w:r>
    </w:p>
    <w:p w14:paraId="42159FBE" w14:textId="77777777" w:rsidR="00A36524" w:rsidRDefault="00355467">
      <w:pPr>
        <w:pStyle w:val="B2"/>
        <w:rPr>
          <w:lang w:eastAsia="zh-CN"/>
        </w:rPr>
      </w:pPr>
      <w:r>
        <w:rPr>
          <w:lang w:eastAsia="zh-CN"/>
        </w:rPr>
        <w:t>-</w:t>
      </w:r>
      <w:r>
        <w:rPr>
          <w:lang w:eastAsia="zh-CN"/>
        </w:rPr>
        <w:tab/>
        <w:t xml:space="preserve">instruct the Multiplexing and Assembly procedure to generate an SPS confirmation MAC Control Element as defined in clause </w:t>
      </w:r>
      <w:proofErr w:type="gramStart"/>
      <w:r>
        <w:rPr>
          <w:lang w:eastAsia="zh-CN"/>
        </w:rPr>
        <w:t>6.1.3.11;</w:t>
      </w:r>
      <w:proofErr w:type="gramEnd"/>
    </w:p>
    <w:p w14:paraId="529E0C1F" w14:textId="77777777" w:rsidR="00A36524" w:rsidRDefault="00355467">
      <w:pPr>
        <w:pStyle w:val="B2"/>
        <w:rPr>
          <w:lang w:eastAsia="zh-CN"/>
        </w:rPr>
      </w:pPr>
      <w:r>
        <w:rPr>
          <w:lang w:eastAsia="zh-CN"/>
        </w:rPr>
        <w:lastRenderedPageBreak/>
        <w:t>-</w:t>
      </w:r>
      <w:r>
        <w:rPr>
          <w:lang w:eastAsia="zh-CN"/>
        </w:rPr>
        <w:tab/>
        <w:t>cancel the triggered SPS confirmation.</w:t>
      </w:r>
    </w:p>
    <w:p w14:paraId="1443E1C6" w14:textId="77777777" w:rsidR="00A36524" w:rsidRDefault="00355467">
      <w:r>
        <w:rPr>
          <w:lang w:eastAsia="zh-CN"/>
        </w:rPr>
        <w:t>T</w:t>
      </w:r>
      <w:r>
        <w:t>he MAC entity shall clear the configured uplink grant</w:t>
      </w:r>
      <w:r>
        <w:rPr>
          <w:lang w:eastAsia="zh-CN"/>
        </w:rPr>
        <w:t xml:space="preserve"> </w:t>
      </w:r>
      <w:r>
        <w:t>immediately after</w:t>
      </w:r>
      <w:r>
        <w:rPr>
          <w:lang w:eastAsia="zh-CN"/>
        </w:rPr>
        <w:t xml:space="preserve"> </w:t>
      </w:r>
      <w:r>
        <w:t xml:space="preserve">first transmission of SPS confirmation MAC Control Element </w:t>
      </w:r>
      <w:r>
        <w:rPr>
          <w:lang w:eastAsia="zh-CN"/>
        </w:rPr>
        <w:t>triggered by</w:t>
      </w:r>
      <w:r>
        <w:t xml:space="preserve"> the SPS release.</w:t>
      </w:r>
    </w:p>
    <w:p w14:paraId="0B391A9C" w14:textId="77777777" w:rsidR="00A36524" w:rsidRDefault="00355467">
      <w:pPr>
        <w:pStyle w:val="NO"/>
      </w:pPr>
      <w:r>
        <w:t>NOTE:</w:t>
      </w:r>
      <w:r>
        <w:tab/>
        <w:t>Retransmissions for Semi-Persistent Scheduling can continue after clearing the configured uplink grant.</w:t>
      </w:r>
    </w:p>
    <w:p w14:paraId="28BE968F" w14:textId="77777777" w:rsidR="00A36524" w:rsidRDefault="00355467">
      <w:r>
        <w:t xml:space="preserve">For NB-IoT UEs, BL UEs or UEs in enhanced coverage </w:t>
      </w:r>
      <w:proofErr w:type="spellStart"/>
      <w:r>
        <w:t>SFN</w:t>
      </w:r>
      <w:r>
        <w:rPr>
          <w:vertAlign w:val="subscript"/>
        </w:rPr>
        <w:t>start</w:t>
      </w:r>
      <w:proofErr w:type="spellEnd"/>
      <w:r>
        <w:rPr>
          <w:vertAlign w:val="subscript"/>
        </w:rPr>
        <w:t xml:space="preserve"> time</w:t>
      </w:r>
      <w:r>
        <w:t xml:space="preserve"> and </w:t>
      </w:r>
      <w:proofErr w:type="spellStart"/>
      <w:r>
        <w:t>subframe</w:t>
      </w:r>
      <w:r>
        <w:rPr>
          <w:vertAlign w:val="subscript"/>
        </w:rPr>
        <w:t>start</w:t>
      </w:r>
      <w:proofErr w:type="spellEnd"/>
      <w:r>
        <w:rPr>
          <w:vertAlign w:val="subscript"/>
        </w:rPr>
        <w:t xml:space="preserve"> time </w:t>
      </w:r>
      <w:r>
        <w:t>refer to SFN and subframe of the first transmission of PUSCH where configured uplink grant was (re-)initialized.</w:t>
      </w:r>
    </w:p>
    <w:p w14:paraId="32A2B528" w14:textId="77777777" w:rsidR="00A36524" w:rsidRDefault="00355467">
      <w:r>
        <w:t>In the event of a resource conflict between multiple UL SPS configurations configured with Uplink Semi-Persistent Scheduling V-RNTI, the UE behaviour is undefined.</w:t>
      </w:r>
    </w:p>
    <w:p w14:paraId="270C84C4" w14:textId="77777777" w:rsidR="00A36524" w:rsidRDefault="00355467">
      <w:r>
        <w:t xml:space="preserve">In the event of a resource conflict in the same serving cell between the initial </w:t>
      </w:r>
      <w:proofErr w:type="spellStart"/>
      <w:r>
        <w:t>transmision</w:t>
      </w:r>
      <w:proofErr w:type="spellEnd"/>
      <w:r>
        <w:t xml:space="preserve"> within a configured grant bundle from multiple different UL SPS configurations configured with Uplink Semi-Persistent Scheduling C-RNTI, the UE behaviour is undefined.</w:t>
      </w:r>
    </w:p>
    <w:p w14:paraId="264E26C0" w14:textId="09BD8CF2" w:rsidR="00A36524" w:rsidRDefault="00355467">
      <w:pPr>
        <w:rPr>
          <w:ins w:id="163" w:author="Toyota ITC" w:date="2025-07-31T18:01:00Z"/>
        </w:rPr>
      </w:pPr>
      <w:ins w:id="164" w:author="Toyota ITC" w:date="2025-07-31T18:02:00Z">
        <w:r>
          <w:rPr>
            <w:lang w:eastAsia="zh-CN"/>
          </w:rPr>
          <w:t>F</w:t>
        </w:r>
      </w:ins>
      <w:ins w:id="165" w:author="Toyota ITC" w:date="2025-07-31T18:01:00Z">
        <w:r>
          <w:rPr>
            <w:lang w:eastAsia="zh-CN"/>
          </w:rPr>
          <w:t>or IoT</w:t>
        </w:r>
      </w:ins>
      <w:ins w:id="166" w:author="Toyota ITC" w:date="2025-08-12T15:33:00Z">
        <w:r w:rsidR="00ED39EB">
          <w:rPr>
            <w:lang w:eastAsia="zh-CN"/>
          </w:rPr>
          <w:t xml:space="preserve"> </w:t>
        </w:r>
      </w:ins>
      <w:ins w:id="167" w:author="Toyota ITC" w:date="2025-07-31T18:01:00Z">
        <w:r>
          <w:rPr>
            <w:lang w:eastAsia="zh-CN"/>
          </w:rPr>
          <w:t xml:space="preserve">NTN TDD mode, </w:t>
        </w:r>
      </w:ins>
      <w:ins w:id="168" w:author="Toyota ITC" w:date="2025-09-05T14:32:00Z" w16du:dateUtc="2025-09-05T12:32:00Z">
        <w:r w:rsidR="00A62A7B">
          <w:rPr>
            <w:lang w:eastAsia="zh-CN"/>
          </w:rPr>
          <w:t>if the UL SPS resource overlaps with non-U NB-IoT subframes</w:t>
        </w:r>
      </w:ins>
      <w:commentRangeStart w:id="169"/>
      <w:commentRangeStart w:id="170"/>
      <w:commentRangeStart w:id="171"/>
      <w:commentRangeStart w:id="172"/>
      <w:commentRangeEnd w:id="172"/>
      <w:r w:rsidR="005536C1">
        <w:rPr>
          <w:rStyle w:val="CommentReference"/>
        </w:rPr>
        <w:commentReference w:id="172"/>
      </w:r>
      <w:commentRangeEnd w:id="169"/>
      <w:r w:rsidR="00A74491">
        <w:rPr>
          <w:rStyle w:val="CommentReference"/>
        </w:rPr>
        <w:commentReference w:id="169"/>
      </w:r>
      <w:commentRangeEnd w:id="170"/>
      <w:r w:rsidR="003E0858">
        <w:rPr>
          <w:rStyle w:val="CommentReference"/>
        </w:rPr>
        <w:commentReference w:id="170"/>
      </w:r>
      <w:commentRangeEnd w:id="171"/>
      <w:r w:rsidR="00A62A7B">
        <w:rPr>
          <w:rStyle w:val="CommentReference"/>
        </w:rPr>
        <w:commentReference w:id="171"/>
      </w:r>
      <w:ins w:id="173" w:author="Toyota ITC" w:date="2025-07-31T18:01:00Z">
        <w:r>
          <w:rPr>
            <w:lang w:eastAsia="zh-CN"/>
          </w:rPr>
          <w:t>, the UE shall postpone the UL SPS resource to the next valid UL subframe</w:t>
        </w:r>
      </w:ins>
      <w:ins w:id="174" w:author="Toyota ITC" w:date="2025-07-31T18:02:00Z">
        <w:r>
          <w:rPr>
            <w:lang w:eastAsia="zh-CN"/>
          </w:rPr>
          <w:t>.</w:t>
        </w:r>
      </w:ins>
    </w:p>
    <w:p w14:paraId="43914AB2" w14:textId="77777777" w:rsidR="00A36524" w:rsidRDefault="00355467">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5C5FD6AE" w14:textId="77777777">
        <w:trPr>
          <w:trHeight w:val="196"/>
        </w:trPr>
        <w:tc>
          <w:tcPr>
            <w:tcW w:w="9797" w:type="dxa"/>
            <w:shd w:val="clear" w:color="auto" w:fill="FDE9D9"/>
            <w:vAlign w:val="center"/>
          </w:tcPr>
          <w:p w14:paraId="37EB63C9" w14:textId="77777777" w:rsidR="00A36524" w:rsidRDefault="00355467">
            <w:pPr>
              <w:snapToGrid w:val="0"/>
              <w:spacing w:after="0"/>
              <w:jc w:val="center"/>
              <w:rPr>
                <w:color w:val="FF0000"/>
                <w:sz w:val="28"/>
                <w:szCs w:val="28"/>
              </w:rPr>
            </w:pPr>
            <w:bookmarkStart w:id="175" w:name="_Toc46500338"/>
            <w:bookmarkStart w:id="176" w:name="_Toc193402485"/>
            <w:bookmarkStart w:id="177" w:name="_Toc52536247"/>
            <w:bookmarkStart w:id="178" w:name="_Toc29242984"/>
            <w:bookmarkStart w:id="179" w:name="_Toc37256399"/>
            <w:bookmarkStart w:id="180" w:name="_Toc37256245"/>
            <w:r>
              <w:rPr>
                <w:color w:val="FF0000"/>
                <w:sz w:val="28"/>
                <w:szCs w:val="28"/>
              </w:rPr>
              <w:t>NEXT CHANGES</w:t>
            </w:r>
          </w:p>
        </w:tc>
      </w:tr>
    </w:tbl>
    <w:p w14:paraId="63BBC80C" w14:textId="77777777" w:rsidR="00A36524" w:rsidRDefault="00A36524">
      <w:pPr>
        <w:pStyle w:val="Heading2"/>
      </w:pPr>
    </w:p>
    <w:bookmarkEnd w:id="175"/>
    <w:bookmarkEnd w:id="176"/>
    <w:bookmarkEnd w:id="177"/>
    <w:bookmarkEnd w:id="178"/>
    <w:bookmarkEnd w:id="179"/>
    <w:bookmarkEnd w:id="180"/>
    <w:p w14:paraId="35F65159" w14:textId="77777777" w:rsidR="00A36524" w:rsidRDefault="00A36524"/>
    <w:p w14:paraId="459B86C4" w14:textId="77777777" w:rsidR="00A36524" w:rsidRDefault="00355467">
      <w:pPr>
        <w:pStyle w:val="Heading2"/>
      </w:pPr>
      <w:bookmarkStart w:id="181" w:name="_Toc29243062"/>
      <w:bookmarkStart w:id="182" w:name="_Toc37256326"/>
      <w:bookmarkStart w:id="183" w:name="_Toc37256480"/>
      <w:bookmarkStart w:id="184" w:name="_Toc52536328"/>
      <w:bookmarkStart w:id="185" w:name="_Toc193402574"/>
      <w:bookmarkStart w:id="186" w:name="_Toc46500419"/>
      <w:r>
        <w:t>7.3</w:t>
      </w:r>
      <w:r>
        <w:tab/>
        <w:t>PRACH Mask Index values</w:t>
      </w:r>
      <w:bookmarkEnd w:id="181"/>
      <w:bookmarkEnd w:id="182"/>
      <w:bookmarkEnd w:id="183"/>
      <w:bookmarkEnd w:id="184"/>
      <w:bookmarkEnd w:id="185"/>
      <w:bookmarkEnd w:id="186"/>
    </w:p>
    <w:p w14:paraId="7A8DF952" w14:textId="77777777" w:rsidR="00A36524" w:rsidRDefault="00355467">
      <w:pPr>
        <w:pStyle w:val="TH"/>
      </w:pPr>
      <w:r>
        <w:t>Table 7.3-1: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395"/>
        <w:gridCol w:w="4501"/>
      </w:tblGrid>
      <w:tr w:rsidR="00A36524" w14:paraId="62DD757E" w14:textId="77777777">
        <w:tc>
          <w:tcPr>
            <w:tcW w:w="1277" w:type="dxa"/>
          </w:tcPr>
          <w:p w14:paraId="33A2C31D" w14:textId="77777777" w:rsidR="00A36524" w:rsidRDefault="00355467">
            <w:pPr>
              <w:pStyle w:val="TAH"/>
              <w:rPr>
                <w:lang w:eastAsia="ko-KR"/>
              </w:rPr>
            </w:pPr>
            <w:r>
              <w:rPr>
                <w:lang w:eastAsia="ko-KR"/>
              </w:rPr>
              <w:t>PRACH Mask Index</w:t>
            </w:r>
          </w:p>
        </w:tc>
        <w:tc>
          <w:tcPr>
            <w:tcW w:w="4395" w:type="dxa"/>
          </w:tcPr>
          <w:p w14:paraId="062400FC" w14:textId="629706B8" w:rsidR="00A36524" w:rsidRPr="00C11307" w:rsidRDefault="00355467">
            <w:pPr>
              <w:pStyle w:val="TAH"/>
              <w:rPr>
                <w:lang w:eastAsia="ko-KR"/>
              </w:rPr>
            </w:pPr>
            <w:r w:rsidRPr="00C11307">
              <w:rPr>
                <w:lang w:eastAsia="ko-KR"/>
              </w:rPr>
              <w:t>Allowed PRACH (FDD</w:t>
            </w:r>
            <w:ins w:id="187" w:author="Toyota ITC2" w:date="2025-08-08T00:07:00Z">
              <w:r w:rsidR="00774821" w:rsidRPr="00C11307">
                <w:rPr>
                  <w:lang w:eastAsia="ko-KR"/>
                </w:rPr>
                <w:t xml:space="preserve"> or IoT</w:t>
              </w:r>
            </w:ins>
            <w:ins w:id="188" w:author="Toyota ITC" w:date="2025-08-12T15:25:00Z">
              <w:r w:rsidR="00C11307">
                <w:rPr>
                  <w:lang w:eastAsia="ko-KR"/>
                </w:rPr>
                <w:t xml:space="preserve"> </w:t>
              </w:r>
            </w:ins>
            <w:ins w:id="189" w:author="Toyota ITC2" w:date="2025-08-08T00:07:00Z">
              <w:r w:rsidR="00774821" w:rsidRPr="00C11307">
                <w:rPr>
                  <w:lang w:eastAsia="ko-KR"/>
                </w:rPr>
                <w:t>NTN TDD mode</w:t>
              </w:r>
            </w:ins>
            <w:r w:rsidRPr="00C11307">
              <w:rPr>
                <w:lang w:eastAsia="ko-KR"/>
              </w:rPr>
              <w:t>)</w:t>
            </w:r>
          </w:p>
        </w:tc>
        <w:tc>
          <w:tcPr>
            <w:tcW w:w="4501" w:type="dxa"/>
          </w:tcPr>
          <w:p w14:paraId="2E468808" w14:textId="77777777" w:rsidR="00A36524" w:rsidRDefault="00355467">
            <w:pPr>
              <w:pStyle w:val="TAH"/>
              <w:rPr>
                <w:lang w:eastAsia="ko-KR"/>
              </w:rPr>
            </w:pPr>
            <w:r>
              <w:rPr>
                <w:lang w:eastAsia="ko-KR"/>
              </w:rPr>
              <w:t>Allowed PRACH (TDD)</w:t>
            </w:r>
          </w:p>
        </w:tc>
      </w:tr>
      <w:tr w:rsidR="00A36524" w14:paraId="12C1E153" w14:textId="77777777">
        <w:tc>
          <w:tcPr>
            <w:tcW w:w="1277" w:type="dxa"/>
          </w:tcPr>
          <w:p w14:paraId="64F153C3" w14:textId="77777777" w:rsidR="00A36524" w:rsidRDefault="00355467">
            <w:pPr>
              <w:pStyle w:val="TAC"/>
              <w:rPr>
                <w:lang w:eastAsia="ko-KR"/>
              </w:rPr>
            </w:pPr>
            <w:r>
              <w:rPr>
                <w:lang w:eastAsia="ko-KR"/>
              </w:rPr>
              <w:t>0</w:t>
            </w:r>
          </w:p>
        </w:tc>
        <w:tc>
          <w:tcPr>
            <w:tcW w:w="4395" w:type="dxa"/>
          </w:tcPr>
          <w:p w14:paraId="19275CBF" w14:textId="77777777" w:rsidR="00A36524" w:rsidRPr="00C11307" w:rsidRDefault="00355467">
            <w:pPr>
              <w:pStyle w:val="TAC"/>
              <w:rPr>
                <w:lang w:eastAsia="ko-KR"/>
              </w:rPr>
            </w:pPr>
            <w:r w:rsidRPr="00C11307">
              <w:rPr>
                <w:lang w:eastAsia="ko-KR"/>
              </w:rPr>
              <w:t>All</w:t>
            </w:r>
          </w:p>
        </w:tc>
        <w:tc>
          <w:tcPr>
            <w:tcW w:w="4501" w:type="dxa"/>
          </w:tcPr>
          <w:p w14:paraId="161DDD5C" w14:textId="77777777" w:rsidR="00A36524" w:rsidRDefault="00355467">
            <w:pPr>
              <w:pStyle w:val="TAC"/>
              <w:rPr>
                <w:lang w:eastAsia="ko-KR"/>
              </w:rPr>
            </w:pPr>
            <w:r>
              <w:rPr>
                <w:lang w:eastAsia="ko-KR"/>
              </w:rPr>
              <w:t>All</w:t>
            </w:r>
          </w:p>
        </w:tc>
      </w:tr>
      <w:tr w:rsidR="00A36524" w14:paraId="20DA52AD" w14:textId="77777777">
        <w:tc>
          <w:tcPr>
            <w:tcW w:w="1277" w:type="dxa"/>
          </w:tcPr>
          <w:p w14:paraId="32EDEAE5" w14:textId="77777777" w:rsidR="00A36524" w:rsidRDefault="00355467">
            <w:pPr>
              <w:pStyle w:val="TAC"/>
              <w:rPr>
                <w:lang w:eastAsia="ko-KR"/>
              </w:rPr>
            </w:pPr>
            <w:r>
              <w:rPr>
                <w:lang w:eastAsia="ko-KR"/>
              </w:rPr>
              <w:t>1</w:t>
            </w:r>
          </w:p>
        </w:tc>
        <w:tc>
          <w:tcPr>
            <w:tcW w:w="4395" w:type="dxa"/>
          </w:tcPr>
          <w:p w14:paraId="6C592071" w14:textId="77777777" w:rsidR="00A36524" w:rsidRDefault="00355467">
            <w:pPr>
              <w:pStyle w:val="TAC"/>
              <w:rPr>
                <w:lang w:eastAsia="ko-KR"/>
              </w:rPr>
            </w:pPr>
            <w:r>
              <w:rPr>
                <w:lang w:eastAsia="ko-KR"/>
              </w:rPr>
              <w:t>PRACH Resource Index 0</w:t>
            </w:r>
          </w:p>
        </w:tc>
        <w:tc>
          <w:tcPr>
            <w:tcW w:w="4501" w:type="dxa"/>
          </w:tcPr>
          <w:p w14:paraId="323E734E" w14:textId="77777777" w:rsidR="00A36524" w:rsidRDefault="00355467">
            <w:pPr>
              <w:pStyle w:val="TAC"/>
              <w:rPr>
                <w:lang w:eastAsia="ko-KR"/>
              </w:rPr>
            </w:pPr>
            <w:r>
              <w:rPr>
                <w:lang w:eastAsia="ko-KR"/>
              </w:rPr>
              <w:t>PRACH Resource Index 0</w:t>
            </w:r>
          </w:p>
        </w:tc>
      </w:tr>
      <w:tr w:rsidR="00A36524" w14:paraId="41ED62B0" w14:textId="77777777">
        <w:tc>
          <w:tcPr>
            <w:tcW w:w="1277" w:type="dxa"/>
          </w:tcPr>
          <w:p w14:paraId="72A27A6E" w14:textId="77777777" w:rsidR="00A36524" w:rsidRDefault="00355467">
            <w:pPr>
              <w:pStyle w:val="TAC"/>
              <w:rPr>
                <w:lang w:eastAsia="ko-KR"/>
              </w:rPr>
            </w:pPr>
            <w:r>
              <w:rPr>
                <w:lang w:eastAsia="ko-KR"/>
              </w:rPr>
              <w:t>2</w:t>
            </w:r>
          </w:p>
        </w:tc>
        <w:tc>
          <w:tcPr>
            <w:tcW w:w="4395" w:type="dxa"/>
          </w:tcPr>
          <w:p w14:paraId="5E3FC805" w14:textId="77777777" w:rsidR="00A36524" w:rsidRDefault="00355467">
            <w:pPr>
              <w:pStyle w:val="TAC"/>
              <w:rPr>
                <w:lang w:eastAsia="ko-KR"/>
              </w:rPr>
            </w:pPr>
            <w:r>
              <w:rPr>
                <w:lang w:eastAsia="ko-KR"/>
              </w:rPr>
              <w:t>PRACH Resource Index 1</w:t>
            </w:r>
          </w:p>
        </w:tc>
        <w:tc>
          <w:tcPr>
            <w:tcW w:w="4501" w:type="dxa"/>
          </w:tcPr>
          <w:p w14:paraId="4FE93D9C" w14:textId="77777777" w:rsidR="00A36524" w:rsidRDefault="00355467">
            <w:pPr>
              <w:pStyle w:val="TAC"/>
              <w:rPr>
                <w:lang w:eastAsia="ko-KR"/>
              </w:rPr>
            </w:pPr>
            <w:r>
              <w:rPr>
                <w:lang w:eastAsia="ko-KR"/>
              </w:rPr>
              <w:t>PRACH Resource Index 1</w:t>
            </w:r>
          </w:p>
        </w:tc>
      </w:tr>
      <w:tr w:rsidR="00A36524" w14:paraId="272300AA" w14:textId="77777777">
        <w:tc>
          <w:tcPr>
            <w:tcW w:w="1277" w:type="dxa"/>
          </w:tcPr>
          <w:p w14:paraId="4AEFCBAF" w14:textId="77777777" w:rsidR="00A36524" w:rsidRDefault="00355467">
            <w:pPr>
              <w:pStyle w:val="TAC"/>
              <w:rPr>
                <w:lang w:eastAsia="ko-KR"/>
              </w:rPr>
            </w:pPr>
            <w:r>
              <w:rPr>
                <w:lang w:eastAsia="ko-KR"/>
              </w:rPr>
              <w:t>3</w:t>
            </w:r>
          </w:p>
        </w:tc>
        <w:tc>
          <w:tcPr>
            <w:tcW w:w="4395" w:type="dxa"/>
          </w:tcPr>
          <w:p w14:paraId="6C65D8EE" w14:textId="77777777" w:rsidR="00A36524" w:rsidRDefault="00355467">
            <w:pPr>
              <w:pStyle w:val="TAC"/>
              <w:rPr>
                <w:lang w:eastAsia="ko-KR"/>
              </w:rPr>
            </w:pPr>
            <w:r>
              <w:rPr>
                <w:lang w:eastAsia="ko-KR"/>
              </w:rPr>
              <w:t>PRACH Resource Index 2</w:t>
            </w:r>
          </w:p>
        </w:tc>
        <w:tc>
          <w:tcPr>
            <w:tcW w:w="4501" w:type="dxa"/>
          </w:tcPr>
          <w:p w14:paraId="1A4012EE" w14:textId="77777777" w:rsidR="00A36524" w:rsidRDefault="00355467">
            <w:pPr>
              <w:pStyle w:val="TAC"/>
              <w:rPr>
                <w:lang w:eastAsia="ko-KR"/>
              </w:rPr>
            </w:pPr>
            <w:r>
              <w:rPr>
                <w:lang w:eastAsia="ko-KR"/>
              </w:rPr>
              <w:t>PRACH Resource Index 2</w:t>
            </w:r>
          </w:p>
        </w:tc>
      </w:tr>
      <w:tr w:rsidR="00A36524" w14:paraId="207AD968" w14:textId="77777777">
        <w:tc>
          <w:tcPr>
            <w:tcW w:w="1277" w:type="dxa"/>
          </w:tcPr>
          <w:p w14:paraId="04DD4930" w14:textId="77777777" w:rsidR="00A36524" w:rsidRDefault="00355467">
            <w:pPr>
              <w:pStyle w:val="TAC"/>
              <w:rPr>
                <w:lang w:eastAsia="ko-KR"/>
              </w:rPr>
            </w:pPr>
            <w:r>
              <w:rPr>
                <w:lang w:eastAsia="ko-KR"/>
              </w:rPr>
              <w:t>4</w:t>
            </w:r>
          </w:p>
        </w:tc>
        <w:tc>
          <w:tcPr>
            <w:tcW w:w="4395" w:type="dxa"/>
          </w:tcPr>
          <w:p w14:paraId="384D583B" w14:textId="77777777" w:rsidR="00A36524" w:rsidRDefault="00355467">
            <w:pPr>
              <w:pStyle w:val="TAC"/>
              <w:rPr>
                <w:lang w:eastAsia="ko-KR"/>
              </w:rPr>
            </w:pPr>
            <w:r>
              <w:rPr>
                <w:lang w:eastAsia="ko-KR"/>
              </w:rPr>
              <w:t>PRACH Resource Index 3</w:t>
            </w:r>
          </w:p>
        </w:tc>
        <w:tc>
          <w:tcPr>
            <w:tcW w:w="4501" w:type="dxa"/>
          </w:tcPr>
          <w:p w14:paraId="0A3EA634" w14:textId="77777777" w:rsidR="00A36524" w:rsidRDefault="00355467">
            <w:pPr>
              <w:pStyle w:val="TAC"/>
              <w:rPr>
                <w:lang w:eastAsia="ko-KR"/>
              </w:rPr>
            </w:pPr>
            <w:r>
              <w:rPr>
                <w:lang w:eastAsia="ko-KR"/>
              </w:rPr>
              <w:t>PRACH Resource Index 3</w:t>
            </w:r>
          </w:p>
        </w:tc>
      </w:tr>
      <w:tr w:rsidR="00A36524" w14:paraId="18E15BA6" w14:textId="77777777">
        <w:tc>
          <w:tcPr>
            <w:tcW w:w="1277" w:type="dxa"/>
          </w:tcPr>
          <w:p w14:paraId="23F32D52" w14:textId="77777777" w:rsidR="00A36524" w:rsidRDefault="00355467">
            <w:pPr>
              <w:pStyle w:val="TAC"/>
              <w:rPr>
                <w:lang w:eastAsia="ko-KR"/>
              </w:rPr>
            </w:pPr>
            <w:r>
              <w:rPr>
                <w:lang w:eastAsia="ko-KR"/>
              </w:rPr>
              <w:t>5</w:t>
            </w:r>
          </w:p>
        </w:tc>
        <w:tc>
          <w:tcPr>
            <w:tcW w:w="4395" w:type="dxa"/>
          </w:tcPr>
          <w:p w14:paraId="431E61A7" w14:textId="77777777" w:rsidR="00A36524" w:rsidRDefault="00355467">
            <w:pPr>
              <w:pStyle w:val="TAC"/>
              <w:rPr>
                <w:lang w:eastAsia="ko-KR"/>
              </w:rPr>
            </w:pPr>
            <w:r>
              <w:rPr>
                <w:lang w:eastAsia="ko-KR"/>
              </w:rPr>
              <w:t>PRACH Resource Index 4</w:t>
            </w:r>
          </w:p>
        </w:tc>
        <w:tc>
          <w:tcPr>
            <w:tcW w:w="4501" w:type="dxa"/>
          </w:tcPr>
          <w:p w14:paraId="7F952CB7" w14:textId="77777777" w:rsidR="00A36524" w:rsidRDefault="00355467">
            <w:pPr>
              <w:pStyle w:val="TAC"/>
              <w:rPr>
                <w:lang w:eastAsia="ko-KR"/>
              </w:rPr>
            </w:pPr>
            <w:r>
              <w:rPr>
                <w:lang w:eastAsia="ko-KR"/>
              </w:rPr>
              <w:t>PRACH Resource Index 4</w:t>
            </w:r>
          </w:p>
        </w:tc>
      </w:tr>
      <w:tr w:rsidR="00A36524" w14:paraId="78D31C90" w14:textId="77777777">
        <w:tc>
          <w:tcPr>
            <w:tcW w:w="1277" w:type="dxa"/>
          </w:tcPr>
          <w:p w14:paraId="1885A9D4" w14:textId="77777777" w:rsidR="00A36524" w:rsidRDefault="00355467">
            <w:pPr>
              <w:pStyle w:val="TAC"/>
              <w:rPr>
                <w:lang w:eastAsia="ko-KR"/>
              </w:rPr>
            </w:pPr>
            <w:r>
              <w:rPr>
                <w:lang w:eastAsia="ko-KR"/>
              </w:rPr>
              <w:t>6</w:t>
            </w:r>
          </w:p>
        </w:tc>
        <w:tc>
          <w:tcPr>
            <w:tcW w:w="4395" w:type="dxa"/>
          </w:tcPr>
          <w:p w14:paraId="5AD0D82C" w14:textId="77777777" w:rsidR="00A36524" w:rsidRDefault="00355467">
            <w:pPr>
              <w:pStyle w:val="TAC"/>
              <w:rPr>
                <w:lang w:eastAsia="ko-KR"/>
              </w:rPr>
            </w:pPr>
            <w:r>
              <w:rPr>
                <w:lang w:eastAsia="ko-KR"/>
              </w:rPr>
              <w:t>PRACH Resource Index 5</w:t>
            </w:r>
          </w:p>
        </w:tc>
        <w:tc>
          <w:tcPr>
            <w:tcW w:w="4501" w:type="dxa"/>
          </w:tcPr>
          <w:p w14:paraId="1901E5A1" w14:textId="77777777" w:rsidR="00A36524" w:rsidRDefault="00355467">
            <w:pPr>
              <w:pStyle w:val="TAC"/>
              <w:rPr>
                <w:lang w:eastAsia="ko-KR"/>
              </w:rPr>
            </w:pPr>
            <w:r>
              <w:rPr>
                <w:lang w:eastAsia="ko-KR"/>
              </w:rPr>
              <w:t>PRACH Resource Index 5</w:t>
            </w:r>
          </w:p>
        </w:tc>
      </w:tr>
      <w:tr w:rsidR="00A36524" w14:paraId="042A287A" w14:textId="77777777">
        <w:tc>
          <w:tcPr>
            <w:tcW w:w="1277" w:type="dxa"/>
          </w:tcPr>
          <w:p w14:paraId="55FBC0AA" w14:textId="77777777" w:rsidR="00A36524" w:rsidRDefault="00355467">
            <w:pPr>
              <w:pStyle w:val="TAC"/>
              <w:rPr>
                <w:lang w:eastAsia="ko-KR"/>
              </w:rPr>
            </w:pPr>
            <w:r>
              <w:rPr>
                <w:lang w:eastAsia="ko-KR"/>
              </w:rPr>
              <w:t>7</w:t>
            </w:r>
          </w:p>
        </w:tc>
        <w:tc>
          <w:tcPr>
            <w:tcW w:w="4395" w:type="dxa"/>
          </w:tcPr>
          <w:p w14:paraId="361B1971" w14:textId="77777777" w:rsidR="00A36524" w:rsidRDefault="00355467">
            <w:pPr>
              <w:pStyle w:val="TAC"/>
              <w:rPr>
                <w:lang w:eastAsia="ko-KR"/>
              </w:rPr>
            </w:pPr>
            <w:r>
              <w:rPr>
                <w:lang w:eastAsia="ko-KR"/>
              </w:rPr>
              <w:t xml:space="preserve">PRACH Resource Index 6 </w:t>
            </w:r>
          </w:p>
        </w:tc>
        <w:tc>
          <w:tcPr>
            <w:tcW w:w="4501" w:type="dxa"/>
          </w:tcPr>
          <w:p w14:paraId="48ABDC2B" w14:textId="77777777" w:rsidR="00A36524" w:rsidRDefault="00355467">
            <w:pPr>
              <w:pStyle w:val="TAC"/>
              <w:rPr>
                <w:lang w:eastAsia="ko-KR"/>
              </w:rPr>
            </w:pPr>
            <w:r>
              <w:rPr>
                <w:lang w:eastAsia="ko-KR"/>
              </w:rPr>
              <w:t>Reserved</w:t>
            </w:r>
          </w:p>
        </w:tc>
      </w:tr>
      <w:tr w:rsidR="00A36524" w14:paraId="0F33CE3D" w14:textId="77777777">
        <w:tc>
          <w:tcPr>
            <w:tcW w:w="1277" w:type="dxa"/>
          </w:tcPr>
          <w:p w14:paraId="605F9567" w14:textId="77777777" w:rsidR="00A36524" w:rsidRDefault="00355467">
            <w:pPr>
              <w:pStyle w:val="TAC"/>
              <w:rPr>
                <w:lang w:eastAsia="ko-KR"/>
              </w:rPr>
            </w:pPr>
            <w:r>
              <w:rPr>
                <w:lang w:eastAsia="ko-KR"/>
              </w:rPr>
              <w:t>8</w:t>
            </w:r>
          </w:p>
        </w:tc>
        <w:tc>
          <w:tcPr>
            <w:tcW w:w="4395" w:type="dxa"/>
          </w:tcPr>
          <w:p w14:paraId="4DF37C64" w14:textId="77777777" w:rsidR="00A36524" w:rsidRDefault="00355467">
            <w:pPr>
              <w:pStyle w:val="TAC"/>
              <w:rPr>
                <w:lang w:eastAsia="ko-KR"/>
              </w:rPr>
            </w:pPr>
            <w:r>
              <w:rPr>
                <w:lang w:eastAsia="ko-KR"/>
              </w:rPr>
              <w:t>PRACH Resource Index 7</w:t>
            </w:r>
          </w:p>
        </w:tc>
        <w:tc>
          <w:tcPr>
            <w:tcW w:w="4501" w:type="dxa"/>
          </w:tcPr>
          <w:p w14:paraId="10F7D85B" w14:textId="77777777" w:rsidR="00A36524" w:rsidRDefault="00355467">
            <w:pPr>
              <w:pStyle w:val="TAC"/>
              <w:rPr>
                <w:lang w:eastAsia="ko-KR"/>
              </w:rPr>
            </w:pPr>
            <w:r>
              <w:rPr>
                <w:lang w:eastAsia="ko-KR"/>
              </w:rPr>
              <w:t>Reserved</w:t>
            </w:r>
          </w:p>
        </w:tc>
      </w:tr>
      <w:tr w:rsidR="00A36524" w14:paraId="34D5AE12" w14:textId="77777777">
        <w:tc>
          <w:tcPr>
            <w:tcW w:w="1277" w:type="dxa"/>
          </w:tcPr>
          <w:p w14:paraId="517BAFF5" w14:textId="77777777" w:rsidR="00A36524" w:rsidRDefault="00355467">
            <w:pPr>
              <w:pStyle w:val="TAC"/>
              <w:rPr>
                <w:lang w:eastAsia="ko-KR"/>
              </w:rPr>
            </w:pPr>
            <w:r>
              <w:rPr>
                <w:lang w:eastAsia="ko-KR"/>
              </w:rPr>
              <w:t>9</w:t>
            </w:r>
          </w:p>
        </w:tc>
        <w:tc>
          <w:tcPr>
            <w:tcW w:w="4395" w:type="dxa"/>
          </w:tcPr>
          <w:p w14:paraId="111A33E1" w14:textId="77777777" w:rsidR="00A36524" w:rsidRDefault="00355467">
            <w:pPr>
              <w:pStyle w:val="TAC"/>
              <w:rPr>
                <w:lang w:eastAsia="ko-KR"/>
              </w:rPr>
            </w:pPr>
            <w:r>
              <w:rPr>
                <w:lang w:eastAsia="ko-KR"/>
              </w:rPr>
              <w:t>PRACH Resource Index 8</w:t>
            </w:r>
          </w:p>
        </w:tc>
        <w:tc>
          <w:tcPr>
            <w:tcW w:w="4501" w:type="dxa"/>
          </w:tcPr>
          <w:p w14:paraId="35450B77" w14:textId="77777777" w:rsidR="00A36524" w:rsidRDefault="00355467">
            <w:pPr>
              <w:pStyle w:val="TAC"/>
              <w:rPr>
                <w:lang w:eastAsia="ko-KR"/>
              </w:rPr>
            </w:pPr>
            <w:r>
              <w:rPr>
                <w:lang w:eastAsia="ko-KR"/>
              </w:rPr>
              <w:t>Reserved</w:t>
            </w:r>
          </w:p>
        </w:tc>
      </w:tr>
      <w:tr w:rsidR="00A36524" w14:paraId="3710A965" w14:textId="77777777">
        <w:tc>
          <w:tcPr>
            <w:tcW w:w="1277" w:type="dxa"/>
          </w:tcPr>
          <w:p w14:paraId="0483BA37" w14:textId="77777777" w:rsidR="00A36524" w:rsidRDefault="00355467">
            <w:pPr>
              <w:pStyle w:val="TAC"/>
              <w:rPr>
                <w:lang w:eastAsia="ko-KR"/>
              </w:rPr>
            </w:pPr>
            <w:r>
              <w:rPr>
                <w:lang w:eastAsia="ko-KR"/>
              </w:rPr>
              <w:t>10</w:t>
            </w:r>
          </w:p>
        </w:tc>
        <w:tc>
          <w:tcPr>
            <w:tcW w:w="4395" w:type="dxa"/>
          </w:tcPr>
          <w:p w14:paraId="4C8B8302" w14:textId="77777777" w:rsidR="00A36524" w:rsidRDefault="00355467">
            <w:pPr>
              <w:pStyle w:val="TAC"/>
              <w:rPr>
                <w:lang w:eastAsia="ko-KR"/>
              </w:rPr>
            </w:pPr>
            <w:r>
              <w:rPr>
                <w:lang w:eastAsia="ko-KR"/>
              </w:rPr>
              <w:t>PRACH Resource Index 9</w:t>
            </w:r>
          </w:p>
        </w:tc>
        <w:tc>
          <w:tcPr>
            <w:tcW w:w="4501" w:type="dxa"/>
          </w:tcPr>
          <w:p w14:paraId="1F2DB1F4" w14:textId="77777777" w:rsidR="00A36524" w:rsidRDefault="00355467">
            <w:pPr>
              <w:pStyle w:val="TAC"/>
              <w:rPr>
                <w:lang w:eastAsia="ko-KR"/>
              </w:rPr>
            </w:pPr>
            <w:r>
              <w:rPr>
                <w:lang w:eastAsia="ko-KR"/>
              </w:rPr>
              <w:t>Reserved</w:t>
            </w:r>
          </w:p>
        </w:tc>
      </w:tr>
      <w:tr w:rsidR="00A36524" w14:paraId="1532C639" w14:textId="77777777">
        <w:tc>
          <w:tcPr>
            <w:tcW w:w="1277" w:type="dxa"/>
          </w:tcPr>
          <w:p w14:paraId="153F53AC" w14:textId="77777777" w:rsidR="00A36524" w:rsidRDefault="00355467">
            <w:pPr>
              <w:pStyle w:val="TAC"/>
              <w:rPr>
                <w:lang w:eastAsia="ko-KR"/>
              </w:rPr>
            </w:pPr>
            <w:r>
              <w:rPr>
                <w:lang w:eastAsia="ko-KR"/>
              </w:rPr>
              <w:t>11</w:t>
            </w:r>
          </w:p>
        </w:tc>
        <w:tc>
          <w:tcPr>
            <w:tcW w:w="4395" w:type="dxa"/>
          </w:tcPr>
          <w:p w14:paraId="3979A801" w14:textId="77777777" w:rsidR="00A36524" w:rsidRDefault="00355467">
            <w:pPr>
              <w:pStyle w:val="TAC"/>
              <w:rPr>
                <w:lang w:eastAsia="ko-KR"/>
              </w:rPr>
            </w:pPr>
            <w:r>
              <w:rPr>
                <w:lang w:eastAsia="ko-KR"/>
              </w:rPr>
              <w:t>Every, in the time domain, even PRACH opportunity</w:t>
            </w:r>
          </w:p>
          <w:p w14:paraId="0B2F02E3" w14:textId="77777777" w:rsidR="00A36524" w:rsidRDefault="00355467">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p>
        </w:tc>
        <w:tc>
          <w:tcPr>
            <w:tcW w:w="4501" w:type="dxa"/>
          </w:tcPr>
          <w:p w14:paraId="258E6DBF" w14:textId="77777777" w:rsidR="00A36524" w:rsidRDefault="00355467">
            <w:pPr>
              <w:pStyle w:val="TAC"/>
              <w:rPr>
                <w:lang w:eastAsia="ko-KR"/>
              </w:rPr>
            </w:pPr>
            <w:r>
              <w:rPr>
                <w:lang w:eastAsia="ko-KR"/>
              </w:rPr>
              <w:t>Every, in the time domain, even PRACH opportunity</w:t>
            </w:r>
          </w:p>
          <w:p w14:paraId="64150377" w14:textId="77777777" w:rsidR="00A36524" w:rsidRDefault="00355467">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r>
              <w:rPr>
                <w:lang w:eastAsia="ko-KR"/>
              </w:rPr>
              <w:t xml:space="preserve"> </w:t>
            </w:r>
          </w:p>
        </w:tc>
      </w:tr>
      <w:tr w:rsidR="00A36524" w14:paraId="10C75419" w14:textId="77777777">
        <w:tc>
          <w:tcPr>
            <w:tcW w:w="1277" w:type="dxa"/>
          </w:tcPr>
          <w:p w14:paraId="57EB31F3" w14:textId="77777777" w:rsidR="00A36524" w:rsidRDefault="00355467">
            <w:pPr>
              <w:pStyle w:val="TAC"/>
              <w:rPr>
                <w:lang w:eastAsia="ko-KR"/>
              </w:rPr>
            </w:pPr>
            <w:r>
              <w:rPr>
                <w:lang w:eastAsia="ko-KR"/>
              </w:rPr>
              <w:t>12</w:t>
            </w:r>
          </w:p>
        </w:tc>
        <w:tc>
          <w:tcPr>
            <w:tcW w:w="4395" w:type="dxa"/>
          </w:tcPr>
          <w:p w14:paraId="74E82EC9" w14:textId="77777777" w:rsidR="00A36524" w:rsidRDefault="00355467">
            <w:pPr>
              <w:pStyle w:val="TAC"/>
              <w:rPr>
                <w:lang w:eastAsia="ko-KR"/>
              </w:rPr>
            </w:pPr>
            <w:r>
              <w:rPr>
                <w:lang w:eastAsia="ko-KR"/>
              </w:rPr>
              <w:t>Every, in the time domain, odd PRACH opportunity</w:t>
            </w:r>
          </w:p>
          <w:p w14:paraId="0A57CA5C"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c>
          <w:tcPr>
            <w:tcW w:w="4501" w:type="dxa"/>
          </w:tcPr>
          <w:p w14:paraId="64FAF047" w14:textId="77777777" w:rsidR="00A36524" w:rsidRDefault="00355467">
            <w:pPr>
              <w:pStyle w:val="TAC"/>
              <w:rPr>
                <w:lang w:eastAsia="ko-KR"/>
              </w:rPr>
            </w:pPr>
            <w:r>
              <w:rPr>
                <w:lang w:eastAsia="ko-KR"/>
              </w:rPr>
              <w:t>Every, in the time domain, odd PRACH opportunity</w:t>
            </w:r>
          </w:p>
          <w:p w14:paraId="09E0D13A"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7DB9D089" w14:textId="77777777">
        <w:tc>
          <w:tcPr>
            <w:tcW w:w="1277" w:type="dxa"/>
          </w:tcPr>
          <w:p w14:paraId="49F1F522" w14:textId="77777777" w:rsidR="00A36524" w:rsidRDefault="00355467">
            <w:pPr>
              <w:pStyle w:val="TAC"/>
              <w:rPr>
                <w:lang w:eastAsia="ko-KR"/>
              </w:rPr>
            </w:pPr>
            <w:r>
              <w:rPr>
                <w:lang w:eastAsia="ko-KR"/>
              </w:rPr>
              <w:t>13</w:t>
            </w:r>
          </w:p>
        </w:tc>
        <w:tc>
          <w:tcPr>
            <w:tcW w:w="4395" w:type="dxa"/>
          </w:tcPr>
          <w:p w14:paraId="62560014" w14:textId="77777777" w:rsidR="00A36524" w:rsidRDefault="00355467">
            <w:pPr>
              <w:pStyle w:val="TAC"/>
              <w:rPr>
                <w:lang w:eastAsia="ko-KR"/>
              </w:rPr>
            </w:pPr>
            <w:r>
              <w:rPr>
                <w:lang w:eastAsia="ko-KR"/>
              </w:rPr>
              <w:t>Reserved</w:t>
            </w:r>
          </w:p>
        </w:tc>
        <w:tc>
          <w:tcPr>
            <w:tcW w:w="4501" w:type="dxa"/>
          </w:tcPr>
          <w:p w14:paraId="184DDA3B"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3235B299" w14:textId="77777777">
        <w:tc>
          <w:tcPr>
            <w:tcW w:w="1277" w:type="dxa"/>
          </w:tcPr>
          <w:p w14:paraId="5C82266E" w14:textId="77777777" w:rsidR="00A36524" w:rsidRDefault="00355467">
            <w:pPr>
              <w:pStyle w:val="TAC"/>
              <w:rPr>
                <w:lang w:eastAsia="ko-KR"/>
              </w:rPr>
            </w:pPr>
            <w:r>
              <w:rPr>
                <w:lang w:eastAsia="ko-KR"/>
              </w:rPr>
              <w:t>14</w:t>
            </w:r>
          </w:p>
        </w:tc>
        <w:tc>
          <w:tcPr>
            <w:tcW w:w="4395" w:type="dxa"/>
          </w:tcPr>
          <w:p w14:paraId="0809442C" w14:textId="77777777" w:rsidR="00A36524" w:rsidRDefault="00355467">
            <w:pPr>
              <w:pStyle w:val="TAC"/>
              <w:rPr>
                <w:lang w:eastAsia="ko-KR"/>
              </w:rPr>
            </w:pPr>
            <w:r>
              <w:rPr>
                <w:lang w:eastAsia="ko-KR"/>
              </w:rPr>
              <w:t>Reserved</w:t>
            </w:r>
          </w:p>
        </w:tc>
        <w:tc>
          <w:tcPr>
            <w:tcW w:w="4501" w:type="dxa"/>
          </w:tcPr>
          <w:p w14:paraId="66890946" w14:textId="77777777" w:rsidR="00A36524" w:rsidRDefault="00355467">
            <w:pPr>
              <w:pStyle w:val="TAC"/>
              <w:rPr>
                <w:lang w:eastAsia="ko-KR"/>
              </w:rPr>
            </w:pPr>
            <w:r>
              <w:rPr>
                <w:lang w:eastAsia="ko-KR"/>
              </w:rPr>
              <w:t>2</w:t>
            </w:r>
            <w:r>
              <w:rPr>
                <w:vertAlign w:val="superscript"/>
                <w:lang w:eastAsia="ko-KR"/>
              </w:rPr>
              <w:t>nd</w:t>
            </w:r>
            <w:r>
              <w:rPr>
                <w:lang w:eastAsia="ko-KR"/>
              </w:rPr>
              <w:t xml:space="preserve"> PRACH Resource Index in subframe</w:t>
            </w:r>
          </w:p>
        </w:tc>
      </w:tr>
      <w:tr w:rsidR="00A36524" w14:paraId="0A5359FF" w14:textId="77777777">
        <w:tc>
          <w:tcPr>
            <w:tcW w:w="1277" w:type="dxa"/>
          </w:tcPr>
          <w:p w14:paraId="51116E33" w14:textId="77777777" w:rsidR="00A36524" w:rsidRDefault="00355467">
            <w:pPr>
              <w:pStyle w:val="TAC"/>
              <w:rPr>
                <w:lang w:eastAsia="ko-KR"/>
              </w:rPr>
            </w:pPr>
            <w:r>
              <w:rPr>
                <w:lang w:eastAsia="ko-KR"/>
              </w:rPr>
              <w:t>15</w:t>
            </w:r>
          </w:p>
        </w:tc>
        <w:tc>
          <w:tcPr>
            <w:tcW w:w="4395" w:type="dxa"/>
          </w:tcPr>
          <w:p w14:paraId="24BD7378" w14:textId="77777777" w:rsidR="00A36524" w:rsidRDefault="00355467">
            <w:pPr>
              <w:pStyle w:val="TAC"/>
              <w:rPr>
                <w:lang w:eastAsia="ko-KR"/>
              </w:rPr>
            </w:pPr>
            <w:r>
              <w:rPr>
                <w:lang w:eastAsia="ko-KR"/>
              </w:rPr>
              <w:t>Reserved</w:t>
            </w:r>
          </w:p>
        </w:tc>
        <w:tc>
          <w:tcPr>
            <w:tcW w:w="4501" w:type="dxa"/>
          </w:tcPr>
          <w:p w14:paraId="13038D60" w14:textId="77777777" w:rsidR="00A36524" w:rsidRDefault="00355467">
            <w:pPr>
              <w:pStyle w:val="TAC"/>
              <w:rPr>
                <w:lang w:eastAsia="ko-KR"/>
              </w:rPr>
            </w:pPr>
            <w:r>
              <w:rPr>
                <w:lang w:eastAsia="ko-KR"/>
              </w:rPr>
              <w:t>3</w:t>
            </w:r>
            <w:r>
              <w:rPr>
                <w:vertAlign w:val="superscript"/>
                <w:lang w:eastAsia="ko-KR"/>
              </w:rPr>
              <w:t>rd</w:t>
            </w:r>
            <w:r>
              <w:rPr>
                <w:lang w:eastAsia="ko-KR"/>
              </w:rPr>
              <w:t xml:space="preserve"> PRACH Resource Index in subframe</w:t>
            </w:r>
          </w:p>
        </w:tc>
      </w:tr>
    </w:tbl>
    <w:p w14:paraId="421B2229" w14:textId="77777777" w:rsidR="00A36524" w:rsidRDefault="00A36524">
      <w:pPr>
        <w:textAlignment w:val="auto"/>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D2E585F" w14:textId="77777777">
        <w:trPr>
          <w:trHeight w:val="196"/>
        </w:trPr>
        <w:tc>
          <w:tcPr>
            <w:tcW w:w="9797" w:type="dxa"/>
            <w:shd w:val="clear" w:color="auto" w:fill="FDE9D9"/>
            <w:vAlign w:val="center"/>
          </w:tcPr>
          <w:p w14:paraId="25FA44CE" w14:textId="77777777" w:rsidR="00A36524" w:rsidRDefault="00355467">
            <w:pPr>
              <w:snapToGrid w:val="0"/>
              <w:spacing w:after="0"/>
              <w:jc w:val="center"/>
              <w:rPr>
                <w:color w:val="FF0000"/>
                <w:sz w:val="28"/>
                <w:szCs w:val="28"/>
              </w:rPr>
            </w:pPr>
            <w:r>
              <w:rPr>
                <w:color w:val="FF0000"/>
                <w:sz w:val="28"/>
                <w:szCs w:val="28"/>
              </w:rPr>
              <w:t>END OF CHANGES</w:t>
            </w:r>
          </w:p>
        </w:tc>
      </w:tr>
    </w:tbl>
    <w:p w14:paraId="4600FD91" w14:textId="77777777" w:rsidR="00A36524" w:rsidRDefault="00A36524">
      <w:pPr>
        <w:pStyle w:val="Heading2"/>
      </w:pPr>
    </w:p>
    <w:p w14:paraId="2F0C8156" w14:textId="77777777" w:rsidR="00A36524" w:rsidRDefault="00A36524"/>
    <w:sectPr w:rsidR="00A36524">
      <w:headerReference w:type="default" r:id="rId22"/>
      <w:footerReference w:type="default" r:id="rId23"/>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hales (Flavien Ronteix)" w:date="2025-09-04T16:08:00Z" w:initials="FRJ">
    <w:p w14:paraId="24A2F359" w14:textId="74D9F50C" w:rsidR="008A32F3" w:rsidRDefault="008A32F3">
      <w:pPr>
        <w:pStyle w:val="CommentText"/>
      </w:pPr>
      <w:r>
        <w:rPr>
          <w:rStyle w:val="CommentReference"/>
        </w:rPr>
        <w:annotationRef/>
      </w:r>
      <w:r>
        <w:t>To be updated</w:t>
      </w:r>
    </w:p>
  </w:comment>
  <w:comment w:id="3" w:author="Toyota ITC" w:date="2025-09-05T14:04:00Z" w:initials="CA">
    <w:p w14:paraId="422539D2" w14:textId="77777777" w:rsidR="00935E25" w:rsidRDefault="00935E25" w:rsidP="00935E25">
      <w:pPr>
        <w:pStyle w:val="CommentText"/>
      </w:pPr>
      <w:r>
        <w:rPr>
          <w:rStyle w:val="CommentReference"/>
        </w:rPr>
        <w:annotationRef/>
      </w:r>
      <w:r>
        <w:t>Done.</w:t>
      </w:r>
    </w:p>
  </w:comment>
  <w:comment w:id="29" w:author="Ericsson - Philipp" w:date="2025-09-03T15:13:00Z" w:initials="E">
    <w:p w14:paraId="0F62793D" w14:textId="46486726" w:rsidR="002875A6" w:rsidRDefault="002875A6" w:rsidP="002875A6">
      <w:pPr>
        <w:pStyle w:val="CommentText"/>
      </w:pPr>
      <w:r>
        <w:rPr>
          <w:rStyle w:val="CommentReference"/>
        </w:rPr>
        <w:annotationRef/>
      </w:r>
      <w:r>
        <w:t xml:space="preserve">Since the </w:t>
      </w:r>
      <w:r>
        <w:rPr>
          <w:color w:val="000000"/>
        </w:rPr>
        <w:t>Stage2 CR rapporteur (Iridium) has made changes to the analog definition, the two definitions have started to diverge.</w:t>
      </w:r>
    </w:p>
    <w:p w14:paraId="4FD1C6A4" w14:textId="77777777" w:rsidR="002875A6" w:rsidRDefault="002875A6" w:rsidP="002875A6">
      <w:pPr>
        <w:pStyle w:val="CommentText"/>
      </w:pPr>
    </w:p>
    <w:p w14:paraId="0DAFF922" w14:textId="77777777" w:rsidR="002875A6" w:rsidRDefault="002875A6" w:rsidP="002875A6">
      <w:pPr>
        <w:pStyle w:val="CommentText"/>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w:t>
      </w:r>
      <w:r>
        <w:t>[20].</w:t>
      </w:r>
      <w:r>
        <w:rPr>
          <w:color w:val="000000"/>
        </w:rPr>
        <w:t xml:space="preserve"> </w:t>
      </w:r>
    </w:p>
  </w:comment>
  <w:comment w:id="30" w:author="Toyota ITC" w:date="2025-09-05T14:00:00Z" w:initials="CA">
    <w:p w14:paraId="14152A7A" w14:textId="77777777" w:rsidR="008E7896" w:rsidRDefault="008E7896" w:rsidP="008E7896">
      <w:pPr>
        <w:pStyle w:val="CommentText"/>
      </w:pPr>
      <w:r>
        <w:rPr>
          <w:rStyle w:val="CommentReference"/>
        </w:rPr>
        <w:annotationRef/>
      </w:r>
      <w:r>
        <w:t>The definition has now been updated following offline discussion where it has been aligned between all Stage 3 CRs.</w:t>
      </w:r>
    </w:p>
  </w:comment>
  <w:comment w:id="59" w:author="Thales (Flavien Ronteix)" w:date="2025-09-04T16:00:00Z" w:initials="FRJ">
    <w:p w14:paraId="322ED48B" w14:textId="57519B9D" w:rsidR="00A74491" w:rsidRDefault="00A74491">
      <w:pPr>
        <w:pStyle w:val="CommentText"/>
      </w:pPr>
      <w:r>
        <w:rPr>
          <w:rStyle w:val="CommentReference"/>
        </w:rPr>
        <w:annotationRef/>
      </w:r>
      <w:r>
        <w:t>Is this sentence necessary here ? It is already described in stage 2</w:t>
      </w:r>
    </w:p>
  </w:comment>
  <w:comment w:id="73" w:author="Thales (Flavien Ronteix)" w:date="2025-09-04T15:59:00Z" w:initials="FRJ">
    <w:p w14:paraId="200B056B" w14:textId="658C6364" w:rsidR="00A74491" w:rsidRDefault="00A74491">
      <w:pPr>
        <w:pStyle w:val="CommentText"/>
      </w:pPr>
      <w:r>
        <w:rPr>
          <w:rStyle w:val="CommentReference"/>
        </w:rPr>
        <w:annotationRef/>
      </w:r>
      <w:r>
        <w:t>TDD or FDD ?</w:t>
      </w:r>
    </w:p>
  </w:comment>
  <w:comment w:id="74" w:author="Toyota ITC" w:date="2025-09-05T14:12:00Z" w:initials="CA">
    <w:p w14:paraId="7BF0BE81" w14:textId="77777777" w:rsidR="00050D8F" w:rsidRDefault="00050D8F" w:rsidP="00050D8F">
      <w:pPr>
        <w:pStyle w:val="CommentText"/>
      </w:pPr>
      <w:r>
        <w:rPr>
          <w:rStyle w:val="CommentReference"/>
        </w:rPr>
        <w:annotationRef/>
      </w:r>
      <w:r>
        <w:t>I strongly believe that we should keep those two lines as they clarify that:</w:t>
      </w:r>
    </w:p>
    <w:p w14:paraId="5DC9591E" w14:textId="77777777" w:rsidR="00050D8F" w:rsidRDefault="00050D8F" w:rsidP="00050D8F">
      <w:pPr>
        <w:pStyle w:val="CommentText"/>
      </w:pPr>
      <w:r>
        <w:t>- “IoT NTN TDD” is not “TDD”. This is clear for us who know the history of the WIs, but this is not clear for an implementor who takes the specs and tries to understand them, simply because the words “IoT NTN TDD” include the word “TDD”. Even the definition of the “IoT NTN TDD“ includes the word “TDD” on its own. Therefore, it was intentional to write ”TDD or TDD mode”, as both are used in the spec.</w:t>
      </w:r>
    </w:p>
    <w:p w14:paraId="3BFA99FC" w14:textId="77777777" w:rsidR="00050D8F" w:rsidRDefault="00050D8F" w:rsidP="00050D8F">
      <w:pPr>
        <w:pStyle w:val="CommentText"/>
      </w:pPr>
      <w:r>
        <w:t>- The requirements for NB-IoT apply to IoT NTN TDD mode. This is also not obvious (see e.g. comment from Thales in 5.1.4). If we do not add this, we will need to add a lot of statements “and IoT NTN TDD mode” in the CR, which would make the spec very heavy.</w:t>
      </w:r>
    </w:p>
  </w:comment>
  <w:comment w:id="60" w:author="Bharat-QC" w:date="2025-09-04T10:59:00Z" w:initials="BS">
    <w:p w14:paraId="5ADF3B0B" w14:textId="34B3B8F0" w:rsidR="007632AF" w:rsidRDefault="007632AF" w:rsidP="007632AF">
      <w:pPr>
        <w:pStyle w:val="CommentText"/>
      </w:pPr>
      <w:r>
        <w:rPr>
          <w:rStyle w:val="CommentReference"/>
        </w:rPr>
        <w:annotationRef/>
      </w:r>
      <w:r>
        <w:t>This whole sentence can be removed. It is already clear from the definition above.</w:t>
      </w:r>
    </w:p>
  </w:comment>
  <w:comment w:id="113" w:author="Thales (Flavien Ronteix)" w:date="2025-09-04T16:05:00Z" w:initials="FRJ">
    <w:p w14:paraId="7D28B9DE" w14:textId="39B6951A" w:rsidR="00A74491" w:rsidRDefault="00A74491" w:rsidP="00A74491">
      <w:r>
        <w:rPr>
          <w:rStyle w:val="CommentReference"/>
        </w:rPr>
        <w:annotationRef/>
      </w:r>
      <w:r>
        <w:t>Probably say here that UE in IoT NTN TDD mode may apply this calculation for RA-RNTI to avoid confusion with NB-IoT UEs in TDD modes. Agreement : “In IoT-NTN TDD mode the same formula as for RA-RNTI calculation for FDD is reused”</w:t>
      </w:r>
    </w:p>
  </w:comment>
  <w:comment w:id="114" w:author="Bharat-QC" w:date="2025-09-04T11:00:00Z" w:initials="BS">
    <w:p w14:paraId="036E1692" w14:textId="77777777" w:rsidR="00967011" w:rsidRDefault="00967011" w:rsidP="00967011">
      <w:pPr>
        <w:pStyle w:val="CommentText"/>
      </w:pPr>
      <w:r>
        <w:rPr>
          <w:rStyle w:val="CommentReference"/>
        </w:rPr>
        <w:annotationRef/>
      </w:r>
      <w:r>
        <w:t>Ok to add “operating in FDD and IoT NTN TDD mode”</w:t>
      </w:r>
    </w:p>
  </w:comment>
  <w:comment w:id="115" w:author="Toyota ITC" w:date="2025-09-05T13:47:00Z" w:initials="CA">
    <w:p w14:paraId="6210EF98" w14:textId="77777777" w:rsidR="009B6786" w:rsidRDefault="009B6786" w:rsidP="009B6786">
      <w:pPr>
        <w:pStyle w:val="CommentText"/>
      </w:pPr>
      <w:r>
        <w:rPr>
          <w:rStyle w:val="CommentReference"/>
        </w:rPr>
        <w:annotationRef/>
      </w:r>
      <w:r>
        <w:t>- There is a now a general sentence in subclause 4.1 that says “IoT NTN TDD mode applies to NB-IoT unless specified otherwise”. So I think this is not necessary.</w:t>
      </w:r>
      <w:r>
        <w:br/>
        <w:t>- Adding “operating in FDD and IoT NTN TDD mode” would be incorrect, because this does not apply to non-NB-IoT FDD.</w:t>
      </w:r>
    </w:p>
  </w:comment>
  <w:comment w:id="131" w:author="Nokia" w:date="2025-09-05T17:27:00Z" w:initials="PY">
    <w:p w14:paraId="1A9334F1" w14:textId="2EB65BB8" w:rsidR="003E0858" w:rsidRDefault="003E0858" w:rsidP="003E0858">
      <w:pPr>
        <w:pStyle w:val="CommentText"/>
      </w:pPr>
      <w:r>
        <w:rPr>
          <w:rStyle w:val="CommentReference"/>
        </w:rPr>
        <w:annotationRef/>
      </w:r>
      <w:r>
        <w:t xml:space="preserve">Valid uplink subframes… </w:t>
      </w:r>
    </w:p>
    <w:p w14:paraId="0AAAC270" w14:textId="77777777" w:rsidR="003E0858" w:rsidRDefault="003E0858" w:rsidP="003E0858">
      <w:pPr>
        <w:pStyle w:val="CommentText"/>
      </w:pPr>
      <w:r>
        <w:t>and should it mention IoT TDD NTN?</w:t>
      </w:r>
    </w:p>
  </w:comment>
  <w:comment w:id="132" w:author="Toyota ITC" w:date="2025-09-05T13:51:00Z" w:initials="CA">
    <w:p w14:paraId="020D3F06" w14:textId="77777777" w:rsidR="009B6786" w:rsidRDefault="009B6786" w:rsidP="009B6786">
      <w:pPr>
        <w:pStyle w:val="CommentText"/>
      </w:pPr>
      <w:r>
        <w:rPr>
          <w:rStyle w:val="CommentReference"/>
        </w:rPr>
        <w:annotationRef/>
      </w:r>
      <w:r>
        <w:t>Thanks updated.</w:t>
      </w:r>
    </w:p>
  </w:comment>
  <w:comment w:id="172" w:author="Ericsson - Philipp" w:date="2025-09-03T16:13:00Z" w:initials="E">
    <w:p w14:paraId="3186C05D" w14:textId="3894466E" w:rsidR="005536C1" w:rsidRDefault="005536C1" w:rsidP="005536C1">
      <w:pPr>
        <w:pStyle w:val="CommentText"/>
      </w:pPr>
      <w:r>
        <w:rPr>
          <w:rStyle w:val="CommentReference"/>
        </w:rPr>
        <w:annotationRef/>
      </w:r>
      <w:r>
        <w:t>I’m not sure the term “resource conflict” fits well here. Better sticking closer to the formulation in the RAN2 agreement, e.g., “if the UL SPS resource overlaps with non-U NB-IoT subframes”.</w:t>
      </w:r>
    </w:p>
  </w:comment>
  <w:comment w:id="169" w:author="Thales (Flavien Ronteix)" w:date="2025-09-04T16:02:00Z" w:initials="FRJ">
    <w:p w14:paraId="182062F9" w14:textId="7D8B0BF8" w:rsidR="00A74491" w:rsidRDefault="00A74491">
      <w:pPr>
        <w:pStyle w:val="CommentText"/>
      </w:pPr>
      <w:r>
        <w:rPr>
          <w:rStyle w:val="CommentReference"/>
        </w:rPr>
        <w:annotationRef/>
      </w:r>
      <w:r>
        <w:t>Agree. In general, use the terms non-U and non-D subframes as defined in stage 2</w:t>
      </w:r>
    </w:p>
  </w:comment>
  <w:comment w:id="170" w:author="Nokia" w:date="2025-09-05T17:26:00Z" w:initials="PY">
    <w:p w14:paraId="2EE49E9E" w14:textId="77777777" w:rsidR="003E0858" w:rsidRDefault="003E0858" w:rsidP="003E0858">
      <w:pPr>
        <w:pStyle w:val="CommentText"/>
      </w:pPr>
      <w:r>
        <w:rPr>
          <w:rStyle w:val="CommentReference"/>
        </w:rPr>
        <w:annotationRef/>
      </w:r>
      <w:r>
        <w:t>Agree. This is a very strange formulation. Why not state that if the UL SPS resource is not in a valid UL subframe the UE postpones the UL SPS resource...</w:t>
      </w:r>
    </w:p>
  </w:comment>
  <w:comment w:id="171" w:author="Toyota ITC" w:date="2025-09-05T14:31:00Z" w:initials="CA">
    <w:p w14:paraId="771E8206" w14:textId="77777777" w:rsidR="00A62A7B" w:rsidRDefault="00A62A7B" w:rsidP="00A62A7B">
      <w:pPr>
        <w:pStyle w:val="CommentText"/>
      </w:pPr>
      <w:r>
        <w:rPr>
          <w:rStyle w:val="CommentReference"/>
        </w:rPr>
        <w:annotationRef/>
      </w:r>
      <w:r>
        <w:t xml:space="preserve">I have re-written the sentence. Note that the term “resource conflict” was used here because it was used two paragraphes above in the spec.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A2F359" w15:done="0"/>
  <w15:commentEx w15:paraId="422539D2" w15:paraIdParent="24A2F359" w15:done="0"/>
  <w15:commentEx w15:paraId="0DAFF922" w15:done="0"/>
  <w15:commentEx w15:paraId="14152A7A" w15:paraIdParent="0DAFF922" w15:done="0"/>
  <w15:commentEx w15:paraId="322ED48B" w15:done="0"/>
  <w15:commentEx w15:paraId="200B056B" w15:done="0"/>
  <w15:commentEx w15:paraId="3BFA99FC" w15:paraIdParent="200B056B" w15:done="0"/>
  <w15:commentEx w15:paraId="5ADF3B0B" w15:done="0"/>
  <w15:commentEx w15:paraId="7D28B9DE" w15:done="0"/>
  <w15:commentEx w15:paraId="036E1692" w15:paraIdParent="7D28B9DE" w15:done="0"/>
  <w15:commentEx w15:paraId="6210EF98" w15:paraIdParent="7D28B9DE" w15:done="0"/>
  <w15:commentEx w15:paraId="0AAAC270" w15:done="0"/>
  <w15:commentEx w15:paraId="020D3F06" w15:paraIdParent="0AAAC270" w15:done="0"/>
  <w15:commentEx w15:paraId="3186C05D" w15:done="0"/>
  <w15:commentEx w15:paraId="182062F9" w15:paraIdParent="3186C05D" w15:done="0"/>
  <w15:commentEx w15:paraId="2EE49E9E" w15:paraIdParent="3186C05D" w15:done="0"/>
  <w15:commentEx w15:paraId="771E8206" w15:paraIdParent="3186C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353922" w16cex:dateUtc="2025-09-05T12:04:00Z"/>
  <w16cex:commentExtensible w16cex:durableId="1DE3BA5C" w16cex:dateUtc="2025-09-03T13:13:00Z"/>
  <w16cex:commentExtensible w16cex:durableId="540BFAE7" w16cex:dateUtc="2025-09-05T12:00:00Z"/>
  <w16cex:commentExtensible w16cex:durableId="17C956D6" w16cex:dateUtc="2025-09-05T12:12:00Z"/>
  <w16cex:commentExtensible w16cex:durableId="18C145F4" w16cex:dateUtc="2025-09-04T17:59:00Z"/>
  <w16cex:commentExtensible w16cex:durableId="7774D57A" w16cex:dateUtc="2025-09-04T18:00:00Z"/>
  <w16cex:commentExtensible w16cex:durableId="7C5F5B43" w16cex:dateUtc="2025-09-05T11:47:00Z"/>
  <w16cex:commentExtensible w16cex:durableId="0A9ADAFD" w16cex:dateUtc="2025-09-05T09:27:00Z"/>
  <w16cex:commentExtensible w16cex:durableId="5E0F1098" w16cex:dateUtc="2025-09-05T11:51:00Z"/>
  <w16cex:commentExtensible w16cex:durableId="707A844E" w16cex:dateUtc="2025-09-03T14:13:00Z"/>
  <w16cex:commentExtensible w16cex:durableId="48434F2D" w16cex:dateUtc="2025-09-05T09:26:00Z"/>
  <w16cex:commentExtensible w16cex:durableId="70C61E5B" w16cex:dateUtc="2025-09-05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2F359" w16cid:durableId="24A2F359"/>
  <w16cid:commentId w16cid:paraId="422539D2" w16cid:durableId="78353922"/>
  <w16cid:commentId w16cid:paraId="0DAFF922" w16cid:durableId="1DE3BA5C"/>
  <w16cid:commentId w16cid:paraId="14152A7A" w16cid:durableId="540BFAE7"/>
  <w16cid:commentId w16cid:paraId="322ED48B" w16cid:durableId="322ED48B"/>
  <w16cid:commentId w16cid:paraId="200B056B" w16cid:durableId="200B056B"/>
  <w16cid:commentId w16cid:paraId="3BFA99FC" w16cid:durableId="17C956D6"/>
  <w16cid:commentId w16cid:paraId="5ADF3B0B" w16cid:durableId="18C145F4"/>
  <w16cid:commentId w16cid:paraId="7D28B9DE" w16cid:durableId="7D28B9DE"/>
  <w16cid:commentId w16cid:paraId="036E1692" w16cid:durableId="7774D57A"/>
  <w16cid:commentId w16cid:paraId="6210EF98" w16cid:durableId="7C5F5B43"/>
  <w16cid:commentId w16cid:paraId="0AAAC270" w16cid:durableId="0A9ADAFD"/>
  <w16cid:commentId w16cid:paraId="020D3F06" w16cid:durableId="5E0F1098"/>
  <w16cid:commentId w16cid:paraId="3186C05D" w16cid:durableId="707A844E"/>
  <w16cid:commentId w16cid:paraId="182062F9" w16cid:durableId="182062F9"/>
  <w16cid:commentId w16cid:paraId="2EE49E9E" w16cid:durableId="48434F2D"/>
  <w16cid:commentId w16cid:paraId="771E8206" w16cid:durableId="70C61E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76C4" w14:textId="77777777" w:rsidR="008767AF" w:rsidRDefault="008767AF">
      <w:pPr>
        <w:spacing w:after="0"/>
      </w:pPr>
      <w:r>
        <w:separator/>
      </w:r>
    </w:p>
  </w:endnote>
  <w:endnote w:type="continuationSeparator" w:id="0">
    <w:p w14:paraId="4BE53935" w14:textId="77777777" w:rsidR="008767AF" w:rsidRDefault="008767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16C9" w14:textId="77777777" w:rsidR="00A36524" w:rsidRDefault="003554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435F" w14:textId="77777777" w:rsidR="008767AF" w:rsidRDefault="008767AF">
      <w:pPr>
        <w:spacing w:after="0"/>
      </w:pPr>
      <w:r>
        <w:separator/>
      </w:r>
    </w:p>
  </w:footnote>
  <w:footnote w:type="continuationSeparator" w:id="0">
    <w:p w14:paraId="5B53B7B8" w14:textId="77777777" w:rsidR="008767AF" w:rsidRDefault="008767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2233" w14:textId="3F7A2756" w:rsidR="00A36524" w:rsidRDefault="00355467">
    <w:pPr>
      <w:pStyle w:val="Header"/>
      <w:framePr w:wrap="auto" w:vAnchor="text" w:hAnchor="margin" w:xAlign="center" w:y="1"/>
      <w:widowControl/>
    </w:pPr>
    <w:r>
      <w:fldChar w:fldCharType="begin"/>
    </w:r>
    <w:r>
      <w:instrText xml:space="preserve"> PAGE </w:instrText>
    </w:r>
    <w:r>
      <w:fldChar w:fldCharType="separate"/>
    </w:r>
    <w:r w:rsidR="008A32F3">
      <w:rPr>
        <w:noProof/>
      </w:rPr>
      <w:t>2</w:t>
    </w:r>
    <w:r>
      <w:fldChar w:fldCharType="end"/>
    </w:r>
  </w:p>
  <w:p w14:paraId="33BCC137" w14:textId="77777777" w:rsidR="00A36524" w:rsidRDefault="00A36524">
    <w:pPr>
      <w:pStyle w:val="Header"/>
    </w:pPr>
  </w:p>
  <w:p w14:paraId="6B4D27C8" w14:textId="77777777" w:rsidR="00A36524" w:rsidRDefault="00A36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8E156FA"/>
    <w:multiLevelType w:val="multilevel"/>
    <w:tmpl w:val="08E156FA"/>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9728143">
    <w:abstractNumId w:val="2"/>
  </w:num>
  <w:num w:numId="2" w16cid:durableId="2140568314">
    <w:abstractNumId w:val="1"/>
  </w:num>
  <w:num w:numId="3" w16cid:durableId="715349936">
    <w:abstractNumId w:val="0"/>
  </w:num>
  <w:num w:numId="4" w16cid:durableId="64106081">
    <w:abstractNumId w:val="3"/>
  </w:num>
  <w:num w:numId="5" w16cid:durableId="209901888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les (Flavien Ronteix)">
    <w15:presenceInfo w15:providerId="None" w15:userId="Thales (Flavien Ronteix)"/>
  </w15:person>
  <w15:person w15:author="Toyota ITC">
    <w15:presenceInfo w15:providerId="None" w15:userId="Toyota ITC"/>
  </w15:person>
  <w15:person w15:author="Ericsson - Philipp">
    <w15:presenceInfo w15:providerId="None" w15:userId="Ericsson - Philipp"/>
  </w15:person>
  <w15:person w15:author="Toyota ITC2">
    <w15:presenceInfo w15:providerId="None" w15:userId="Toyota ITC2"/>
  </w15:person>
  <w15:person w15:author="Bharat-QC">
    <w15:presenceInfo w15:providerId="None" w15:userId="Bharat-QC"/>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1FE9"/>
    <w:rsid w:val="000258A9"/>
    <w:rsid w:val="0002693F"/>
    <w:rsid w:val="000275E7"/>
    <w:rsid w:val="00027CA3"/>
    <w:rsid w:val="000302D5"/>
    <w:rsid w:val="000315E7"/>
    <w:rsid w:val="000325C8"/>
    <w:rsid w:val="000326A5"/>
    <w:rsid w:val="00032B93"/>
    <w:rsid w:val="00033618"/>
    <w:rsid w:val="0003397C"/>
    <w:rsid w:val="00035025"/>
    <w:rsid w:val="00035103"/>
    <w:rsid w:val="00036AD1"/>
    <w:rsid w:val="00036CB6"/>
    <w:rsid w:val="00037325"/>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0D4B"/>
    <w:rsid w:val="00050D8F"/>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7F2"/>
    <w:rsid w:val="000E585F"/>
    <w:rsid w:val="000E6CBD"/>
    <w:rsid w:val="000E7CDB"/>
    <w:rsid w:val="000F08A5"/>
    <w:rsid w:val="000F0ADE"/>
    <w:rsid w:val="000F0D1E"/>
    <w:rsid w:val="000F358E"/>
    <w:rsid w:val="000F3A72"/>
    <w:rsid w:val="000F40B5"/>
    <w:rsid w:val="000F493F"/>
    <w:rsid w:val="000F4C44"/>
    <w:rsid w:val="000F4E6E"/>
    <w:rsid w:val="000F576D"/>
    <w:rsid w:val="000F60B1"/>
    <w:rsid w:val="000F6F08"/>
    <w:rsid w:val="000F710F"/>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0A1"/>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6CF"/>
    <w:rsid w:val="0015360C"/>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5A5"/>
    <w:rsid w:val="00166B03"/>
    <w:rsid w:val="0016795F"/>
    <w:rsid w:val="00167A8C"/>
    <w:rsid w:val="00170561"/>
    <w:rsid w:val="00170FA4"/>
    <w:rsid w:val="00170FBB"/>
    <w:rsid w:val="0017329A"/>
    <w:rsid w:val="00173A5D"/>
    <w:rsid w:val="001770E4"/>
    <w:rsid w:val="00177C1E"/>
    <w:rsid w:val="001811E2"/>
    <w:rsid w:val="00181CA4"/>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3956"/>
    <w:rsid w:val="001B43DC"/>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581A"/>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875A6"/>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73F"/>
    <w:rsid w:val="002E4C6C"/>
    <w:rsid w:val="002E4F28"/>
    <w:rsid w:val="002E5849"/>
    <w:rsid w:val="002E67C9"/>
    <w:rsid w:val="002E6EAA"/>
    <w:rsid w:val="002E6FFD"/>
    <w:rsid w:val="002E7B55"/>
    <w:rsid w:val="002F0B1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5F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467"/>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C5E"/>
    <w:rsid w:val="003D3DA7"/>
    <w:rsid w:val="003D4020"/>
    <w:rsid w:val="003D4605"/>
    <w:rsid w:val="003D5873"/>
    <w:rsid w:val="003D5AC6"/>
    <w:rsid w:val="003D6C98"/>
    <w:rsid w:val="003D72E4"/>
    <w:rsid w:val="003D7979"/>
    <w:rsid w:val="003E0858"/>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312"/>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1AE"/>
    <w:rsid w:val="00422C3B"/>
    <w:rsid w:val="00422E96"/>
    <w:rsid w:val="00422FB0"/>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0135"/>
    <w:rsid w:val="0047078E"/>
    <w:rsid w:val="00471454"/>
    <w:rsid w:val="00471F64"/>
    <w:rsid w:val="00473D9C"/>
    <w:rsid w:val="00473DC7"/>
    <w:rsid w:val="004742D7"/>
    <w:rsid w:val="004751D5"/>
    <w:rsid w:val="00475B81"/>
    <w:rsid w:val="00476676"/>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B7DD4"/>
    <w:rsid w:val="004C01EA"/>
    <w:rsid w:val="004C0278"/>
    <w:rsid w:val="004C07D9"/>
    <w:rsid w:val="004C13CD"/>
    <w:rsid w:val="004C248B"/>
    <w:rsid w:val="004C2518"/>
    <w:rsid w:val="004C302E"/>
    <w:rsid w:val="004C40FF"/>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E75AC"/>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076AF"/>
    <w:rsid w:val="005130F7"/>
    <w:rsid w:val="005131A2"/>
    <w:rsid w:val="0051419E"/>
    <w:rsid w:val="005143A9"/>
    <w:rsid w:val="0051557E"/>
    <w:rsid w:val="00516E9C"/>
    <w:rsid w:val="005176B3"/>
    <w:rsid w:val="0052126F"/>
    <w:rsid w:val="00522202"/>
    <w:rsid w:val="00523452"/>
    <w:rsid w:val="00523C9F"/>
    <w:rsid w:val="00524006"/>
    <w:rsid w:val="00524553"/>
    <w:rsid w:val="0052522F"/>
    <w:rsid w:val="00525672"/>
    <w:rsid w:val="00525BD8"/>
    <w:rsid w:val="0052606D"/>
    <w:rsid w:val="00526E24"/>
    <w:rsid w:val="00526F4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497"/>
    <w:rsid w:val="00546A1A"/>
    <w:rsid w:val="00550514"/>
    <w:rsid w:val="00551E1B"/>
    <w:rsid w:val="00552D20"/>
    <w:rsid w:val="00552DA1"/>
    <w:rsid w:val="005536C1"/>
    <w:rsid w:val="00554319"/>
    <w:rsid w:val="00554504"/>
    <w:rsid w:val="005555D9"/>
    <w:rsid w:val="00555837"/>
    <w:rsid w:val="005601C3"/>
    <w:rsid w:val="0056046E"/>
    <w:rsid w:val="00560DFC"/>
    <w:rsid w:val="005618B4"/>
    <w:rsid w:val="00562A1F"/>
    <w:rsid w:val="0056320F"/>
    <w:rsid w:val="005636B4"/>
    <w:rsid w:val="005645B6"/>
    <w:rsid w:val="00565AD9"/>
    <w:rsid w:val="005678E0"/>
    <w:rsid w:val="00567911"/>
    <w:rsid w:val="005713AD"/>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E28"/>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5F73A4"/>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62E"/>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4781D"/>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432"/>
    <w:rsid w:val="00681777"/>
    <w:rsid w:val="0068186B"/>
    <w:rsid w:val="00682184"/>
    <w:rsid w:val="00682443"/>
    <w:rsid w:val="00683BC7"/>
    <w:rsid w:val="006845BD"/>
    <w:rsid w:val="006846AE"/>
    <w:rsid w:val="00684935"/>
    <w:rsid w:val="00685909"/>
    <w:rsid w:val="00685F34"/>
    <w:rsid w:val="00687143"/>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A68"/>
    <w:rsid w:val="006A0B76"/>
    <w:rsid w:val="006A1193"/>
    <w:rsid w:val="006A1DDA"/>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6BA"/>
    <w:rsid w:val="006E1885"/>
    <w:rsid w:val="006E644F"/>
    <w:rsid w:val="006E6ECF"/>
    <w:rsid w:val="006E6F36"/>
    <w:rsid w:val="006F13FC"/>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9E3"/>
    <w:rsid w:val="00717065"/>
    <w:rsid w:val="0071785C"/>
    <w:rsid w:val="0072196D"/>
    <w:rsid w:val="00721CDA"/>
    <w:rsid w:val="0072214A"/>
    <w:rsid w:val="007222D7"/>
    <w:rsid w:val="0072264B"/>
    <w:rsid w:val="00723FEB"/>
    <w:rsid w:val="007249CA"/>
    <w:rsid w:val="00724E8C"/>
    <w:rsid w:val="0072558A"/>
    <w:rsid w:val="007255CB"/>
    <w:rsid w:val="00725DC5"/>
    <w:rsid w:val="00725F0C"/>
    <w:rsid w:val="00730632"/>
    <w:rsid w:val="00732B0E"/>
    <w:rsid w:val="007330B7"/>
    <w:rsid w:val="007342BB"/>
    <w:rsid w:val="007342CA"/>
    <w:rsid w:val="00734339"/>
    <w:rsid w:val="00735D65"/>
    <w:rsid w:val="00736985"/>
    <w:rsid w:val="00736BD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2AF"/>
    <w:rsid w:val="0076366D"/>
    <w:rsid w:val="00763E2C"/>
    <w:rsid w:val="00764EBB"/>
    <w:rsid w:val="00764EED"/>
    <w:rsid w:val="00765947"/>
    <w:rsid w:val="007707CE"/>
    <w:rsid w:val="0077137E"/>
    <w:rsid w:val="00771779"/>
    <w:rsid w:val="00772EEF"/>
    <w:rsid w:val="00773083"/>
    <w:rsid w:val="007737E1"/>
    <w:rsid w:val="007739AA"/>
    <w:rsid w:val="00773D91"/>
    <w:rsid w:val="00774013"/>
    <w:rsid w:val="00774821"/>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6BD"/>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376C"/>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073BE"/>
    <w:rsid w:val="00810670"/>
    <w:rsid w:val="00812FAD"/>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27F4A"/>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5783F"/>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49B"/>
    <w:rsid w:val="00872C35"/>
    <w:rsid w:val="0087339B"/>
    <w:rsid w:val="00874789"/>
    <w:rsid w:val="008755E4"/>
    <w:rsid w:val="008765FF"/>
    <w:rsid w:val="00876615"/>
    <w:rsid w:val="008767AF"/>
    <w:rsid w:val="0087715E"/>
    <w:rsid w:val="00877E3C"/>
    <w:rsid w:val="008809B2"/>
    <w:rsid w:val="008814CE"/>
    <w:rsid w:val="00881879"/>
    <w:rsid w:val="00881B00"/>
    <w:rsid w:val="0088262E"/>
    <w:rsid w:val="0088330B"/>
    <w:rsid w:val="00885C7D"/>
    <w:rsid w:val="00885F9C"/>
    <w:rsid w:val="00886A6B"/>
    <w:rsid w:val="008910E5"/>
    <w:rsid w:val="00891F9C"/>
    <w:rsid w:val="0089226A"/>
    <w:rsid w:val="0089321C"/>
    <w:rsid w:val="00894E0E"/>
    <w:rsid w:val="00895C45"/>
    <w:rsid w:val="008A0066"/>
    <w:rsid w:val="008A0623"/>
    <w:rsid w:val="008A0BE6"/>
    <w:rsid w:val="008A21D1"/>
    <w:rsid w:val="008A23FC"/>
    <w:rsid w:val="008A31AE"/>
    <w:rsid w:val="008A32F3"/>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0754"/>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E7896"/>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1CCE"/>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0F4"/>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E25"/>
    <w:rsid w:val="00935FCF"/>
    <w:rsid w:val="0093658B"/>
    <w:rsid w:val="00937992"/>
    <w:rsid w:val="00940E53"/>
    <w:rsid w:val="009414F4"/>
    <w:rsid w:val="009416C9"/>
    <w:rsid w:val="00941903"/>
    <w:rsid w:val="00941B2C"/>
    <w:rsid w:val="00941F88"/>
    <w:rsid w:val="00942191"/>
    <w:rsid w:val="00943AAD"/>
    <w:rsid w:val="00945B5B"/>
    <w:rsid w:val="00945CC8"/>
    <w:rsid w:val="00945E2C"/>
    <w:rsid w:val="0094601C"/>
    <w:rsid w:val="00946178"/>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011"/>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9F9"/>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786"/>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5C3E"/>
    <w:rsid w:val="009D643B"/>
    <w:rsid w:val="009D67BA"/>
    <w:rsid w:val="009D694D"/>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2B2E"/>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244"/>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6524"/>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646"/>
    <w:rsid w:val="00A559C4"/>
    <w:rsid w:val="00A5604C"/>
    <w:rsid w:val="00A6094A"/>
    <w:rsid w:val="00A619A6"/>
    <w:rsid w:val="00A62131"/>
    <w:rsid w:val="00A624F4"/>
    <w:rsid w:val="00A62509"/>
    <w:rsid w:val="00A628D4"/>
    <w:rsid w:val="00A628E6"/>
    <w:rsid w:val="00A62A7B"/>
    <w:rsid w:val="00A63082"/>
    <w:rsid w:val="00A630EC"/>
    <w:rsid w:val="00A63D28"/>
    <w:rsid w:val="00A65316"/>
    <w:rsid w:val="00A65C66"/>
    <w:rsid w:val="00A65FE6"/>
    <w:rsid w:val="00A66DA9"/>
    <w:rsid w:val="00A67B7C"/>
    <w:rsid w:val="00A7022F"/>
    <w:rsid w:val="00A70BDA"/>
    <w:rsid w:val="00A71923"/>
    <w:rsid w:val="00A71F6E"/>
    <w:rsid w:val="00A74491"/>
    <w:rsid w:val="00A746ED"/>
    <w:rsid w:val="00A750AA"/>
    <w:rsid w:val="00A75314"/>
    <w:rsid w:val="00A761E5"/>
    <w:rsid w:val="00A80380"/>
    <w:rsid w:val="00A807BC"/>
    <w:rsid w:val="00A80889"/>
    <w:rsid w:val="00A80EA5"/>
    <w:rsid w:val="00A80F6F"/>
    <w:rsid w:val="00A81C85"/>
    <w:rsid w:val="00A8225E"/>
    <w:rsid w:val="00A822F5"/>
    <w:rsid w:val="00A82ED4"/>
    <w:rsid w:val="00A844B0"/>
    <w:rsid w:val="00A849A4"/>
    <w:rsid w:val="00A851C9"/>
    <w:rsid w:val="00A852A3"/>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C4C73"/>
    <w:rsid w:val="00AD1285"/>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5F86"/>
    <w:rsid w:val="00B162CD"/>
    <w:rsid w:val="00B1674E"/>
    <w:rsid w:val="00B16821"/>
    <w:rsid w:val="00B1779C"/>
    <w:rsid w:val="00B179B1"/>
    <w:rsid w:val="00B220B3"/>
    <w:rsid w:val="00B22704"/>
    <w:rsid w:val="00B2277F"/>
    <w:rsid w:val="00B22A4E"/>
    <w:rsid w:val="00B22C7F"/>
    <w:rsid w:val="00B22DD7"/>
    <w:rsid w:val="00B23E7C"/>
    <w:rsid w:val="00B24AC8"/>
    <w:rsid w:val="00B24B42"/>
    <w:rsid w:val="00B25184"/>
    <w:rsid w:val="00B26B5A"/>
    <w:rsid w:val="00B26F84"/>
    <w:rsid w:val="00B2712E"/>
    <w:rsid w:val="00B27905"/>
    <w:rsid w:val="00B27F7A"/>
    <w:rsid w:val="00B30E13"/>
    <w:rsid w:val="00B31740"/>
    <w:rsid w:val="00B32071"/>
    <w:rsid w:val="00B32498"/>
    <w:rsid w:val="00B3293A"/>
    <w:rsid w:val="00B3315D"/>
    <w:rsid w:val="00B339B9"/>
    <w:rsid w:val="00B34413"/>
    <w:rsid w:val="00B3497E"/>
    <w:rsid w:val="00B3540D"/>
    <w:rsid w:val="00B35C4E"/>
    <w:rsid w:val="00B3680C"/>
    <w:rsid w:val="00B36A91"/>
    <w:rsid w:val="00B37EE8"/>
    <w:rsid w:val="00B405C7"/>
    <w:rsid w:val="00B40636"/>
    <w:rsid w:val="00B42A2A"/>
    <w:rsid w:val="00B45303"/>
    <w:rsid w:val="00B47072"/>
    <w:rsid w:val="00B47657"/>
    <w:rsid w:val="00B477B8"/>
    <w:rsid w:val="00B47DB0"/>
    <w:rsid w:val="00B5025F"/>
    <w:rsid w:val="00B5255D"/>
    <w:rsid w:val="00B5280C"/>
    <w:rsid w:val="00B533EE"/>
    <w:rsid w:val="00B54A76"/>
    <w:rsid w:val="00B55A64"/>
    <w:rsid w:val="00B56B03"/>
    <w:rsid w:val="00B56CD8"/>
    <w:rsid w:val="00B57E68"/>
    <w:rsid w:val="00B602BF"/>
    <w:rsid w:val="00B61611"/>
    <w:rsid w:val="00B61D89"/>
    <w:rsid w:val="00B64D1C"/>
    <w:rsid w:val="00B728C0"/>
    <w:rsid w:val="00B73C04"/>
    <w:rsid w:val="00B73E41"/>
    <w:rsid w:val="00B73F09"/>
    <w:rsid w:val="00B743C5"/>
    <w:rsid w:val="00B75AEB"/>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2EA"/>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5DC6"/>
    <w:rsid w:val="00BE6B3D"/>
    <w:rsid w:val="00BE6C1C"/>
    <w:rsid w:val="00BE7031"/>
    <w:rsid w:val="00BF0D56"/>
    <w:rsid w:val="00BF1608"/>
    <w:rsid w:val="00BF1BAF"/>
    <w:rsid w:val="00BF1E78"/>
    <w:rsid w:val="00BF2A9F"/>
    <w:rsid w:val="00BF3691"/>
    <w:rsid w:val="00BF498B"/>
    <w:rsid w:val="00BF6096"/>
    <w:rsid w:val="00BF6171"/>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1307"/>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25A"/>
    <w:rsid w:val="00C2597D"/>
    <w:rsid w:val="00C262A9"/>
    <w:rsid w:val="00C2713F"/>
    <w:rsid w:val="00C27208"/>
    <w:rsid w:val="00C27AD3"/>
    <w:rsid w:val="00C27B77"/>
    <w:rsid w:val="00C33595"/>
    <w:rsid w:val="00C34145"/>
    <w:rsid w:val="00C3432F"/>
    <w:rsid w:val="00C3451D"/>
    <w:rsid w:val="00C4168A"/>
    <w:rsid w:val="00C423C1"/>
    <w:rsid w:val="00C42C4E"/>
    <w:rsid w:val="00C435BB"/>
    <w:rsid w:val="00C45E84"/>
    <w:rsid w:val="00C460AF"/>
    <w:rsid w:val="00C466E1"/>
    <w:rsid w:val="00C506F1"/>
    <w:rsid w:val="00C5077F"/>
    <w:rsid w:val="00C507B0"/>
    <w:rsid w:val="00C50D9B"/>
    <w:rsid w:val="00C5161E"/>
    <w:rsid w:val="00C5232C"/>
    <w:rsid w:val="00C54E31"/>
    <w:rsid w:val="00C55ACD"/>
    <w:rsid w:val="00C55CA5"/>
    <w:rsid w:val="00C56197"/>
    <w:rsid w:val="00C562AD"/>
    <w:rsid w:val="00C56F76"/>
    <w:rsid w:val="00C5767B"/>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0F4A"/>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6CE2"/>
    <w:rsid w:val="00CD703C"/>
    <w:rsid w:val="00CD7DFD"/>
    <w:rsid w:val="00CE2055"/>
    <w:rsid w:val="00CE2F99"/>
    <w:rsid w:val="00CE35C1"/>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3FE6"/>
    <w:rsid w:val="00D15240"/>
    <w:rsid w:val="00D1570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27B22"/>
    <w:rsid w:val="00D30096"/>
    <w:rsid w:val="00D30B98"/>
    <w:rsid w:val="00D30D67"/>
    <w:rsid w:val="00D30F24"/>
    <w:rsid w:val="00D314B0"/>
    <w:rsid w:val="00D32469"/>
    <w:rsid w:val="00D32CFA"/>
    <w:rsid w:val="00D33DC2"/>
    <w:rsid w:val="00D3402B"/>
    <w:rsid w:val="00D3437E"/>
    <w:rsid w:val="00D35B17"/>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247"/>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368"/>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CE0"/>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19A"/>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07A"/>
    <w:rsid w:val="00E97756"/>
    <w:rsid w:val="00E978DC"/>
    <w:rsid w:val="00E9794E"/>
    <w:rsid w:val="00EA017D"/>
    <w:rsid w:val="00EA09CB"/>
    <w:rsid w:val="00EA1BD4"/>
    <w:rsid w:val="00EA2EC1"/>
    <w:rsid w:val="00EA33E8"/>
    <w:rsid w:val="00EA3B22"/>
    <w:rsid w:val="00EA6593"/>
    <w:rsid w:val="00EA68EB"/>
    <w:rsid w:val="00EA6FEE"/>
    <w:rsid w:val="00EA7BA4"/>
    <w:rsid w:val="00EB0376"/>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1C23"/>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39EB"/>
    <w:rsid w:val="00ED4B51"/>
    <w:rsid w:val="00ED52DB"/>
    <w:rsid w:val="00ED595B"/>
    <w:rsid w:val="00ED5AF7"/>
    <w:rsid w:val="00ED5D62"/>
    <w:rsid w:val="00ED6122"/>
    <w:rsid w:val="00ED639D"/>
    <w:rsid w:val="00ED6F1D"/>
    <w:rsid w:val="00ED734C"/>
    <w:rsid w:val="00EE0E59"/>
    <w:rsid w:val="00EE1577"/>
    <w:rsid w:val="00EE26EB"/>
    <w:rsid w:val="00EE30BB"/>
    <w:rsid w:val="00EE358A"/>
    <w:rsid w:val="00EE5311"/>
    <w:rsid w:val="00EE72FA"/>
    <w:rsid w:val="00EE7B60"/>
    <w:rsid w:val="00EE7D74"/>
    <w:rsid w:val="00EF13D8"/>
    <w:rsid w:val="00EF1519"/>
    <w:rsid w:val="00EF2827"/>
    <w:rsid w:val="00EF306A"/>
    <w:rsid w:val="00EF3741"/>
    <w:rsid w:val="00EF378C"/>
    <w:rsid w:val="00EF465B"/>
    <w:rsid w:val="00EF4D53"/>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25D"/>
    <w:rsid w:val="00F146BE"/>
    <w:rsid w:val="00F14904"/>
    <w:rsid w:val="00F15126"/>
    <w:rsid w:val="00F1642C"/>
    <w:rsid w:val="00F16D12"/>
    <w:rsid w:val="00F172FC"/>
    <w:rsid w:val="00F175BA"/>
    <w:rsid w:val="00F17AA5"/>
    <w:rsid w:val="00F2002D"/>
    <w:rsid w:val="00F208BE"/>
    <w:rsid w:val="00F20A35"/>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197"/>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4EA"/>
    <w:rsid w:val="00FA2E4F"/>
    <w:rsid w:val="00FA2FE4"/>
    <w:rsid w:val="00FA3674"/>
    <w:rsid w:val="00FA4DF8"/>
    <w:rsid w:val="00FA54CB"/>
    <w:rsid w:val="00FA6010"/>
    <w:rsid w:val="00FA68D9"/>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1F29"/>
    <w:rsid w:val="00FE3413"/>
    <w:rsid w:val="00FE39A1"/>
    <w:rsid w:val="00FE3E82"/>
    <w:rsid w:val="00FE3FE9"/>
    <w:rsid w:val="00FE478E"/>
    <w:rsid w:val="00FE5DC0"/>
    <w:rsid w:val="00FE651E"/>
    <w:rsid w:val="00FE7D02"/>
    <w:rsid w:val="00FF0330"/>
    <w:rsid w:val="00FF1A9B"/>
    <w:rsid w:val="00FF1D4C"/>
    <w:rsid w:val="00FF274A"/>
    <w:rsid w:val="00FF277E"/>
    <w:rsid w:val="00FF2894"/>
    <w:rsid w:val="00FF2B4B"/>
    <w:rsid w:val="00FF42F7"/>
    <w:rsid w:val="00FF60BF"/>
    <w:rsid w:val="1B441AFC"/>
    <w:rsid w:val="326F1DF0"/>
    <w:rsid w:val="70235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7FBAD"/>
  <w15:docId w15:val="{6755FDEA-9DB8-4BBA-AB30-6601D6AA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qFormat="1"/>
    <w:lsdException w:name="footnote text" w:semiHidden="1" w:qFormat="1"/>
    <w:lsdException w:name="header" w:qFormat="1"/>
    <w:lsdException w:name="footer" w:qFormat="1"/>
    <w:lsdException w:name="index heading" w:semiHidden="1"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semiHidden="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ddress" w:qFormat="1"/>
    <w:lsdException w:name="HTML Preformatted"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qFormat/>
    <w:rPr>
      <w:rFonts w:ascii="Courier New" w:hAnsi="Courier New"/>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nhideWhenUsed/>
    <w:qFormat/>
    <w:pPr>
      <w:overflowPunct/>
      <w:autoSpaceDE/>
      <w:autoSpaceDN/>
      <w:adjustRightInd/>
      <w:spacing w:before="75" w:after="75"/>
      <w:textAlignment w:val="auto"/>
    </w:pPr>
    <w:rPr>
      <w:rFonts w:ascii="Arial" w:hAnsi="Arial" w:cs="Arial"/>
      <w:sz w:val="18"/>
      <w:szCs w:val="18"/>
      <w:lang w:eastAsia="zh-CN"/>
    </w:rPr>
  </w:style>
  <w:style w:type="paragraph" w:styleId="ListContinue3">
    <w:name w:val="List Continue 3"/>
    <w:basedOn w:val="Normal"/>
    <w:qFormat/>
    <w:pPr>
      <w:spacing w:after="120"/>
      <w:ind w:left="849"/>
      <w:contextualSpacing/>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B1">
    <w:name w:val="B1"/>
    <w:basedOn w:val="List"/>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semiHidden/>
    <w:qFormat/>
    <w:rPr>
      <w:rFonts w:ascii="Segoe UI" w:hAnsi="Segoe UI" w:cs="Segoe UI"/>
      <w:sz w:val="18"/>
      <w:szCs w:val="18"/>
    </w:rPr>
  </w:style>
  <w:style w:type="character" w:customStyle="1" w:styleId="B1Char">
    <w:name w:val="B1 Char"/>
    <w:link w:val="B1"/>
    <w:qFormat/>
  </w:style>
  <w:style w:type="character" w:customStyle="1" w:styleId="NOChar">
    <w:name w:val="NO Char"/>
    <w:link w:val="NO"/>
    <w:qFormat/>
  </w:style>
  <w:style w:type="character" w:customStyle="1" w:styleId="TFChar">
    <w:name w:val="TF Char"/>
    <w:link w:val="TF"/>
    <w:qFormat/>
    <w:rPr>
      <w:rFonts w:ascii="Arial" w:hAnsi="Arial"/>
      <w:b/>
    </w:rPr>
  </w:style>
  <w:style w:type="character" w:customStyle="1" w:styleId="B2Char">
    <w:name w:val="B2 Char"/>
    <w:link w:val="B2"/>
    <w:qFormat/>
  </w:style>
  <w:style w:type="character" w:customStyle="1" w:styleId="EditorsNoteChar">
    <w:name w:val="Editor's Note Char"/>
    <w:link w:val="EditorsNote"/>
    <w:qFormat/>
    <w:rPr>
      <w:color w:val="FF0000"/>
    </w:rPr>
  </w:style>
  <w:style w:type="character" w:customStyle="1" w:styleId="B3Char">
    <w:name w:val="B3 Char"/>
    <w:link w:val="B3"/>
    <w:qFormat/>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style>
  <w:style w:type="paragraph" w:customStyle="1" w:styleId="B7">
    <w:name w:val="B7"/>
    <w:basedOn w:val="B6"/>
    <w:qFormat/>
    <w:pPr>
      <w:ind w:left="2269"/>
    </w:pPr>
  </w:style>
  <w:style w:type="paragraph" w:customStyle="1" w:styleId="B6">
    <w:name w:val="B6"/>
    <w:basedOn w:val="B5"/>
    <w:link w:val="B6Char"/>
    <w:qFormat/>
    <w:pPr>
      <w:ind w:left="1985"/>
    </w:pPr>
  </w:style>
  <w:style w:type="paragraph" w:customStyle="1" w:styleId="b10">
    <w:name w:val="b1"/>
    <w:basedOn w:val="Normal"/>
    <w:qFormat/>
    <w:pPr>
      <w:overflowPunct/>
      <w:autoSpaceDE/>
      <w:autoSpaceDN/>
      <w:adjustRightInd/>
      <w:ind w:left="568" w:hanging="284"/>
      <w:textAlignment w:val="auto"/>
    </w:pPr>
    <w:rPr>
      <w:rFonts w:eastAsia="PMingLiU"/>
      <w:lang w:eastAsia="zh-TW"/>
    </w:rPr>
  </w:style>
  <w:style w:type="character" w:customStyle="1" w:styleId="THChar">
    <w:name w:val="TH Char"/>
    <w:link w:val="TH"/>
    <w:qFormat/>
    <w:rPr>
      <w:rFonts w:ascii="Arial" w:hAnsi="Arial"/>
      <w:b/>
    </w:rPr>
  </w:style>
  <w:style w:type="character" w:customStyle="1" w:styleId="TACChar">
    <w:name w:val="TAC Char"/>
    <w:link w:val="TAC"/>
    <w:qFormat/>
    <w:rPr>
      <w:rFonts w:ascii="Arial" w:hAnsi="Arial"/>
      <w:sz w:val="18"/>
    </w:rPr>
  </w:style>
  <w:style w:type="character" w:customStyle="1" w:styleId="TAHCar">
    <w:name w:val="TAH Car"/>
    <w:link w:val="TAH"/>
    <w:qFormat/>
    <w:rPr>
      <w:rFonts w:ascii="Arial" w:hAnsi="Arial"/>
      <w:b/>
      <w:sz w:val="18"/>
    </w:rPr>
  </w:style>
  <w:style w:type="paragraph" w:customStyle="1" w:styleId="Revision1">
    <w:name w:val="Revision1"/>
    <w:hidden/>
    <w:uiPriority w:val="99"/>
    <w:semiHidden/>
    <w:qFormat/>
    <w:rPr>
      <w:lang w:eastAsia="ko-KR"/>
    </w:rPr>
  </w:style>
  <w:style w:type="character" w:customStyle="1" w:styleId="TALCar">
    <w:name w:val="TAL Car"/>
    <w:link w:val="TAL"/>
    <w:qFormat/>
    <w:rPr>
      <w:rFonts w:ascii="Arial" w:hAnsi="Arial"/>
      <w:sz w:val="18"/>
    </w:rPr>
  </w:style>
  <w:style w:type="character" w:customStyle="1" w:styleId="B4Char">
    <w:name w:val="B4 Char"/>
    <w:link w:val="B4"/>
    <w:qFormat/>
  </w:style>
  <w:style w:type="character" w:customStyle="1" w:styleId="B6Char">
    <w:name w:val="B6 Char"/>
    <w:link w:val="B6"/>
    <w:qFormat/>
  </w:style>
  <w:style w:type="character" w:customStyle="1" w:styleId="EXChar">
    <w:name w:val="EX Char"/>
    <w:link w:val="EX"/>
    <w:qFormat/>
    <w:locked/>
  </w:style>
  <w:style w:type="character" w:customStyle="1" w:styleId="PLChar">
    <w:name w:val="PL Char"/>
    <w:link w:val="PL"/>
    <w:qFormat/>
    <w:rPr>
      <w:rFonts w:ascii="Courier New" w:hAnsi="Courier New"/>
      <w:sz w:val="16"/>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2Char">
    <w:name w:val="Heading 2 Char"/>
    <w:basedOn w:val="DefaultParagraphFont"/>
    <w:link w:val="Heading2"/>
    <w:qFormat/>
    <w:rPr>
      <w:rFonts w:ascii="Arial" w:hAnsi="Arial"/>
      <w:sz w:val="32"/>
    </w:rPr>
  </w:style>
  <w:style w:type="paragraph" w:styleId="ListParagraph">
    <w:name w:val="List Paragraph"/>
    <w:basedOn w:val="Normal"/>
    <w:uiPriority w:val="34"/>
    <w:qFormat/>
    <w:pPr>
      <w:ind w:left="720"/>
      <w:contextualSpacing/>
    </w:pPr>
  </w:style>
  <w:style w:type="paragraph" w:customStyle="1" w:styleId="EditorsNoteENAuto">
    <w:name w:val="Editor's NoteEN + Auto"/>
    <w:basedOn w:val="EditorsNote"/>
    <w:qFormat/>
  </w:style>
  <w:style w:type="character" w:customStyle="1" w:styleId="B1Char1">
    <w:name w:val="B1 Char1"/>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rPr>
      <w:rFonts w:ascii="Times New Roman" w:eastAsia="Times New Roman" w:hAnsi="Times New Roman"/>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style>
  <w:style w:type="character" w:customStyle="1" w:styleId="BodyText2Char">
    <w:name w:val="Body Text 2 Char"/>
    <w:basedOn w:val="DefaultParagraphFont"/>
    <w:link w:val="BodyText2"/>
    <w:qFormat/>
  </w:style>
  <w:style w:type="character" w:customStyle="1" w:styleId="BodyText3Char">
    <w:name w:val="Body Text 3 Char"/>
    <w:basedOn w:val="DefaultParagraphFont"/>
    <w:link w:val="BodyText3"/>
    <w:qFormat/>
    <w:rPr>
      <w:sz w:val="16"/>
      <w:szCs w:val="16"/>
    </w:rPr>
  </w:style>
  <w:style w:type="character" w:customStyle="1" w:styleId="BodyTextFirstIndentChar">
    <w:name w:val="Body Text First Indent Char"/>
    <w:basedOn w:val="BodyTextChar"/>
    <w:link w:val="BodyTextFirstIndent"/>
  </w:style>
  <w:style w:type="character" w:customStyle="1" w:styleId="BodyTextIndentChar">
    <w:name w:val="Body Text Indent Char"/>
    <w:basedOn w:val="DefaultParagraphFont"/>
    <w:link w:val="BodyTextIndent"/>
    <w:qFormat/>
  </w:style>
  <w:style w:type="character" w:customStyle="1" w:styleId="BodyTextFirstIndent2Char">
    <w:name w:val="Body Text First Indent 2 Char"/>
    <w:basedOn w:val="BodyTextIndentChar"/>
    <w:link w:val="BodyTextFirstIndent2"/>
    <w:qFormat/>
  </w:style>
  <w:style w:type="character" w:customStyle="1" w:styleId="BodyTextIndent2Char">
    <w:name w:val="Body Text Indent 2 Char"/>
    <w:basedOn w:val="DefaultParagraphFont"/>
    <w:link w:val="BodyTextIndent2"/>
    <w:qFormat/>
  </w:style>
  <w:style w:type="character" w:customStyle="1" w:styleId="BodyTextIndent3Char">
    <w:name w:val="Body Text Indent 3 Char"/>
    <w:basedOn w:val="DefaultParagraphFont"/>
    <w:link w:val="BodyTextIndent3"/>
    <w:rPr>
      <w:sz w:val="16"/>
      <w:szCs w:val="16"/>
    </w:rPr>
  </w:style>
  <w:style w:type="character" w:customStyle="1" w:styleId="ClosingChar">
    <w:name w:val="Closing Char"/>
    <w:basedOn w:val="DefaultParagraphFont"/>
    <w:link w:val="Closing"/>
    <w:qFormat/>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DateChar">
    <w:name w:val="Date Char"/>
    <w:basedOn w:val="DefaultParagraphFont"/>
    <w:link w:val="Date"/>
    <w:qFormat/>
  </w:style>
  <w:style w:type="character" w:customStyle="1" w:styleId="EmailSignatureChar">
    <w:name w:val="Email Signature Char"/>
    <w:basedOn w:val="DefaultParagraphFont"/>
    <w:link w:val="EmailSignature"/>
    <w:qFormat/>
  </w:style>
  <w:style w:type="character" w:customStyle="1" w:styleId="EndnoteTextChar">
    <w:name w:val="Endnote Text Char"/>
    <w:basedOn w:val="DefaultParagraphFont"/>
    <w:link w:val="EndnoteText"/>
    <w:qFormat/>
  </w:style>
  <w:style w:type="character" w:customStyle="1" w:styleId="HTMLAddressChar">
    <w:name w:val="HTML Address Char"/>
    <w:basedOn w:val="DefaultParagraphFont"/>
    <w:link w:val="HTMLAddress"/>
    <w:qFormat/>
    <w:rPr>
      <w:i/>
      <w:iCs/>
    </w:rPr>
  </w:style>
  <w:style w:type="character" w:customStyle="1" w:styleId="HTMLPreformattedChar">
    <w:name w:val="HTML Preformatted Char"/>
    <w:basedOn w:val="DefaultParagraphFont"/>
    <w:link w:val="HTMLPreformatted"/>
    <w:qFormat/>
    <w:rPr>
      <w:rFonts w:ascii="Consolas"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rPr>
  </w:style>
  <w:style w:type="character" w:customStyle="1" w:styleId="MacroTextChar">
    <w:name w:val="Macro Text Char"/>
    <w:basedOn w:val="DefaultParagraphFont"/>
    <w:link w:val="MacroText"/>
    <w:rPr>
      <w:rFonts w:ascii="Consolas" w:hAnsi="Consola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lang w:eastAsia="ja-JP"/>
    </w:rPr>
  </w:style>
  <w:style w:type="character" w:customStyle="1" w:styleId="NoteHeadingChar">
    <w:name w:val="Note Heading Char"/>
    <w:basedOn w:val="DefaultParagraphFont"/>
    <w:link w:val="NoteHeading"/>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SalutationChar">
    <w:name w:val="Salutation Char"/>
    <w:basedOn w:val="DefaultParagraphFont"/>
    <w:link w:val="Salutation"/>
    <w:qFormat/>
  </w:style>
  <w:style w:type="character" w:customStyle="1" w:styleId="SignatureChar">
    <w:name w:val="Signature Char"/>
    <w:basedOn w:val="DefaultParagraphFont"/>
    <w:link w:val="Signature"/>
    <w:qFormat/>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D90247"/>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7431A-55B3-4530-B033-8F6D1F340DB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19</TotalTime>
  <Pages>15</Pages>
  <Words>6256</Words>
  <Characters>35664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41837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Toyota ITC</cp:lastModifiedBy>
  <cp:revision>3</cp:revision>
  <cp:lastPrinted>2010-06-10T12:19:00Z</cp:lastPrinted>
  <dcterms:created xsi:type="dcterms:W3CDTF">2025-09-05T12:15:00Z</dcterms:created>
  <dcterms:modified xsi:type="dcterms:W3CDTF">2025-09-05T12:34:00Z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2052-11.8.2.12085</vt:lpwstr>
  </property>
  <property fmtid="{D5CDD505-2E9C-101B-9397-08002B2CF9AE}" pid="4" name="ICV">
    <vt:lpwstr>0D947E390B1F420CA3A8CB90FD35597C</vt:lpwstr>
  </property>
</Properties>
</file>