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</w:t>
      </w:r>
      <w:proofErr w:type="gramStart"/>
      <w:r>
        <w:rPr>
          <w:lang w:val="en-US"/>
        </w:rPr>
        <w:t>CR[</w:t>
      </w:r>
      <w:proofErr w:type="gramEnd"/>
      <w:r>
        <w:rPr>
          <w:lang w:val="en-US"/>
        </w:rPr>
        <w:t xml:space="preserve">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proofErr w:type="spellStart"/>
      <w:r>
        <w:rPr>
          <w:lang w:val="en-US"/>
        </w:rPr>
        <w:t>Discusson</w:t>
      </w:r>
      <w:proofErr w:type="spellEnd"/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</w:t>
      </w:r>
      <w:proofErr w:type="spellStart"/>
      <w:r>
        <w:rPr>
          <w:lang w:val="en-US"/>
        </w:rPr>
        <w:t>disuccsion</w:t>
      </w:r>
      <w:proofErr w:type="spellEnd"/>
      <w:r>
        <w:rPr>
          <w:lang w:val="en-US"/>
        </w:rPr>
        <w:t xml:space="preserve">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/>
              </w:rPr>
              <w:t>to prioritize</w:t>
            </w:r>
            <w:proofErr w:type="gramEnd"/>
            <w:r>
              <w:rPr>
                <w:rFonts w:eastAsiaTheme="minorEastAsia"/>
                <w:lang w:val="en-US"/>
              </w:rPr>
              <w:t xml:space="preserve">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</w:t>
            </w:r>
            <w:proofErr w:type="gramStart"/>
            <w:r w:rsidR="00366DDE">
              <w:rPr>
                <w:rFonts w:eastAsiaTheme="minorEastAsia"/>
                <w:lang w:val="en-US"/>
              </w:rPr>
              <w:t>Its</w:t>
            </w:r>
            <w:proofErr w:type="gramEnd"/>
            <w:r w:rsidR="00366DDE">
              <w:rPr>
                <w:rFonts w:eastAsiaTheme="minorEastAsia"/>
                <w:lang w:val="en-US"/>
              </w:rPr>
              <w:t xml:space="preserve">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GNSS Validity Duration </w:t>
            </w:r>
            <w:proofErr w:type="gramStart"/>
            <w:r w:rsidRPr="00D92410">
              <w:t>Report;</w:t>
            </w:r>
            <w:proofErr w:type="gramEnd"/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DCQR and AS RAI, when DCQR is to be included in </w:t>
            </w:r>
            <w:proofErr w:type="gramStart"/>
            <w:r w:rsidRPr="00D92410">
              <w:t>Msg3;</w:t>
            </w:r>
            <w:proofErr w:type="gramEnd"/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Recommended bit rate </w:t>
            </w:r>
            <w:proofErr w:type="gramStart"/>
            <w:r w:rsidRPr="00D92410">
              <w:t>query;</w:t>
            </w:r>
            <w:proofErr w:type="gramEnd"/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2BAB076C" w:rsidR="00365433" w:rsidRPr="00C725D3" w:rsidRDefault="00365433" w:rsidP="00597212">
            <w:pPr>
              <w:rPr>
                <w:rFonts w:eastAsiaTheme="minorEastAsia"/>
                <w:lang w:val="en-US"/>
              </w:rPr>
            </w:pPr>
          </w:p>
        </w:tc>
      </w:tr>
      <w:tr w:rsidR="00782C86" w:rsidRPr="00C725D3" w14:paraId="101F2E47" w14:textId="77777777" w:rsidTr="00595814">
        <w:tc>
          <w:tcPr>
            <w:tcW w:w="1357" w:type="dxa"/>
          </w:tcPr>
          <w:p w14:paraId="5F8DFD73" w14:textId="4A3B65D0" w:rsidR="00782C86" w:rsidRPr="00C725D3" w:rsidRDefault="00782C86" w:rsidP="00782C86">
            <w:pPr>
              <w:jc w:val="center"/>
              <w:rPr>
                <w:lang w:val="en-US" w:eastAsia="sv-SE"/>
              </w:rPr>
            </w:pPr>
            <w:r w:rsidRPr="004116E6">
              <w:lastRenderedPageBreak/>
              <w:t xml:space="preserve">NEC </w:t>
            </w:r>
          </w:p>
        </w:tc>
        <w:tc>
          <w:tcPr>
            <w:tcW w:w="3903" w:type="dxa"/>
          </w:tcPr>
          <w:p w14:paraId="4B531DD4" w14:textId="2BF6CEA6" w:rsidR="00782C86" w:rsidRPr="001061CB" w:rsidRDefault="00782C86" w:rsidP="00782C86">
            <w:pPr>
              <w:rPr>
                <w:rFonts w:eastAsiaTheme="minorEastAsia"/>
                <w:lang w:val="en-US"/>
              </w:rPr>
            </w:pPr>
            <w:r w:rsidRPr="004116E6">
              <w:t>Backoff parameter values</w:t>
            </w:r>
            <w:r w:rsidR="00EA393F">
              <w:rPr>
                <w:rFonts w:eastAsiaTheme="minorEastAsia" w:hint="eastAsia"/>
              </w:rPr>
              <w:t xml:space="preserve"> are defined</w:t>
            </w:r>
            <w:r w:rsidRPr="004116E6">
              <w:t xml:space="preserve"> in milliseconds </w:t>
            </w:r>
            <w:r w:rsidR="00EA393F">
              <w:rPr>
                <w:rFonts w:eastAsiaTheme="minorEastAsia" w:hint="eastAsia"/>
              </w:rPr>
              <w:t>(refer to</w:t>
            </w:r>
            <w:r w:rsidRPr="004116E6">
              <w:t xml:space="preserve"> tables 7.2-1 and 7.2-2 for non-NB-IOT and NB-IO</w:t>
            </w:r>
            <w:r w:rsidR="00EA393F">
              <w:rPr>
                <w:rFonts w:eastAsiaTheme="minorEastAsia" w:hint="eastAsia"/>
              </w:rPr>
              <w:t>T)</w:t>
            </w:r>
            <w:r w:rsidRPr="004116E6">
              <w:t xml:space="preserve"> before CB-EDT was introduced. We suggest reviewing these values/units for CB-EDT. When cb-Msg3-TxWindow is configured, the UE selects the next CB-Msg3 window and randomly chooses PUSCH resources within it for msg3 transmission. Therefore, having two BI values within the same Tx window periodicity does not create a distinction. We should evaluate whether a new table with window periodicity as the unit is needed for CB-EDT.</w:t>
            </w:r>
          </w:p>
        </w:tc>
        <w:tc>
          <w:tcPr>
            <w:tcW w:w="4369" w:type="dxa"/>
          </w:tcPr>
          <w:p w14:paraId="04C52FFF" w14:textId="11C25892" w:rsidR="00782C86" w:rsidRDefault="00782C86" w:rsidP="00782C86">
            <w:pPr>
              <w:rPr>
                <w:rFonts w:eastAsiaTheme="minorEastAsia"/>
              </w:rPr>
            </w:pPr>
            <w:r w:rsidRPr="004116E6">
              <w:t xml:space="preserve">We propose to </w:t>
            </w:r>
            <w:r w:rsidR="00762C6B">
              <w:rPr>
                <w:rFonts w:eastAsiaTheme="minorEastAsia" w:hint="eastAsia"/>
              </w:rPr>
              <w:t>use</w:t>
            </w:r>
            <w:r w:rsidRPr="004116E6">
              <w:t xml:space="preserve"> CB-Msg3 TX window periodicity as the unit </w:t>
            </w:r>
            <w:r w:rsidR="00532F4D">
              <w:rPr>
                <w:rFonts w:eastAsiaTheme="minorEastAsia" w:hint="eastAsia"/>
              </w:rPr>
              <w:t>for backoff parameter</w:t>
            </w:r>
            <w:r w:rsidR="00762C6B">
              <w:rPr>
                <w:rFonts w:eastAsiaTheme="minorEastAsia" w:hint="eastAsia"/>
              </w:rPr>
              <w:t>.</w:t>
            </w:r>
          </w:p>
          <w:p w14:paraId="0E73EB86" w14:textId="1ADC4B88" w:rsidR="00762C6B" w:rsidRPr="00762C6B" w:rsidRDefault="00762C6B" w:rsidP="00782C86">
            <w:pPr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ince it has not been discussed before, good to collect views from other companies too</w:t>
            </w: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4D91D675" w:rsidR="00365433" w:rsidRPr="00C725D3" w:rsidRDefault="00135C23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NEC</w:t>
            </w:r>
          </w:p>
        </w:tc>
        <w:tc>
          <w:tcPr>
            <w:tcW w:w="3903" w:type="dxa"/>
          </w:tcPr>
          <w:p w14:paraId="40282FB6" w14:textId="683C5617" w:rsidR="00365433" w:rsidRPr="00762C6B" w:rsidRDefault="00762C6B" w:rsidP="00A20C5C">
            <w:pPr>
              <w:rPr>
                <w:rFonts w:eastAsiaTheme="minorEastAsia"/>
                <w:lang w:val="en-US"/>
              </w:rPr>
            </w:pPr>
            <w:r w:rsidRPr="00762C6B">
              <w:rPr>
                <w:rFonts w:eastAsiaTheme="minorEastAsia"/>
                <w:lang w:val="en-US"/>
              </w:rPr>
              <w:t>Before the CB-Msg3 transmission, the UE shall select the next upcoming CB-Msg3 transmission window, which can incur larger latency for CB-EDT procedure. Taking NB-IoT as an example, if the DSA window is configured as n512, the next DSA window may arrive after a maximum time of 5210ms, i.e., the UE performs CB-Msg3 Transmission after a very long time. For this case, we should consider a solution to reduce the latency.</w:t>
            </w:r>
          </w:p>
        </w:tc>
        <w:tc>
          <w:tcPr>
            <w:tcW w:w="4369" w:type="dxa"/>
            <w:vAlign w:val="center"/>
          </w:tcPr>
          <w:p w14:paraId="5CAA02A5" w14:textId="31B9DC29" w:rsidR="00365433" w:rsidRPr="00A116A0" w:rsidRDefault="00714BB7" w:rsidP="00A20C5C">
            <w:pPr>
              <w:rPr>
                <w:rFonts w:eastAsiaTheme="minorEastAsia" w:hint="eastAsia"/>
                <w:color w:val="0070C0"/>
              </w:rPr>
            </w:pPr>
            <w:r w:rsidRPr="00714BB7">
              <w:rPr>
                <w:rFonts w:eastAsiaTheme="minorEastAsia"/>
              </w:rPr>
              <w:t>We propose to select multiple replica occasions firstly. If the selected first occasion</w:t>
            </w:r>
            <w:r>
              <w:rPr>
                <w:rFonts w:eastAsiaTheme="minorEastAsia" w:hint="eastAsia"/>
              </w:rPr>
              <w:t xml:space="preserve"> </w:t>
            </w:r>
            <w:r w:rsidR="000A11D0">
              <w:rPr>
                <w:rFonts w:eastAsiaTheme="minorEastAsia" w:hint="eastAsia"/>
              </w:rPr>
              <w:t xml:space="preserve">corresponding </w:t>
            </w:r>
            <w:r w:rsidR="00710464" w:rsidRPr="000F4E56">
              <w:rPr>
                <w:rFonts w:eastAsiaTheme="minorEastAsia" w:hint="eastAsia"/>
              </w:rPr>
              <w:t xml:space="preserve">to </w:t>
            </w:r>
            <w:r w:rsidR="000A11D0" w:rsidRPr="000F4E56">
              <w:rPr>
                <w:rFonts w:eastAsiaTheme="minorEastAsia" w:hint="eastAsia"/>
              </w:rPr>
              <w:t xml:space="preserve">current </w:t>
            </w:r>
            <w:r w:rsidR="000A11D0" w:rsidRPr="000F4E56">
              <w:rPr>
                <w:rFonts w:eastAsiaTheme="minorEastAsia"/>
              </w:rPr>
              <w:t>window</w:t>
            </w:r>
            <w:r w:rsidRPr="000F4E56">
              <w:rPr>
                <w:rFonts w:eastAsiaTheme="minorEastAsia"/>
              </w:rPr>
              <w:t xml:space="preserve"> is </w:t>
            </w:r>
            <w:r w:rsidR="0017558D" w:rsidRPr="000F4E56">
              <w:rPr>
                <w:rFonts w:eastAsiaTheme="minorEastAsia" w:hint="eastAsia"/>
              </w:rPr>
              <w:t>in future (not in past)</w:t>
            </w:r>
            <w:r w:rsidRPr="000F4E56">
              <w:rPr>
                <w:rFonts w:eastAsiaTheme="minorEastAsia"/>
              </w:rPr>
              <w:t>,</w:t>
            </w:r>
            <w:r w:rsidRPr="00714BB7">
              <w:rPr>
                <w:rFonts w:eastAsiaTheme="minorEastAsia"/>
              </w:rPr>
              <w:t xml:space="preserve"> the current DSA window is selected. otherwise, the next DSA window is selected.</w:t>
            </w: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24C32A80" w:rsidR="00365433" w:rsidRPr="00C725D3" w:rsidRDefault="00365433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3903" w:type="dxa"/>
          </w:tcPr>
          <w:p w14:paraId="06880ABC" w14:textId="77777777" w:rsidR="00365433" w:rsidRPr="00C725D3" w:rsidRDefault="00365433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2064F2D9" w14:textId="60BB2505" w:rsidR="00365433" w:rsidRPr="00C725D3" w:rsidRDefault="00365433" w:rsidP="00487031">
            <w:pPr>
              <w:rPr>
                <w:lang w:val="en-US" w:eastAsia="sv-SE"/>
              </w:rPr>
            </w:pP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77777777" w:rsidR="00365433" w:rsidRPr="00C725D3" w:rsidRDefault="00365433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3903" w:type="dxa"/>
          </w:tcPr>
          <w:p w14:paraId="10215CAD" w14:textId="77777777" w:rsidR="00365433" w:rsidRPr="00C725D3" w:rsidRDefault="00365433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479A98BB" w14:textId="2C108093" w:rsidR="00365433" w:rsidRPr="00C725D3" w:rsidRDefault="00365433" w:rsidP="00487031">
            <w:pPr>
              <w:rPr>
                <w:lang w:val="en-US" w:eastAsia="sv-SE"/>
              </w:rPr>
            </w:pP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0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0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1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2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2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p w14:paraId="64CAED81" w14:textId="30B055E0" w:rsidR="00B30EE6" w:rsidRDefault="00B30EE6" w:rsidP="00B30EE6">
      <w:pPr>
        <w:spacing w:after="0"/>
        <w:rPr>
          <w:rFonts w:cs="Arial"/>
          <w:lang w:eastAsia="sv-SE"/>
        </w:rPr>
      </w:pPr>
      <w:r>
        <w:rPr>
          <w:rFonts w:cs="Arial"/>
          <w:lang w:eastAsia="sv-SE"/>
        </w:rPr>
        <w:t>[</w:t>
      </w:r>
      <w:r w:rsidRPr="00B30EE6">
        <w:rPr>
          <w:rFonts w:cs="Arial"/>
          <w:highlight w:val="cyan"/>
          <w:lang w:eastAsia="sv-SE"/>
        </w:rPr>
        <w:t>Proposal for open issue</w:t>
      </w:r>
      <w:r>
        <w:rPr>
          <w:rFonts w:cs="Arial"/>
          <w:lang w:eastAsia="sv-SE"/>
        </w:rPr>
        <w:t>]</w:t>
      </w:r>
    </w:p>
    <w:p w14:paraId="65785D0E" w14:textId="77777777" w:rsidR="00365433" w:rsidRDefault="00365433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1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E3BC" w14:textId="77777777" w:rsidR="00A37FF4" w:rsidRDefault="00A37FF4">
      <w:pPr>
        <w:spacing w:after="0"/>
      </w:pPr>
      <w:r>
        <w:separator/>
      </w:r>
    </w:p>
  </w:endnote>
  <w:endnote w:type="continuationSeparator" w:id="0">
    <w:p w14:paraId="750DF4C9" w14:textId="77777777" w:rsidR="00A37FF4" w:rsidRDefault="00A37FF4">
      <w:pPr>
        <w:spacing w:after="0"/>
      </w:pPr>
      <w:r>
        <w:continuationSeparator/>
      </w:r>
    </w:p>
  </w:endnote>
  <w:endnote w:type="continuationNotice" w:id="1">
    <w:p w14:paraId="1F13AEAB" w14:textId="77777777" w:rsidR="00A37FF4" w:rsidRDefault="00A37F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685FCE07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0C5C">
      <w:rPr>
        <w:rStyle w:val="PageNumber"/>
      </w:rPr>
      <w:t>14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20C5C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16FD" w14:textId="77777777" w:rsidR="00A37FF4" w:rsidRDefault="00A37FF4">
      <w:pPr>
        <w:spacing w:after="0"/>
      </w:pPr>
      <w:r>
        <w:separator/>
      </w:r>
    </w:p>
  </w:footnote>
  <w:footnote w:type="continuationSeparator" w:id="0">
    <w:p w14:paraId="200267F0" w14:textId="77777777" w:rsidR="00A37FF4" w:rsidRDefault="00A37FF4">
      <w:pPr>
        <w:spacing w:after="0"/>
      </w:pPr>
      <w:r>
        <w:continuationSeparator/>
      </w:r>
    </w:p>
  </w:footnote>
  <w:footnote w:type="continuationNotice" w:id="1">
    <w:p w14:paraId="794DE646" w14:textId="77777777" w:rsidR="00A37FF4" w:rsidRDefault="00A37F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780">
    <w:abstractNumId w:val="0"/>
  </w:num>
  <w:num w:numId="2" w16cid:durableId="1177306740">
    <w:abstractNumId w:val="11"/>
  </w:num>
  <w:num w:numId="3" w16cid:durableId="611864438">
    <w:abstractNumId w:val="12"/>
  </w:num>
  <w:num w:numId="4" w16cid:durableId="1201236331">
    <w:abstractNumId w:val="5"/>
  </w:num>
  <w:num w:numId="5" w16cid:durableId="991451114">
    <w:abstractNumId w:val="3"/>
  </w:num>
  <w:num w:numId="6" w16cid:durableId="1371690008">
    <w:abstractNumId w:val="9"/>
  </w:num>
  <w:num w:numId="7" w16cid:durableId="895513874">
    <w:abstractNumId w:val="7"/>
  </w:num>
  <w:num w:numId="8" w16cid:durableId="140217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1172943">
    <w:abstractNumId w:val="12"/>
  </w:num>
  <w:num w:numId="10" w16cid:durableId="1437561343">
    <w:abstractNumId w:val="15"/>
  </w:num>
  <w:num w:numId="11" w16cid:durableId="1613125213">
    <w:abstractNumId w:val="20"/>
  </w:num>
  <w:num w:numId="12" w16cid:durableId="1491360530">
    <w:abstractNumId w:val="18"/>
  </w:num>
  <w:num w:numId="13" w16cid:durableId="1716392931">
    <w:abstractNumId w:val="20"/>
  </w:num>
  <w:num w:numId="14" w16cid:durableId="1206529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9834048">
    <w:abstractNumId w:val="20"/>
  </w:num>
  <w:num w:numId="16" w16cid:durableId="1322268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7877036">
    <w:abstractNumId w:val="2"/>
  </w:num>
  <w:num w:numId="18" w16cid:durableId="40136683">
    <w:abstractNumId w:val="2"/>
  </w:num>
  <w:num w:numId="19" w16cid:durableId="1491676477">
    <w:abstractNumId w:val="2"/>
  </w:num>
  <w:num w:numId="20" w16cid:durableId="1425956712">
    <w:abstractNumId w:val="12"/>
  </w:num>
  <w:num w:numId="21" w16cid:durableId="1596131238">
    <w:abstractNumId w:val="2"/>
  </w:num>
  <w:num w:numId="22" w16cid:durableId="1940597798">
    <w:abstractNumId w:val="4"/>
  </w:num>
  <w:num w:numId="23" w16cid:durableId="173813681">
    <w:abstractNumId w:val="21"/>
  </w:num>
  <w:num w:numId="24" w16cid:durableId="138619265">
    <w:abstractNumId w:val="19"/>
  </w:num>
  <w:num w:numId="25" w16cid:durableId="1449811909">
    <w:abstractNumId w:val="1"/>
  </w:num>
  <w:num w:numId="26" w16cid:durableId="1748527362">
    <w:abstractNumId w:val="6"/>
  </w:num>
  <w:num w:numId="27" w16cid:durableId="1006787041">
    <w:abstractNumId w:val="13"/>
  </w:num>
  <w:num w:numId="28" w16cid:durableId="1465392952">
    <w:abstractNumId w:val="16"/>
  </w:num>
  <w:num w:numId="29" w16cid:durableId="1191576655">
    <w:abstractNumId w:val="16"/>
  </w:num>
  <w:num w:numId="30" w16cid:durableId="1529827550">
    <w:abstractNumId w:val="14"/>
  </w:num>
  <w:num w:numId="31" w16cid:durableId="2009945072">
    <w:abstractNumId w:val="8"/>
  </w:num>
  <w:num w:numId="32" w16cid:durableId="205699928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11D0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4E56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61CB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5C23"/>
    <w:rsid w:val="001363F9"/>
    <w:rsid w:val="00136B4E"/>
    <w:rsid w:val="00137BC4"/>
    <w:rsid w:val="001415EA"/>
    <w:rsid w:val="00141CC9"/>
    <w:rsid w:val="00143787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58D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2F4D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5FFD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2D62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5C8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D68"/>
    <w:rsid w:val="006B23AC"/>
    <w:rsid w:val="006B2CFE"/>
    <w:rsid w:val="006B3075"/>
    <w:rsid w:val="006B39C3"/>
    <w:rsid w:val="006B4289"/>
    <w:rsid w:val="006B4D68"/>
    <w:rsid w:val="006B61C5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1FF8"/>
    <w:rsid w:val="006E2D2E"/>
    <w:rsid w:val="006E30DB"/>
    <w:rsid w:val="006E37B0"/>
    <w:rsid w:val="006E37E0"/>
    <w:rsid w:val="006E5695"/>
    <w:rsid w:val="006E6E7A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64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4BB7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2C6B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2C86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4F9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6A0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37FF4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2CC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02D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96BCD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D0068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0C5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393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D4B0FB96-4FD0-488F-BF15-16C85C483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Yuhua Chen</cp:lastModifiedBy>
  <cp:revision>35</cp:revision>
  <dcterms:created xsi:type="dcterms:W3CDTF">2025-09-16T07:26:00Z</dcterms:created>
  <dcterms:modified xsi:type="dcterms:W3CDTF">2025-09-24T11:00:00Z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MSIP_Label_278005ce-31f4-4f90-bc26-ec23758efcb0_Enabled">
    <vt:lpwstr>true</vt:lpwstr>
  </property>
  <property fmtid="{D5CDD505-2E9C-101B-9397-08002B2CF9AE}" pid="17" name="MSIP_Label_278005ce-31f4-4f90-bc26-ec23758efcb0_SetDate">
    <vt:lpwstr>2025-09-19T10:11:51Z</vt:lpwstr>
  </property>
  <property fmtid="{D5CDD505-2E9C-101B-9397-08002B2CF9AE}" pid="18" name="MSIP_Label_278005ce-31f4-4f90-bc26-ec23758efcb0_Method">
    <vt:lpwstr>Standard</vt:lpwstr>
  </property>
  <property fmtid="{D5CDD505-2E9C-101B-9397-08002B2CF9AE}" pid="19" name="MSIP_Label_278005ce-31f4-4f90-bc26-ec23758efcb0_Name">
    <vt:lpwstr>General</vt:lpwstr>
  </property>
  <property fmtid="{D5CDD505-2E9C-101B-9397-08002B2CF9AE}" pid="20" name="MSIP_Label_278005ce-31f4-4f90-bc26-ec23758efcb0_SiteId">
    <vt:lpwstr>6d49d47f-3280-4627-8c09-4450bafd1a23</vt:lpwstr>
  </property>
  <property fmtid="{D5CDD505-2E9C-101B-9397-08002B2CF9AE}" pid="21" name="MSIP_Label_278005ce-31f4-4f90-bc26-ec23758efcb0_ActionId">
    <vt:lpwstr>98fde335-7c51-4bff-8587-0f712616712e</vt:lpwstr>
  </property>
  <property fmtid="{D5CDD505-2E9C-101B-9397-08002B2CF9AE}" pid="22" name="MSIP_Label_278005ce-31f4-4f90-bc26-ec23758efcb0_ContentBits">
    <vt:lpwstr>0</vt:lpwstr>
  </property>
  <property fmtid="{D5CDD505-2E9C-101B-9397-08002B2CF9AE}" pid="23" name="MSIP_Label_278005ce-31f4-4f90-bc26-ec23758efcb0_Tag">
    <vt:lpwstr>10, 3, 0, 1</vt:lpwstr>
  </property>
</Properties>
</file>