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 xml:space="preserve">Huawei, </w:t>
      </w:r>
      <w:proofErr w:type="spellStart"/>
      <w:r w:rsidR="00E60B37" w:rsidRPr="00E60B37">
        <w:rPr>
          <w:sz w:val="22"/>
          <w:szCs w:val="22"/>
          <w:lang w:val="en-US"/>
        </w:rPr>
        <w:t>HiSilicon</w:t>
      </w:r>
      <w:proofErr w:type="spellEnd"/>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 xml:space="preserve">for NES </w:t>
      </w:r>
      <w:proofErr w:type="spellStart"/>
      <w:r w:rsidR="003A395C" w:rsidRPr="003A395C">
        <w:rPr>
          <w:sz w:val="22"/>
          <w:szCs w:val="22"/>
        </w:rPr>
        <w:t>enh</w:t>
      </w:r>
      <w:proofErr w:type="spellEnd"/>
      <w:r w:rsidR="003A395C" w:rsidRPr="003A395C">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a9"/>
        <w:numPr>
          <w:ilvl w:val="0"/>
          <w:numId w:val="9"/>
        </w:numPr>
        <w:rPr>
          <w:lang w:eastAsia="sv-SE"/>
        </w:rPr>
      </w:pPr>
      <w:r>
        <w:rPr>
          <w:lang w:eastAsia="sv-SE"/>
        </w:rPr>
        <w:t xml:space="preserve">Normative text as </w:t>
      </w:r>
      <w:proofErr w:type="gramStart"/>
      <w:r>
        <w:rPr>
          <w:lang w:eastAsia="sv-SE"/>
        </w:rPr>
        <w:t>e.g.</w:t>
      </w:r>
      <w:proofErr w:type="gramEnd"/>
      <w:r>
        <w:rPr>
          <w:lang w:eastAsia="sv-SE"/>
        </w:rPr>
        <w:t xml:space="preserve"> provided by </w:t>
      </w:r>
      <w:proofErr w:type="spellStart"/>
      <w:r>
        <w:rPr>
          <w:lang w:eastAsia="sv-SE"/>
        </w:rPr>
        <w:t>rapp</w:t>
      </w:r>
      <w:proofErr w:type="spellEnd"/>
      <w:r>
        <w:rPr>
          <w:lang w:eastAsia="sv-SE"/>
        </w:rPr>
        <w:t xml:space="preserve"> in CR v04 (Appendix TP1)</w:t>
      </w:r>
    </w:p>
    <w:p w14:paraId="358D7114" w14:textId="43C891CD" w:rsidR="0054186C" w:rsidRDefault="0054186C" w:rsidP="0054186C">
      <w:pPr>
        <w:pStyle w:val="a9"/>
        <w:numPr>
          <w:ilvl w:val="0"/>
          <w:numId w:val="9"/>
        </w:numPr>
        <w:rPr>
          <w:lang w:eastAsia="sv-SE"/>
        </w:rPr>
      </w:pPr>
      <w:r>
        <w:rPr>
          <w:lang w:eastAsia="sv-SE"/>
        </w:rPr>
        <w:t xml:space="preserve">Note as </w:t>
      </w:r>
      <w:proofErr w:type="gramStart"/>
      <w:r>
        <w:rPr>
          <w:lang w:eastAsia="sv-SE"/>
        </w:rPr>
        <w:t>e.g.</w:t>
      </w:r>
      <w:proofErr w:type="gramEnd"/>
      <w:r>
        <w:rPr>
          <w:lang w:eastAsia="sv-SE"/>
        </w:rPr>
        <w:t xml:space="preserve">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a9"/>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ac"/>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 be used to obtain </w:t>
            </w:r>
            <w:r w:rsidRPr="00A247A3">
              <w:rPr>
                <w:rFonts w:eastAsia="宋体"/>
                <w:i/>
                <w:highlight w:val="yellow"/>
                <w:lang w:eastAsia="en-US"/>
              </w:rPr>
              <w:t>SIB1</w:t>
            </w:r>
            <w:r w:rsidRPr="00A247A3">
              <w:rPr>
                <w:rFonts w:eastAsia="宋体"/>
                <w:highlight w:val="yellow"/>
                <w:lang w:eastAsia="en-US"/>
              </w:rPr>
              <w:t xml:space="preserve"> and the frequency location of the first SS/PBCH blocks corresponds to the GSCN of a synchronization raster entry</w:t>
            </w:r>
            <w:r w:rsidRPr="00A247A3">
              <w:rPr>
                <w:rFonts w:eastAsia="宋体"/>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a frequency location of the second SS/PBCH blocks to be different from the frequency location of the first SS/PBCH </w:t>
            </w:r>
            <w:r w:rsidRPr="00A247A3">
              <w:rPr>
                <w:rFonts w:eastAsia="宋体"/>
                <w:lang w:val="x-none" w:eastAsia="en-US"/>
              </w:rPr>
              <w:lastRenderedPageBreak/>
              <w:t>blocks and not to correspond to the GSCN of 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highlight w:val="green"/>
                <w:lang w:val="x-none" w:eastAsia="en-US"/>
              </w:rPr>
              <w:t>-</w:t>
            </w:r>
            <w:r w:rsidRPr="00A247A3">
              <w:rPr>
                <w:rFonts w:eastAsia="宋体"/>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the second SS/PBCH blocks are not used to obtain </w:t>
            </w:r>
            <w:r w:rsidRPr="00A247A3">
              <w:rPr>
                <w:rFonts w:eastAsia="宋体"/>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cannot be used to obtain </w:t>
            </w:r>
            <w:r w:rsidRPr="00A247A3">
              <w:rPr>
                <w:rFonts w:eastAsia="宋体"/>
                <w:i/>
                <w:highlight w:val="yellow"/>
                <w:lang w:eastAsia="en-US"/>
              </w:rPr>
              <w:t>SIB1</w:t>
            </w:r>
            <w:r w:rsidRPr="00A247A3">
              <w:rPr>
                <w:rFonts w:eastAsia="宋体"/>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i/>
                <w:lang w:val="x-none" w:eastAsia="en-US"/>
              </w:rPr>
            </w:pPr>
            <w:r w:rsidRPr="00A247A3">
              <w:rPr>
                <w:rFonts w:eastAsia="宋体"/>
                <w:highlight w:val="green"/>
                <w:lang w:val="x-none" w:eastAsia="en-US"/>
              </w:rPr>
              <w:t>-</w:t>
            </w:r>
            <w:r w:rsidRPr="00A247A3">
              <w:rPr>
                <w:rFonts w:eastAsia="宋体"/>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w:t>
            </w:r>
            <w:proofErr w:type="spellStart"/>
            <w:r>
              <w:rPr>
                <w:rFonts w:eastAsiaTheme="minorEastAsia"/>
                <w:lang w:val="x-none"/>
              </w:rPr>
              <w:t>Scell</w:t>
            </w:r>
            <w:proofErr w:type="spellEnd"/>
            <w:r>
              <w:rPr>
                <w:rFonts w:eastAsiaTheme="minorEastAsia"/>
                <w:lang w:val="x-none"/>
              </w:rPr>
              <w:t xml:space="preserve">.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 xml:space="preserve">R2 not pursue change on the intra-frequency measurement gap provision condition for SSB-based </w:t>
            </w:r>
            <w:proofErr w:type="spellStart"/>
            <w:r w:rsidRPr="0041780A">
              <w:rPr>
                <w:rFonts w:eastAsiaTheme="minorEastAsia"/>
                <w:lang w:val="en-US"/>
              </w:rPr>
              <w:t>SCell</w:t>
            </w:r>
            <w:proofErr w:type="spellEnd"/>
            <w:r w:rsidRPr="0041780A">
              <w:rPr>
                <w:rFonts w:eastAsiaTheme="minorEastAsia"/>
                <w:lang w:val="en-US"/>
              </w:rPr>
              <w:t xml:space="preserve"> case, considering R1 conclusion on AO/OD-SSB intra-BWP collocation restriction.</w:t>
            </w:r>
          </w:p>
          <w:p w14:paraId="3D3F0473" w14:textId="7BF40848"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w:t>
            </w:r>
            <w:proofErr w:type="spellStart"/>
            <w:r w:rsidRPr="0041780A">
              <w:rPr>
                <w:rFonts w:eastAsiaTheme="minorEastAsia"/>
                <w:lang w:val="en-US"/>
              </w:rPr>
              <w:t>SCell</w:t>
            </w:r>
            <w:proofErr w:type="spellEnd"/>
            <w:r w:rsidRPr="0041780A">
              <w:rPr>
                <w:rFonts w:eastAsiaTheme="minorEastAsia"/>
                <w:lang w:val="en-US"/>
              </w:rPr>
              <w:t xml:space="preserve">, R2 restrict the frequency relationship between the </w:t>
            </w:r>
            <w:proofErr w:type="spellStart"/>
            <w:r w:rsidRPr="0041780A">
              <w:rPr>
                <w:rFonts w:eastAsiaTheme="minorEastAsia"/>
                <w:lang w:val="en-US"/>
              </w:rPr>
              <w:t>ssbFrequency</w:t>
            </w:r>
            <w:proofErr w:type="spellEnd"/>
            <w:r w:rsidRPr="0041780A">
              <w:rPr>
                <w:rFonts w:eastAsiaTheme="minorEastAsia"/>
                <w:lang w:val="en-US"/>
              </w:rPr>
              <w:t xml:space="preserve"> (if configured) in the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and the SSB frequency for OD-SSB, to be 1) the same as each other, or 2) within the same BWP.</w:t>
            </w:r>
          </w:p>
          <w:p w14:paraId="359A97A1" w14:textId="31F0BF9F"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xml:space="preserve"> when </w:t>
            </w:r>
            <w:proofErr w:type="spellStart"/>
            <w:r w:rsidRPr="0041780A">
              <w:rPr>
                <w:rFonts w:eastAsiaTheme="minorEastAsia"/>
                <w:lang w:val="en-US"/>
              </w:rPr>
              <w:t>ssbFrequency</w:t>
            </w:r>
            <w:proofErr w:type="spellEnd"/>
            <w:r w:rsidRPr="0041780A">
              <w:rPr>
                <w:rFonts w:eastAsiaTheme="minorEastAsia"/>
                <w:lang w:val="en-US"/>
              </w:rPr>
              <w:t xml:space="preserve"> is configured in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R2 not pursue further change on measurement gap provision condition.</w:t>
            </w:r>
          </w:p>
          <w:p w14:paraId="2E2E2CF4" w14:textId="603316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4: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xml:space="preserve"> when </w:t>
            </w:r>
            <w:proofErr w:type="spellStart"/>
            <w:r w:rsidRPr="0041780A">
              <w:rPr>
                <w:rFonts w:eastAsiaTheme="minorEastAsia"/>
                <w:lang w:val="en-US"/>
              </w:rPr>
              <w:t>ssbFrequency</w:t>
            </w:r>
            <w:proofErr w:type="spellEnd"/>
            <w:r w:rsidRPr="0041780A">
              <w:rPr>
                <w:rFonts w:eastAsiaTheme="minorEastAsia"/>
                <w:lang w:val="en-US"/>
              </w:rPr>
              <w:t xml:space="preserve"> is </w:t>
            </w:r>
            <w:r>
              <w:rPr>
                <w:rFonts w:eastAsiaTheme="minorEastAsia"/>
                <w:lang w:val="en-US"/>
              </w:rPr>
              <w:t xml:space="preserve">not </w:t>
            </w:r>
            <w:r w:rsidRPr="0041780A">
              <w:rPr>
                <w:rFonts w:eastAsiaTheme="minorEastAsia"/>
                <w:lang w:val="en-US"/>
              </w:rPr>
              <w:t xml:space="preserve">configured in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the measurement gap provision condition needs to cover the check on “if the initial BWP or any of the UE configured BWPs not contain the SSB frequency of OD-SSB”.</w:t>
            </w: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77777777" w:rsidR="00723BCA" w:rsidRDefault="00723BCA" w:rsidP="00723BCA">
            <w:pPr>
              <w:jc w:val="center"/>
              <w:rPr>
                <w:lang w:eastAsia="sv-SE"/>
              </w:rPr>
            </w:pPr>
          </w:p>
        </w:tc>
        <w:tc>
          <w:tcPr>
            <w:tcW w:w="5670" w:type="dxa"/>
            <w:vAlign w:val="center"/>
          </w:tcPr>
          <w:p w14:paraId="157215B8" w14:textId="77777777" w:rsidR="00723BCA" w:rsidRDefault="00723BCA" w:rsidP="00723BCA">
            <w:pPr>
              <w:jc w:val="center"/>
              <w:rPr>
                <w:lang w:eastAsia="sv-SE"/>
              </w:rPr>
            </w:pP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77777777" w:rsidR="00723BCA" w:rsidRDefault="00723BCA" w:rsidP="00723BCA">
            <w:pPr>
              <w:jc w:val="center"/>
              <w:rPr>
                <w:lang w:eastAsia="sv-SE"/>
              </w:rPr>
            </w:pPr>
          </w:p>
        </w:tc>
        <w:tc>
          <w:tcPr>
            <w:tcW w:w="5670" w:type="dxa"/>
            <w:vAlign w:val="center"/>
          </w:tcPr>
          <w:p w14:paraId="0F47F1D2" w14:textId="77777777" w:rsidR="00723BCA" w:rsidRDefault="00723BCA" w:rsidP="00723BCA">
            <w:pPr>
              <w:jc w:val="center"/>
              <w:rPr>
                <w:lang w:eastAsia="sv-SE"/>
              </w:rPr>
            </w:pP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ac"/>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77777777" w:rsidR="00B14402" w:rsidRDefault="00B14402" w:rsidP="00A73E99">
            <w:pPr>
              <w:jc w:val="center"/>
              <w:rPr>
                <w:lang w:eastAsia="sv-SE"/>
              </w:rPr>
            </w:pPr>
          </w:p>
        </w:tc>
        <w:tc>
          <w:tcPr>
            <w:tcW w:w="5670" w:type="dxa"/>
            <w:vAlign w:val="center"/>
          </w:tcPr>
          <w:p w14:paraId="05B6410D" w14:textId="77777777" w:rsidR="00B14402" w:rsidRDefault="00B14402" w:rsidP="00A73E99">
            <w:pPr>
              <w:jc w:val="center"/>
              <w:rPr>
                <w:lang w:eastAsia="sv-SE"/>
              </w:rPr>
            </w:pP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77777777" w:rsidR="00B14402" w:rsidRDefault="00B14402" w:rsidP="00A73E99">
            <w:pPr>
              <w:jc w:val="center"/>
              <w:rPr>
                <w:lang w:eastAsia="sv-SE"/>
              </w:rPr>
            </w:pPr>
          </w:p>
        </w:tc>
        <w:tc>
          <w:tcPr>
            <w:tcW w:w="5670" w:type="dxa"/>
            <w:vAlign w:val="center"/>
          </w:tcPr>
          <w:p w14:paraId="2C4E4192" w14:textId="77777777" w:rsidR="00B14402" w:rsidRDefault="00B14402" w:rsidP="00A73E99">
            <w:pPr>
              <w:jc w:val="center"/>
              <w:rPr>
                <w:lang w:eastAsia="sv-SE"/>
              </w:rPr>
            </w:pP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ac"/>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1"/>
      </w:pPr>
      <w:r>
        <w:t>Appendix</w:t>
      </w:r>
    </w:p>
    <w:p w14:paraId="672C5A7C" w14:textId="77777777" w:rsidR="00C44E57" w:rsidRPr="00C44E57" w:rsidRDefault="00C44E57" w:rsidP="00C44E57"/>
    <w:p w14:paraId="139A3286" w14:textId="209BE2B4" w:rsidR="0055117A" w:rsidRDefault="0054186C" w:rsidP="0054186C">
      <w:pPr>
        <w:pStyle w:val="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2"/>
        <w:rPr>
          <w:lang w:eastAsia="sv-SE"/>
        </w:rPr>
      </w:pPr>
      <w:r w:rsidRPr="0054186C">
        <w:rPr>
          <w:lang w:eastAsia="sv-SE"/>
        </w:rPr>
        <w:t>TP2 for Note</w:t>
      </w:r>
    </w:p>
    <w:p w14:paraId="1D674B87" w14:textId="77777777" w:rsidR="0054186C" w:rsidRPr="007F0C03" w:rsidRDefault="0054186C" w:rsidP="007F0C03">
      <w:pPr>
        <w:pStyle w:val="a9"/>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3C45" w14:textId="77777777" w:rsidR="00696E41" w:rsidRDefault="00696E41">
      <w:pPr>
        <w:spacing w:after="0"/>
      </w:pPr>
      <w:r>
        <w:separator/>
      </w:r>
    </w:p>
  </w:endnote>
  <w:endnote w:type="continuationSeparator" w:id="0">
    <w:p w14:paraId="305720EB" w14:textId="77777777" w:rsidR="00696E41" w:rsidRDefault="00696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6B0E" w14:textId="77777777" w:rsidR="00696E41" w:rsidRDefault="00696E41">
      <w:pPr>
        <w:spacing w:after="0"/>
      </w:pPr>
      <w:r>
        <w:separator/>
      </w:r>
    </w:p>
  </w:footnote>
  <w:footnote w:type="continuationSeparator" w:id="0">
    <w:p w14:paraId="05B51506" w14:textId="77777777" w:rsidR="00696E41" w:rsidRDefault="00696E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num>
  <w:num w:numId="12">
    <w:abstractNumId w:val="2"/>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F1FF0093-4052-4292-A08A-D0FD0B05A805}">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Xiaomi_Li Zhao</cp:lastModifiedBy>
  <cp:revision>3</cp:revision>
  <dcterms:created xsi:type="dcterms:W3CDTF">2025-09-18T02:40:00Z</dcterms:created>
  <dcterms:modified xsi:type="dcterms:W3CDTF">2025-09-18T02:41:00Z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