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A779" w14:textId="0B383BD9" w:rsidR="003D26B0" w:rsidRPr="003D26B0" w:rsidRDefault="003D26B0" w:rsidP="003D26B0">
      <w:pPr>
        <w:tabs>
          <w:tab w:val="right" w:pos="7088"/>
          <w:tab w:val="right" w:pos="9781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eastAsia="Yu Mincho" w:hAnsi="Arial" w:cs="Arial"/>
          <w:bCs/>
          <w:noProof/>
          <w:kern w:val="0"/>
          <w:sz w:val="22"/>
          <w:szCs w:val="20"/>
          <w:lang w:val="en-GB" w:eastAsia="en-GB"/>
        </w:rPr>
      </w:pPr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 xml:space="preserve">3GPP </w:t>
      </w:r>
      <w:bookmarkStart w:id="0" w:name="OLE_LINK50"/>
      <w:bookmarkStart w:id="1" w:name="OLE_LINK51"/>
      <w:bookmarkStart w:id="2" w:name="OLE_LINK52"/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>TSG RAN WG</w:t>
      </w:r>
      <w:bookmarkEnd w:id="0"/>
      <w:bookmarkEnd w:id="1"/>
      <w:bookmarkEnd w:id="2"/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 xml:space="preserve">2 Meeting 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#1</w:t>
      </w:r>
      <w:r>
        <w:rPr>
          <w:rFonts w:ascii="Arial" w:eastAsia="Yu Mincho" w:hAnsi="Arial" w:cs="Arial" w:hint="eastAsia"/>
          <w:b/>
          <w:kern w:val="0"/>
          <w:sz w:val="22"/>
          <w:lang w:val="en-GB"/>
        </w:rPr>
        <w:t>31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Pr="003D26B0">
        <w:rPr>
          <w:rFonts w:ascii="Arial" w:eastAsia="Yu Mincho" w:hAnsi="Arial" w:cs="Arial"/>
          <w:b/>
          <w:bCs/>
          <w:noProof/>
          <w:kern w:val="0"/>
          <w:sz w:val="22"/>
          <w:lang w:val="en-GB" w:eastAsia="en-GB"/>
        </w:rPr>
        <w:tab/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R2-25xxxxx</w:t>
      </w:r>
    </w:p>
    <w:p w14:paraId="2EC08B73" w14:textId="5AA592E1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 w:eastAsia="en-GB"/>
        </w:rPr>
      </w:pP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Benga</w:t>
      </w:r>
      <w:r w:rsidR="00DD45BA"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l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u</w:t>
      </w:r>
      <w:r w:rsidR="00DD45BA"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r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u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India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,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25</w:t>
      </w:r>
      <w:r w:rsidRPr="003D26B0">
        <w:rPr>
          <w:rFonts w:ascii="Arial" w:eastAsia="Yu Mincho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 –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29</w:t>
      </w:r>
      <w:r w:rsidRPr="003D26B0">
        <w:rPr>
          <w:rFonts w:ascii="Arial" w:eastAsia="Yu Mincho" w:hAnsi="Arial" w:cs="Times New Roman" w:hint="eastAsia"/>
          <w:b/>
          <w:noProof/>
          <w:kern w:val="0"/>
          <w:sz w:val="22"/>
          <w:vertAlign w:val="superscript"/>
          <w:lang w:val="en-GB"/>
        </w:rPr>
        <w:t>th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 xml:space="preserve"> </w:t>
      </w:r>
      <w:r>
        <w:rPr>
          <w:rFonts w:ascii="Arial" w:eastAsia="Yu Mincho" w:hAnsi="Arial" w:cs="Times New Roman" w:hint="eastAsia"/>
          <w:b/>
          <w:noProof/>
          <w:kern w:val="0"/>
          <w:sz w:val="22"/>
          <w:lang w:val="en-GB"/>
        </w:rPr>
        <w:t>Aug</w:t>
      </w:r>
      <w:r w:rsidRPr="003D26B0">
        <w:rPr>
          <w:rFonts w:ascii="Arial" w:eastAsia="Yu Mincho" w:hAnsi="Arial" w:cs="Times New Roman"/>
          <w:b/>
          <w:noProof/>
          <w:kern w:val="0"/>
          <w:sz w:val="22"/>
          <w:lang w:val="en-GB" w:eastAsia="en-GB"/>
        </w:rPr>
        <w:t>. 2025</w:t>
      </w:r>
    </w:p>
    <w:p w14:paraId="2BB280FD" w14:textId="6B016ED0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Title: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="005971C5" w:rsidRPr="005971C5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[Draft]</w:t>
      </w:r>
      <w:r w:rsidR="005971C5">
        <w:rPr>
          <w:rFonts w:ascii="Arial" w:eastAsia="Yu Mincho" w:hAnsi="Arial" w:cs="Arial" w:hint="eastAsia"/>
          <w:b/>
          <w:kern w:val="0"/>
          <w:sz w:val="22"/>
          <w:lang w:val="en-GB"/>
        </w:rPr>
        <w:t xml:space="preserve"> 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LS </w:t>
      </w:r>
      <w:r>
        <w:rPr>
          <w:rFonts w:ascii="Arial" w:eastAsia="Yu Mincho" w:hAnsi="Arial" w:cs="Arial" w:hint="eastAsia"/>
          <w:b/>
          <w:kern w:val="0"/>
          <w:sz w:val="22"/>
          <w:lang w:val="en-GB"/>
        </w:rPr>
        <w:t xml:space="preserve">on User consent </w:t>
      </w:r>
      <w:commentRangeStart w:id="3"/>
      <w:r>
        <w:rPr>
          <w:rFonts w:ascii="Arial" w:eastAsia="Yu Mincho" w:hAnsi="Arial" w:cs="Arial" w:hint="eastAsia"/>
          <w:b/>
          <w:kern w:val="0"/>
          <w:sz w:val="22"/>
          <w:lang w:val="en-GB"/>
        </w:rPr>
        <w:t>for NW-side data collection</w:t>
      </w:r>
      <w:commentRangeEnd w:id="3"/>
      <w:r w:rsidR="006C7730">
        <w:rPr>
          <w:rStyle w:val="CommentReference"/>
        </w:rPr>
        <w:commentReference w:id="3"/>
      </w:r>
    </w:p>
    <w:p w14:paraId="7A0B24F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bookmarkStart w:id="4" w:name="OLE_LINK57"/>
      <w:bookmarkStart w:id="5" w:name="OLE_LINK58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Response to: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</w:p>
    <w:p w14:paraId="18958394" w14:textId="706C963F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Release: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9</w:t>
      </w:r>
    </w:p>
    <w:bookmarkEnd w:id="6"/>
    <w:bookmarkEnd w:id="7"/>
    <w:bookmarkEnd w:id="8"/>
    <w:p w14:paraId="3AE57DA3" w14:textId="0DB61FF6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Work Item: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proofErr w:type="spellStart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NR_</w:t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AIML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_</w:t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air</w:t>
      </w:r>
      <w:proofErr w:type="spellEnd"/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>-Core</w:t>
      </w:r>
    </w:p>
    <w:p w14:paraId="1111AAE3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</w:p>
    <w:p w14:paraId="6DD583AE" w14:textId="00C716E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 w:eastAsia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Source: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</w:r>
      <w:r w:rsidR="00DD7523" w:rsidRPr="00DE7B14">
        <w:rPr>
          <w:rFonts w:ascii="Arial" w:eastAsia="Yu Mincho" w:hAnsi="Arial" w:cs="Arial" w:hint="eastAsia"/>
          <w:b/>
          <w:kern w:val="0"/>
          <w:sz w:val="22"/>
          <w:lang w:val="en-GB"/>
        </w:rPr>
        <w:t>NTT DOCOMO</w:t>
      </w:r>
      <w:r w:rsidR="00DD7523">
        <w:rPr>
          <w:rFonts w:ascii="Arial" w:eastAsia="Yu Mincho" w:hAnsi="Arial" w:cs="Arial" w:hint="eastAsia"/>
          <w:b/>
          <w:kern w:val="0"/>
          <w:sz w:val="22"/>
          <w:lang w:val="en-GB"/>
        </w:rPr>
        <w:t xml:space="preserve"> </w:t>
      </w:r>
      <w:r w:rsidR="00DE7B14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 xml:space="preserve">[to be </w:t>
      </w:r>
      <w:r w:rsidR="00DD7523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RAN2</w:t>
      </w:r>
      <w:r w:rsidR="00DE7B14" w:rsidRPr="00DE7B14">
        <w:rPr>
          <w:rFonts w:ascii="Arial" w:eastAsia="Yu Mincho" w:hAnsi="Arial" w:cs="Arial" w:hint="eastAsia"/>
          <w:b/>
          <w:kern w:val="0"/>
          <w:sz w:val="22"/>
          <w:highlight w:val="yellow"/>
          <w:lang w:val="en-GB"/>
        </w:rPr>
        <w:t>]</w:t>
      </w:r>
    </w:p>
    <w:p w14:paraId="33299369" w14:textId="65C6FB95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To: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SA3</w:t>
      </w:r>
    </w:p>
    <w:p w14:paraId="5D08FDE2" w14:textId="6ABAD17E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bookmarkStart w:id="9" w:name="OLE_LINK45"/>
      <w:bookmarkStart w:id="10" w:name="OLE_LINK46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Cc: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RAN3, SA5</w:t>
      </w:r>
    </w:p>
    <w:bookmarkEnd w:id="9"/>
    <w:bookmarkEnd w:id="10"/>
    <w:p w14:paraId="3D009FAB" w14:textId="77777777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Cs/>
          <w:kern w:val="0"/>
          <w:sz w:val="20"/>
          <w:szCs w:val="20"/>
          <w:lang w:val="en-GB" w:eastAsia="en-GB"/>
        </w:rPr>
      </w:pPr>
    </w:p>
    <w:p w14:paraId="5BFA316B" w14:textId="48C76389" w:rsidR="003D26B0" w:rsidRPr="003D26B0" w:rsidRDefault="003D26B0" w:rsidP="003D26B0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Contact person:</w:t>
      </w: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Koki Yamashita</w:t>
      </w:r>
    </w:p>
    <w:p w14:paraId="290D185A" w14:textId="7B80C00C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bCs/>
          <w:kern w:val="0"/>
          <w:sz w:val="22"/>
          <w:lang w:val="en-GB"/>
        </w:rPr>
      </w:pPr>
      <w:r w:rsidRPr="003D26B0">
        <w:rPr>
          <w:rFonts w:ascii="Arial" w:eastAsia="Yu Mincho" w:hAnsi="Arial" w:cs="Arial"/>
          <w:b/>
          <w:bCs/>
          <w:kern w:val="0"/>
          <w:sz w:val="22"/>
          <w:lang w:val="en-GB" w:eastAsia="en-GB"/>
        </w:rPr>
        <w:tab/>
      </w:r>
      <w:r w:rsidR="00BC0723">
        <w:rPr>
          <w:rFonts w:ascii="Arial" w:eastAsia="Yu Mincho" w:hAnsi="Arial" w:cs="Arial" w:hint="eastAsia"/>
          <w:b/>
          <w:bCs/>
          <w:kern w:val="0"/>
          <w:sz w:val="22"/>
          <w:lang w:val="en-GB"/>
        </w:rPr>
        <w:t>kouki.yamashita.dz@nttdocomo.com</w:t>
      </w:r>
    </w:p>
    <w:p w14:paraId="1633F0C7" w14:textId="0388901B" w:rsidR="00DE7B14" w:rsidRPr="00DE7B14" w:rsidRDefault="003D26B0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</w:pP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Send any </w:t>
      </w:r>
      <w:proofErr w:type="gramStart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>reply</w:t>
      </w:r>
      <w:proofErr w:type="gramEnd"/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 xml:space="preserve"> LS to:</w:t>
      </w:r>
      <w:r w:rsidRPr="003D26B0">
        <w:rPr>
          <w:rFonts w:ascii="Arial" w:eastAsia="Yu Mincho" w:hAnsi="Arial" w:cs="Arial"/>
          <w:b/>
          <w:kern w:val="0"/>
          <w:sz w:val="22"/>
          <w:lang w:val="en-GB" w:eastAsia="en-GB"/>
        </w:rPr>
        <w:tab/>
        <w:t xml:space="preserve">3GPP Liaisons Coordinator, </w:t>
      </w:r>
      <w:hyperlink r:id="rId11" w:history="1">
        <w:r w:rsidR="00DE7B14" w:rsidRPr="0085678A">
          <w:rPr>
            <w:rStyle w:val="Hyperlink"/>
            <w:rFonts w:ascii="Arial" w:eastAsia="Yu Mincho" w:hAnsi="Arial" w:cs="Arial"/>
            <w:b/>
            <w:kern w:val="0"/>
            <w:sz w:val="22"/>
            <w:lang w:val="en-GB" w:eastAsia="en-GB"/>
          </w:rPr>
          <w:t>mailto:3GPPLiaison@etsi.org</w:t>
        </w:r>
      </w:hyperlink>
    </w:p>
    <w:p w14:paraId="2993626E" w14:textId="6A1E6513" w:rsidR="00DE7B14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</w:p>
    <w:p w14:paraId="1CDCAD1F" w14:textId="42EAE5F1" w:rsidR="00DE7B14" w:rsidRPr="003D26B0" w:rsidRDefault="00DE7B14" w:rsidP="00DE7B14">
      <w:pPr>
        <w:widowControl/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2"/>
          <w:lang w:val="en-GB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/>
        </w:rPr>
        <w:t>None</w:t>
      </w:r>
    </w:p>
    <w:p w14:paraId="207ACD3B" w14:textId="77777777" w:rsidR="003D26B0" w:rsidRPr="003D26B0" w:rsidRDefault="003D26B0" w:rsidP="003D26B0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 w:rsidRPr="003D26B0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1</w:t>
      </w:r>
      <w:r w:rsidRPr="003D26B0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Overall description</w:t>
      </w:r>
    </w:p>
    <w:p w14:paraId="488A1587" w14:textId="4B4FA99F" w:rsidR="00DE7B14" w:rsidRDefault="00BC0723" w:rsidP="00DE7B14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1"/>
      <w:r>
        <w:rPr>
          <w:rFonts w:ascii="Arial" w:hAnsi="Arial" w:cs="Arial" w:hint="eastAsia"/>
          <w:kern w:val="0"/>
          <w:sz w:val="20"/>
          <w:szCs w:val="20"/>
          <w:lang w:val="en-GB"/>
        </w:rPr>
        <w:t>Regarding the user consent for NW-side data collection</w:t>
      </w:r>
      <w:commentRangeEnd w:id="11"/>
      <w:r w:rsidR="00D22511">
        <w:rPr>
          <w:rStyle w:val="CommentReference"/>
        </w:rPr>
        <w:commentReference w:id="11"/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>, RAN2 has made the following agreements</w:t>
      </w:r>
      <w:r w:rsidR="00DD45BA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in RAN2#131 meeting</w:t>
      </w:r>
      <w:r w:rsidR="009378AD">
        <w:rPr>
          <w:rFonts w:ascii="Arial" w:hAnsi="Arial" w:cs="Arial" w:hint="eastAsia"/>
          <w:kern w:val="0"/>
          <w:sz w:val="20"/>
          <w:szCs w:val="20"/>
          <w:lang w:val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F740E" w14:paraId="27B73177" w14:textId="77777777">
        <w:tc>
          <w:tcPr>
            <w:tcW w:w="8494" w:type="dxa"/>
          </w:tcPr>
          <w:p w14:paraId="3F07C256" w14:textId="28D8DBCD" w:rsidR="00CF740E" w:rsidRPr="00CF740E" w:rsidRDefault="00CF740E" w:rsidP="00CF740E">
            <w:pPr>
              <w:pStyle w:val="Agreement"/>
              <w:rPr>
                <w:lang w:val="en-US"/>
              </w:rPr>
            </w:pPr>
            <w:r>
              <w:rPr>
                <w:lang w:val="en-US"/>
              </w:rPr>
              <w:t xml:space="preserve">Send an LS to SA3 indicating our work on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-sided gNB and OAM centric data collection and content of collected data.   RAN2 discussed the need for user consent and would </w:t>
            </w:r>
            <w:proofErr w:type="gramStart"/>
            <w:r>
              <w:rPr>
                <w:lang w:val="en-US"/>
              </w:rPr>
              <w:t>like to</w:t>
            </w:r>
            <w:proofErr w:type="gramEnd"/>
            <w:r>
              <w:rPr>
                <w:lang w:val="en-US"/>
              </w:rPr>
              <w:t xml:space="preserve"> SA3 to take it into account and decide on the need for user consent for </w:t>
            </w:r>
            <w:proofErr w:type="spellStart"/>
            <w:r>
              <w:rPr>
                <w:lang w:val="en-US"/>
              </w:rPr>
              <w:t>nw</w:t>
            </w:r>
            <w:proofErr w:type="spellEnd"/>
            <w:r>
              <w:rPr>
                <w:lang w:val="en-US"/>
              </w:rPr>
              <w:t xml:space="preserve"> sided data collection.        </w:t>
            </w:r>
          </w:p>
        </w:tc>
      </w:tr>
    </w:tbl>
    <w:p w14:paraId="2B83FD2D" w14:textId="30AA6475" w:rsidR="008D5A59" w:rsidRPr="00DD7523" w:rsidRDefault="008D5A59" w:rsidP="008A3C08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2"/>
      <w:r w:rsidRPr="008A3C08">
        <w:rPr>
          <w:rFonts w:ascii="Arial" w:hAnsi="Arial" w:cs="Arial" w:hint="eastAsia"/>
          <w:kern w:val="0"/>
          <w:sz w:val="20"/>
          <w:szCs w:val="20"/>
          <w:lang w:val="en-GB"/>
        </w:rPr>
        <w:t>RAN2 discussed the n</w:t>
      </w:r>
      <w:r w:rsidRPr="00DD7523">
        <w:rPr>
          <w:rFonts w:ascii="Arial" w:hAnsi="Arial" w:cs="Arial" w:hint="eastAsia"/>
          <w:kern w:val="0"/>
          <w:sz w:val="20"/>
          <w:szCs w:val="20"/>
          <w:lang w:val="en-GB"/>
        </w:rPr>
        <w:t>eed for user consent for NW-side data collection, but the decision is up to SA3.</w:t>
      </w:r>
      <w:commentRangeEnd w:id="12"/>
      <w:r w:rsidR="00D22511">
        <w:rPr>
          <w:rStyle w:val="CommentReference"/>
        </w:rPr>
        <w:commentReference w:id="12"/>
      </w:r>
    </w:p>
    <w:p w14:paraId="14107187" w14:textId="77777777" w:rsidR="00D22511" w:rsidRDefault="00D22511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</w:p>
    <w:p w14:paraId="7D815563" w14:textId="4AFE2CFB" w:rsidR="00FA6E3C" w:rsidRPr="00FA6E3C" w:rsidRDefault="00FA6E3C" w:rsidP="00FA6E3C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FA6E3C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agreements are related to the collected data contents</w:t>
      </w:r>
      <w:r w:rsidR="00281AAB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 xml:space="preserve"> for NW-side model</w:t>
      </w:r>
    </w:p>
    <w:p w14:paraId="5F2C660B" w14:textId="03A44495" w:rsid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3"/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&lt;RAN2#127bis&gt;</w:t>
      </w:r>
      <w:commentRangeEnd w:id="13"/>
      <w:r w:rsidR="00D22511">
        <w:rPr>
          <w:rStyle w:val="CommentReference"/>
        </w:rPr>
        <w:commentReference w:id="13"/>
      </w:r>
    </w:p>
    <w:p w14:paraId="794F53D5" w14:textId="77777777" w:rsidR="00956F72" w:rsidRPr="00956F72" w:rsidRDefault="00956F72" w:rsidP="00956F72">
      <w:pPr>
        <w:pStyle w:val="Doc-text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bCs/>
        </w:rPr>
      </w:pPr>
      <w:r w:rsidRPr="00956F72">
        <w:rPr>
          <w:b/>
          <w:bCs/>
        </w:rPr>
        <w:t>Agreements on NW side data collection</w:t>
      </w:r>
    </w:p>
    <w:p w14:paraId="157BC235" w14:textId="7030BF2B" w:rsidR="00956F72" w:rsidRPr="00D22511" w:rsidRDefault="00956F72" w:rsidP="00D22511">
      <w:pPr>
        <w:pStyle w:val="Agreement"/>
        <w:numPr>
          <w:ilvl w:val="0"/>
          <w:numId w:val="8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Cs/>
        </w:rPr>
      </w:pPr>
      <w:r w:rsidRPr="00D22511">
        <w:rPr>
          <w:b w:val="0"/>
          <w:bCs/>
        </w:rPr>
        <w:lastRenderedPageBreak/>
        <w:t>Periodic logging is supported for training data collection procedure in R19</w:t>
      </w:r>
    </w:p>
    <w:p w14:paraId="174DBE97" w14:textId="5E962424" w:rsidR="00956F72" w:rsidRPr="00956F72" w:rsidRDefault="00956F72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4"/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&lt;RAN2#129&gt;</w:t>
      </w:r>
      <w:commentRangeEnd w:id="14"/>
      <w:r w:rsidR="00D22511">
        <w:rPr>
          <w:rStyle w:val="CommentReference"/>
        </w:rPr>
        <w:commentReference w:id="14"/>
      </w:r>
    </w:p>
    <w:p w14:paraId="6EB60BE0" w14:textId="77777777" w:rsidR="00956F72" w:rsidRPr="00956F72" w:rsidRDefault="00956F72" w:rsidP="00956F7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MS Mincho" w:hAnsi="Arial" w:cs="Times New Roman"/>
          <w:b/>
          <w:bCs/>
          <w:kern w:val="0"/>
          <w:sz w:val="20"/>
          <w:szCs w:val="24"/>
          <w:lang w:val="en-GB"/>
        </w:rPr>
      </w:pPr>
      <w:r w:rsidRPr="00956F72">
        <w:rPr>
          <w:rFonts w:ascii="Arial" w:eastAsia="MS Mincho" w:hAnsi="Arial" w:cs="Times New Roman"/>
          <w:b/>
          <w:bCs/>
          <w:kern w:val="0"/>
          <w:sz w:val="20"/>
          <w:szCs w:val="24"/>
          <w:lang w:val="en-GB" w:eastAsia="en-GB"/>
        </w:rPr>
        <w:t>All agreements for NW side data collection</w:t>
      </w:r>
    </w:p>
    <w:p w14:paraId="0BD29A1F" w14:textId="526772D2" w:rsidR="00956F72" w:rsidRPr="00D22511" w:rsidRDefault="00956F72" w:rsidP="00D2251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2"/>
        </w:tabs>
        <w:ind w:left="1622" w:hanging="363"/>
        <w:jc w:val="left"/>
        <w:rPr>
          <w:rFonts w:ascii="Arial" w:eastAsia="MS Mincho" w:hAnsi="Arial" w:cs="Times New Roman"/>
          <w:b/>
          <w:bCs/>
          <w:kern w:val="0"/>
          <w:sz w:val="20"/>
          <w:szCs w:val="24"/>
          <w:lang w:val="en-GB"/>
        </w:rPr>
      </w:pPr>
      <w:r w:rsidRPr="00D22511">
        <w:rPr>
          <w:rFonts w:ascii="Arial" w:eastAsia="MS Mincho" w:hAnsi="Arial" w:cs="Times New Roman"/>
          <w:bCs/>
          <w:kern w:val="0"/>
          <w:sz w:val="20"/>
          <w:szCs w:val="24"/>
          <w:lang w:val="en-GB" w:eastAsia="en-GB"/>
        </w:rPr>
        <w:t>Support the use of L3 measurement event triggered (i.e. L3 serving cell measurements becoming worse/better than a threshold for TTT) to determine whether the UE performs logging or not.</w:t>
      </w:r>
    </w:p>
    <w:p w14:paraId="01E16310" w14:textId="698CA511" w:rsidR="00E05891" w:rsidRDefault="00FA6E3C" w:rsidP="00FA6E3C">
      <w:pPr>
        <w:rPr>
          <w:rFonts w:ascii="Arial" w:hAnsi="Arial" w:cs="Arial"/>
          <w:kern w:val="0"/>
          <w:sz w:val="20"/>
          <w:szCs w:val="20"/>
          <w:lang w:val="en-GB"/>
        </w:rPr>
      </w:pPr>
      <w:r w:rsidRPr="00956F72">
        <w:rPr>
          <w:rFonts w:ascii="Arial" w:hAnsi="Arial" w:cs="Arial" w:hint="eastAsia"/>
          <w:kern w:val="0"/>
          <w:sz w:val="20"/>
          <w:szCs w:val="20"/>
          <w:lang w:val="en-GB"/>
        </w:rPr>
        <w:t>&lt;RAN2#131&gt;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7B14" w14:paraId="1B17AA29" w14:textId="77777777">
        <w:tc>
          <w:tcPr>
            <w:tcW w:w="8494" w:type="dxa"/>
          </w:tcPr>
          <w:p w14:paraId="75E7B6EA" w14:textId="77777777" w:rsidR="00DE7B14" w:rsidRDefault="00DE7B14" w:rsidP="00DE7B14">
            <w:pPr>
              <w:pStyle w:val="Doc-text2"/>
            </w:pPr>
            <w:r>
              <w:t xml:space="preserve">RAN2 measurements </w:t>
            </w:r>
          </w:p>
          <w:p w14:paraId="55612EE9" w14:textId="77777777" w:rsidR="00DE7B14" w:rsidRDefault="00DE7B14" w:rsidP="00DE7B14">
            <w:pPr>
              <w:pStyle w:val="Doc-text2"/>
            </w:pPr>
            <w:r>
              <w:t>1</w:t>
            </w:r>
            <w:r>
              <w:tab/>
              <w:t xml:space="preserve">For network-side data collection for beam prediction, measurement reports include the </w:t>
            </w:r>
            <w:proofErr w:type="gramStart"/>
            <w:r>
              <w:t>following:.</w:t>
            </w:r>
            <w:proofErr w:type="gramEnd"/>
          </w:p>
          <w:p w14:paraId="0C517CE2" w14:textId="77777777" w:rsidR="00DE7B14" w:rsidRDefault="00DE7B14" w:rsidP="00DE7B14">
            <w:pPr>
              <w:pStyle w:val="Doc-text2"/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Cell identity: CGI or PCI of the cell to which the measurement results are related.</w:t>
            </w:r>
          </w:p>
          <w:p w14:paraId="08A773F1" w14:textId="3A69C0AE" w:rsidR="00E02BD6" w:rsidRPr="00DE7B14" w:rsidRDefault="00DE7B14" w:rsidP="00D22511">
            <w:pPr>
              <w:pStyle w:val="Doc-text2"/>
              <w:rPr>
                <w:lang w:eastAsia="ja-JP"/>
              </w:rPr>
            </w:pPr>
            <w:r>
              <w:rPr>
                <w:rFonts w:ascii="Cambria Math" w:hAnsi="Cambria Math" w:cs="Cambria Math"/>
              </w:rPr>
              <w:t>⁻</w:t>
            </w:r>
            <w:r>
              <w:tab/>
              <w:t>Logged L1 radio measurement results including the beam identifiers associated to CSI-RS resources or SSBs (CSI-RS IDs or SSB IDs) and the corresponding measured L1-RSRPs.</w:t>
            </w:r>
          </w:p>
        </w:tc>
      </w:tr>
    </w:tbl>
    <w:p w14:paraId="1C390631" w14:textId="77777777" w:rsidR="00DE7B14" w:rsidRPr="00FA6E3C" w:rsidRDefault="00DE7B14" w:rsidP="00FA6E3C">
      <w:pPr>
        <w:rPr>
          <w:rFonts w:ascii="Arial" w:hAnsi="Arial" w:cs="Arial"/>
          <w:kern w:val="0"/>
          <w:sz w:val="20"/>
          <w:szCs w:val="20"/>
          <w:lang w:val="en-GB"/>
        </w:rPr>
      </w:pPr>
    </w:p>
    <w:p w14:paraId="0D2C343F" w14:textId="2E58FBD7" w:rsidR="008C4A25" w:rsidRPr="008C4A25" w:rsidRDefault="008C4A25" w:rsidP="008C4A25">
      <w:pPr>
        <w:rPr>
          <w:rFonts w:ascii="Arial" w:hAnsi="Arial" w:cs="Arial"/>
          <w:kern w:val="0"/>
          <w:sz w:val="20"/>
          <w:szCs w:val="20"/>
          <w:u w:val="single"/>
          <w:lang w:val="en-GB"/>
        </w:rPr>
      </w:pPr>
      <w:r w:rsidRPr="008C4A25">
        <w:rPr>
          <w:rFonts w:ascii="Arial" w:hAnsi="Arial" w:cs="Arial" w:hint="eastAsia"/>
          <w:kern w:val="0"/>
          <w:sz w:val="20"/>
          <w:szCs w:val="20"/>
          <w:u w:val="single"/>
          <w:lang w:val="en-GB"/>
        </w:rPr>
        <w:t>The following options are under discussion:</w:t>
      </w:r>
    </w:p>
    <w:p w14:paraId="60AFBE24" w14:textId="01BC28E8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5"/>
      <w:commentRangeStart w:id="16"/>
      <w:commentRangeStart w:id="17"/>
      <w:r>
        <w:rPr>
          <w:rFonts w:ascii="Arial" w:hAnsi="Arial" w:cs="Arial" w:hint="eastAsia"/>
          <w:kern w:val="0"/>
          <w:sz w:val="20"/>
          <w:szCs w:val="20"/>
          <w:lang w:val="en-GB"/>
        </w:rPr>
        <w:t>For the NW-side data collection, RAN2 considers two options, i.e. OAM-centric data collection and gNB-centric data collection.</w:t>
      </w:r>
    </w:p>
    <w:p w14:paraId="695C0D41" w14:textId="39DDF23C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The agreements related these options are following:</w:t>
      </w:r>
    </w:p>
    <w:p w14:paraId="0638C8E8" w14:textId="1872539A" w:rsidR="00824257" w:rsidRDefault="00824257" w:rsidP="00824257">
      <w:pPr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&lt;RAN2#125bis&gt;</w:t>
      </w:r>
    </w:p>
    <w:p w14:paraId="1DC540EC" w14:textId="77777777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noProof/>
        </w:rPr>
      </w:pPr>
      <w:r w:rsidRPr="00D22511">
        <w:rPr>
          <w:b/>
          <w:bCs/>
          <w:noProof/>
        </w:rPr>
        <w:t>Agreements</w:t>
      </w:r>
    </w:p>
    <w:p w14:paraId="76F5D244" w14:textId="7C355F09" w:rsidR="00824257" w:rsidRPr="00D22511" w:rsidRDefault="00824257" w:rsidP="0082425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  <w:lang w:eastAsia="ja-JP"/>
        </w:rPr>
      </w:pPr>
      <w:r w:rsidRPr="00D22511">
        <w:rPr>
          <w:noProof/>
        </w:rPr>
        <w:t>1</w:t>
      </w:r>
      <w:r w:rsidRPr="00D22511">
        <w:rPr>
          <w:noProof/>
        </w:rPr>
        <w:tab/>
        <w:t>For the NW-side data collection related to beam management use cases, RAN2 to consider gNB-centric and OAM-centric approaches</w:t>
      </w:r>
      <w:r w:rsidRPr="00D22511">
        <w:rPr>
          <w:noProof/>
        </w:rPr>
        <w:tab/>
      </w:r>
    </w:p>
    <w:p w14:paraId="03B3B522" w14:textId="53A0E398" w:rsidR="00824257" w:rsidRPr="006E657A" w:rsidRDefault="00824257" w:rsidP="00D22511">
      <w:pPr>
        <w:rPr>
          <w:rFonts w:cs="Arial"/>
          <w:szCs w:val="20"/>
        </w:rPr>
      </w:pPr>
      <w:r>
        <w:rPr>
          <w:rFonts w:ascii="Arial" w:hAnsi="Arial" w:cs="Arial" w:hint="eastAsia"/>
          <w:kern w:val="0"/>
          <w:sz w:val="20"/>
          <w:szCs w:val="20"/>
          <w:lang w:val="en-GB"/>
        </w:rPr>
        <w:t>&lt;RAN2#129bis&gt;</w:t>
      </w:r>
    </w:p>
    <w:p w14:paraId="61C21B1C" w14:textId="48D4A4F6" w:rsidR="00824257" w:rsidRPr="00824257" w:rsidRDefault="00824257" w:rsidP="00D22511">
      <w:pPr>
        <w:pStyle w:val="Agreement"/>
      </w:pPr>
      <w:r>
        <w:t>RAN2 assumes that for OAM centric, only adopt management based immediate MDT for NW-side data collection</w:t>
      </w:r>
      <w:commentRangeEnd w:id="15"/>
      <w:r w:rsidR="00D22511">
        <w:rPr>
          <w:rStyle w:val="CommentReference"/>
          <w:rFonts w:asciiTheme="minorHAnsi" w:eastAsiaTheme="minorEastAsia" w:hAnsiTheme="minorHAnsi" w:cstheme="minorBidi"/>
          <w:b w:val="0"/>
          <w:kern w:val="2"/>
          <w:lang w:val="en-US" w:eastAsia="ja-JP"/>
        </w:rPr>
        <w:commentReference w:id="15"/>
      </w:r>
      <w:commentRangeEnd w:id="16"/>
      <w:r w:rsidR="00820B92">
        <w:rPr>
          <w:rStyle w:val="CommentReference"/>
          <w:rFonts w:asciiTheme="minorHAnsi" w:eastAsiaTheme="minorEastAsia" w:hAnsiTheme="minorHAnsi" w:cstheme="minorBidi"/>
          <w:b w:val="0"/>
          <w:kern w:val="2"/>
          <w:lang w:val="en-US" w:eastAsia="ja-JP"/>
        </w:rPr>
        <w:commentReference w:id="16"/>
      </w:r>
      <w:commentRangeEnd w:id="17"/>
      <w:r w:rsidR="007434AC">
        <w:rPr>
          <w:rStyle w:val="CommentReference"/>
          <w:rFonts w:asciiTheme="minorHAnsi" w:eastAsiaTheme="minorEastAsia" w:hAnsiTheme="minorHAnsi" w:cstheme="minorBidi"/>
          <w:b w:val="0"/>
          <w:kern w:val="2"/>
          <w:lang w:val="en-US" w:eastAsia="ja-JP"/>
        </w:rPr>
        <w:commentReference w:id="17"/>
      </w:r>
    </w:p>
    <w:p w14:paraId="17A3AB54" w14:textId="7296BD61" w:rsidR="00DD45BA" w:rsidRPr="00C673FC" w:rsidRDefault="00DE7B14" w:rsidP="00442FDA">
      <w:pPr>
        <w:rPr>
          <w:rFonts w:ascii="Arial" w:hAnsi="Arial" w:cs="Arial"/>
          <w:kern w:val="0"/>
          <w:sz w:val="20"/>
          <w:szCs w:val="20"/>
          <w:lang w:val="en-GB"/>
        </w:rPr>
      </w:pPr>
      <w:commentRangeStart w:id="18"/>
      <w:r w:rsidRPr="00DE7B14">
        <w:rPr>
          <w:rFonts w:ascii="Arial" w:hAnsi="Arial" w:cs="Arial" w:hint="eastAsia"/>
          <w:b/>
          <w:bCs/>
          <w:kern w:val="0"/>
          <w:sz w:val="20"/>
          <w:szCs w:val="20"/>
          <w:lang w:val="en-GB"/>
        </w:rPr>
        <w:t>Question:</w:t>
      </w:r>
      <w:r>
        <w:rPr>
          <w:rFonts w:ascii="Arial" w:hAnsi="Arial" w:cs="Arial" w:hint="eastAsia"/>
          <w:kern w:val="0"/>
          <w:sz w:val="20"/>
          <w:szCs w:val="20"/>
          <w:lang w:val="en-GB"/>
        </w:rPr>
        <w:t xml:space="preserve"> 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>RAN2 kindly ask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s</w:t>
      </w:r>
      <w:r w:rsidR="00EF5A3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SA3</w:t>
      </w:r>
      <w:r w:rsidR="008C4A25">
        <w:rPr>
          <w:rFonts w:ascii="Arial" w:hAnsi="Arial" w:cs="Arial" w:hint="eastAsia"/>
          <w:kern w:val="0"/>
          <w:sz w:val="20"/>
          <w:szCs w:val="20"/>
          <w:lang w:val="en-GB"/>
        </w:rPr>
        <w:t xml:space="preserve"> to decide whether user consent is needed for either of these options and if so, </w:t>
      </w:r>
      <w:r w:rsidR="00824257">
        <w:rPr>
          <w:rFonts w:ascii="Arial" w:hAnsi="Arial" w:cs="Arial" w:hint="eastAsia"/>
          <w:kern w:val="0"/>
          <w:sz w:val="20"/>
          <w:szCs w:val="20"/>
          <w:lang w:val="en-GB"/>
        </w:rPr>
        <w:t>how that can be achieved.</w:t>
      </w:r>
      <w:commentRangeEnd w:id="18"/>
      <w:r w:rsidR="00D22511">
        <w:rPr>
          <w:rStyle w:val="CommentReference"/>
        </w:rPr>
        <w:commentReference w:id="18"/>
      </w:r>
    </w:p>
    <w:p w14:paraId="23B407B1" w14:textId="77777777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</w:pPr>
      <w:r w:rsidRPr="00C673FC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>2</w:t>
      </w:r>
      <w:r w:rsidRPr="00C673FC">
        <w:rPr>
          <w:rFonts w:ascii="Arial" w:eastAsia="Yu Mincho" w:hAnsi="Arial" w:cs="Times New Roman"/>
          <w:kern w:val="0"/>
          <w:sz w:val="36"/>
          <w:szCs w:val="20"/>
          <w:lang w:val="en-GB" w:eastAsia="en-GB"/>
        </w:rPr>
        <w:tab/>
        <w:t>Actions</w:t>
      </w:r>
    </w:p>
    <w:p w14:paraId="4C97D8B5" w14:textId="16CC3D1B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20"/>
        <w:ind w:left="1985" w:hanging="1985"/>
        <w:jc w:val="left"/>
        <w:textAlignment w:val="baseline"/>
        <w:rPr>
          <w:rFonts w:ascii="Arial" w:eastAsia="Yu Mincho" w:hAnsi="Arial" w:cs="Arial"/>
          <w:b/>
          <w:kern w:val="0"/>
          <w:sz w:val="20"/>
          <w:szCs w:val="20"/>
          <w:lang w:val="en-GB"/>
        </w:rPr>
      </w:pP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 xml:space="preserve">To </w:t>
      </w:r>
      <w:r w:rsidR="00450945">
        <w:rPr>
          <w:rFonts w:ascii="Arial" w:eastAsia="Yu Mincho" w:hAnsi="Arial" w:cs="Arial" w:hint="eastAsia"/>
          <w:b/>
          <w:kern w:val="0"/>
          <w:sz w:val="20"/>
          <w:szCs w:val="20"/>
          <w:lang w:val="en-GB"/>
        </w:rPr>
        <w:t>SA3</w:t>
      </w:r>
    </w:p>
    <w:p w14:paraId="78617590" w14:textId="6756228D" w:rsidR="00C673FC" w:rsidRPr="00C673FC" w:rsidRDefault="00C673FC" w:rsidP="008C4A25">
      <w:pPr>
        <w:widowControl/>
        <w:overflowPunct w:val="0"/>
        <w:autoSpaceDE w:val="0"/>
        <w:autoSpaceDN w:val="0"/>
        <w:adjustRightInd w:val="0"/>
        <w:spacing w:after="120"/>
        <w:ind w:left="993" w:hanging="993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/>
        </w:rPr>
      </w:pP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 xml:space="preserve">ACTION: </w:t>
      </w:r>
      <w:r w:rsidRPr="00C673FC">
        <w:rPr>
          <w:rFonts w:ascii="Arial" w:eastAsia="Yu Mincho" w:hAnsi="Arial" w:cs="Arial"/>
          <w:b/>
          <w:kern w:val="0"/>
          <w:sz w:val="20"/>
          <w:szCs w:val="20"/>
          <w:lang w:val="en-GB" w:eastAsia="en-GB"/>
        </w:rPr>
        <w:tab/>
      </w:r>
      <w:bookmarkStart w:id="19" w:name="OLE_LINK28"/>
      <w:bookmarkStart w:id="20" w:name="OLE_LINK29"/>
      <w:r w:rsidRPr="00C673FC">
        <w:rPr>
          <w:rFonts w:ascii="Arial" w:eastAsia="Yu Mincho" w:hAnsi="Arial" w:cs="Arial"/>
          <w:kern w:val="0"/>
          <w:sz w:val="20"/>
          <w:szCs w:val="20"/>
          <w:lang w:val="en-GB" w:eastAsia="en-GB"/>
        </w:rPr>
        <w:t xml:space="preserve">RAN2 kindly asks </w:t>
      </w:r>
      <w:r w:rsidR="0045094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SA3</w:t>
      </w:r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to provide their </w:t>
      </w:r>
      <w:r w:rsidR="00DE7B14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feedback</w:t>
      </w:r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on 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the </w:t>
      </w:r>
      <w:r w:rsidR="00DE7B14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above question for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user consent</w:t>
      </w:r>
      <w:r w:rsidR="008C4A25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 </w:t>
      </w:r>
      <w:r w:rsidR="00CF740E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 xml:space="preserve">for </w:t>
      </w:r>
      <w:r w:rsidR="00953A18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NW-side data collection</w:t>
      </w:r>
      <w:bookmarkEnd w:id="19"/>
      <w:r w:rsidR="00C53CBA">
        <w:rPr>
          <w:rFonts w:ascii="Arial" w:eastAsia="Yu Mincho" w:hAnsi="Arial" w:cs="Arial" w:hint="eastAsia"/>
          <w:kern w:val="0"/>
          <w:sz w:val="20"/>
          <w:szCs w:val="20"/>
          <w:lang w:val="en-GB"/>
        </w:rPr>
        <w:t>.</w:t>
      </w:r>
    </w:p>
    <w:bookmarkEnd w:id="20"/>
    <w:p w14:paraId="4DE7FF09" w14:textId="7C3FC44D" w:rsidR="00C673FC" w:rsidRPr="00C673FC" w:rsidRDefault="00C673FC" w:rsidP="00C673FC">
      <w:pPr>
        <w:keepNext/>
        <w:keepLines/>
        <w:widowControl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jc w:val="left"/>
        <w:textAlignment w:val="baseline"/>
        <w:outlineLvl w:val="0"/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</w:pPr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lastRenderedPageBreak/>
        <w:t>3</w:t>
      </w:r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ab/>
        <w:t xml:space="preserve">Dates of next </w:t>
      </w:r>
      <w:r w:rsidRPr="00C673FC"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 xml:space="preserve">TSG </w:t>
      </w:r>
      <w:r w:rsidRPr="00C673FC">
        <w:rPr>
          <w:rFonts w:ascii="Arial" w:eastAsia="Yu Mincho" w:hAnsi="Arial" w:cs="Arial"/>
          <w:kern w:val="0"/>
          <w:sz w:val="36"/>
          <w:szCs w:val="36"/>
          <w:lang w:val="en-GB" w:eastAsia="en-GB"/>
        </w:rPr>
        <w:t>RAN</w:t>
      </w:r>
      <w:r w:rsidRPr="00C673FC">
        <w:rPr>
          <w:rFonts w:ascii="Arial" w:eastAsia="Yu Mincho" w:hAnsi="Arial" w:cs="Arial"/>
          <w:bCs/>
          <w:kern w:val="0"/>
          <w:sz w:val="36"/>
          <w:szCs w:val="36"/>
          <w:lang w:val="en-GB" w:eastAsia="en-GB"/>
        </w:rPr>
        <w:t xml:space="preserve"> WG2</w:t>
      </w:r>
      <w:r w:rsidRPr="00C673FC">
        <w:rPr>
          <w:rFonts w:ascii="Arial" w:eastAsia="Yu Mincho" w:hAnsi="Arial" w:cs="Times New Roman"/>
          <w:kern w:val="0"/>
          <w:sz w:val="36"/>
          <w:szCs w:val="36"/>
          <w:lang w:val="en-GB" w:eastAsia="en-GB"/>
        </w:rPr>
        <w:t xml:space="preserve"> meetings</w:t>
      </w:r>
    </w:p>
    <w:p w14:paraId="582FE17F" w14:textId="36D917FF" w:rsidR="00C673FC" w:rsidRPr="00C673FC" w:rsidRDefault="00C673FC" w:rsidP="00C673FC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Arial" w:eastAsia="Yu Mincho" w:hAnsi="Arial" w:cs="Arial"/>
          <w:kern w:val="0"/>
          <w:sz w:val="20"/>
          <w:szCs w:val="20"/>
          <w:lang w:val="en-GB"/>
        </w:rPr>
      </w:pPr>
      <w:bookmarkStart w:id="21" w:name="OLE_LINK55"/>
      <w:bookmarkStart w:id="22" w:name="OLE_LINK56"/>
      <w:bookmarkStart w:id="23" w:name="OLE_LINK53"/>
      <w:bookmarkStart w:id="24" w:name="OLE_LINK54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RAN2#131bi</w:t>
      </w:r>
      <w:bookmarkEnd w:id="21"/>
      <w:bookmarkEnd w:id="22"/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s   13</w:t>
      </w:r>
      <w:r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– 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17</w:t>
      </w:r>
      <w:r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</w:t>
      </w:r>
      <w:r w:rsidR="00450945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October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2025      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Prague</w:t>
      </w:r>
      <w:r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,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C</w:t>
      </w:r>
      <w:r w:rsidR="00DE7B14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Z</w:t>
      </w:r>
    </w:p>
    <w:p w14:paraId="46611DCF" w14:textId="4B55B90B" w:rsid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</w:pPr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RAN2#132      17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vertAlign w:val="superscript"/>
          <w:lang w:val="en-GB" w:eastAsia="zh-CN"/>
        </w:rPr>
        <w:t>th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– </w:t>
      </w:r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21</w:t>
      </w:r>
      <w:r w:rsidR="00953A18">
        <w:rPr>
          <w:rFonts w:ascii="Arial" w:eastAsia="Yu Mincho" w:hAnsi="Arial" w:cs="Arial" w:hint="eastAsia"/>
          <w:kern w:val="0"/>
          <w:sz w:val="20"/>
          <w:szCs w:val="16"/>
          <w:vertAlign w:val="superscript"/>
          <w:lang w:val="en-GB"/>
        </w:rPr>
        <w:t>st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</w:t>
      </w:r>
      <w:r w:rsidR="00FF2CAF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November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 2025</w:t>
      </w:r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 xml:space="preserve">       </w:t>
      </w:r>
      <w:r w:rsidR="008746BD"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Dallas</w:t>
      </w:r>
      <w:r w:rsidR="00C673FC" w:rsidRPr="00C673FC">
        <w:rPr>
          <w:rFonts w:ascii="Arial" w:eastAsia="Yu Mincho" w:hAnsi="Arial" w:cs="Arial"/>
          <w:kern w:val="0"/>
          <w:sz w:val="20"/>
          <w:szCs w:val="16"/>
          <w:lang w:val="en-GB" w:eastAsia="zh-CN"/>
        </w:rPr>
        <w:t xml:space="preserve">, </w:t>
      </w:r>
      <w:bookmarkEnd w:id="23"/>
      <w:bookmarkEnd w:id="24"/>
      <w:r>
        <w:rPr>
          <w:rFonts w:ascii="Arial" w:eastAsia="Yu Mincho" w:hAnsi="Arial" w:cs="Arial" w:hint="eastAsia"/>
          <w:kern w:val="0"/>
          <w:sz w:val="20"/>
          <w:szCs w:val="16"/>
          <w:lang w:val="en-GB"/>
        </w:rPr>
        <w:t>US</w:t>
      </w:r>
    </w:p>
    <w:p w14:paraId="7ABE09D6" w14:textId="77777777" w:rsidR="00450945" w:rsidRPr="00450945" w:rsidRDefault="00450945" w:rsidP="00450945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Yu Mincho" w:hAnsi="Times New Roman" w:cs="Times New Roman"/>
          <w:kern w:val="0"/>
          <w:sz w:val="20"/>
          <w:szCs w:val="20"/>
          <w:lang w:val="en-GB"/>
        </w:rPr>
      </w:pPr>
    </w:p>
    <w:sectPr w:rsidR="00450945" w:rsidRPr="004509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QC - Rajeev Kumar" w:date="2025-09-03T05:29:00Z" w:initials="RK">
    <w:p w14:paraId="3D1783D2" w14:textId="77777777" w:rsidR="00B00D44" w:rsidRDefault="006C7730" w:rsidP="00B00D44">
      <w:pPr>
        <w:pStyle w:val="CommentText"/>
      </w:pPr>
      <w:r>
        <w:rPr>
          <w:rStyle w:val="CommentReference"/>
        </w:rPr>
        <w:annotationRef/>
      </w:r>
      <w:r w:rsidR="00B00D44">
        <w:t>Should we explain what is NW-side data collection. In MDT, both the UE and NW performs data collection. I believe people should not get confused that NW is doing the data collection. Therefore, can be change the wording throughout</w:t>
      </w:r>
    </w:p>
    <w:p w14:paraId="4A28E861" w14:textId="77777777" w:rsidR="00B00D44" w:rsidRDefault="00B00D44" w:rsidP="00B00D44">
      <w:pPr>
        <w:pStyle w:val="CommentText"/>
      </w:pPr>
    </w:p>
    <w:p w14:paraId="4E53CD88" w14:textId="77777777" w:rsidR="00B00D44" w:rsidRDefault="00B00D44" w:rsidP="00B00D44">
      <w:pPr>
        <w:pStyle w:val="CommentText"/>
      </w:pPr>
      <w:r>
        <w:t xml:space="preserve">From “NW-side data collection” to “Data collection at the UE for NW-side model training” </w:t>
      </w:r>
    </w:p>
  </w:comment>
  <w:comment w:id="11" w:author="Kouki Yamashita (山下 航輝)" w:date="2025-09-03T20:23:00Z" w:initials="KY">
    <w:p w14:paraId="23CABAD0" w14:textId="09EFD1E2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Thank you for comments.  We think additional background is not needed because this text and following agreements is enough for SA3 to discuss.</w:t>
      </w:r>
      <w:r>
        <w:br/>
        <w:t>Welcome your comments if companies have strong concerns.</w:t>
      </w:r>
    </w:p>
  </w:comment>
  <w:comment w:id="12" w:author="Kouki Yamashita (山下 航輝)" w:date="2025-09-03T19:54:00Z" w:initials="KY">
    <w:p w14:paraId="61E5DCC3" w14:textId="155DE5A9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Based on Nokia, Lenovo and Ericsson's comments, I removed following text to simplify this part.</w:t>
      </w:r>
    </w:p>
    <w:p w14:paraId="4A5313BC" w14:textId="77777777" w:rsidR="00D22511" w:rsidRDefault="00D22511" w:rsidP="00D22511">
      <w:pPr>
        <w:pStyle w:val="CommentText"/>
      </w:pPr>
      <w:r>
        <w:t>・Some companies think that collected data for NW-side data collection would require user consent from RAN2 point of view because it will be logged.</w:t>
      </w:r>
    </w:p>
    <w:p w14:paraId="436178B2" w14:textId="77777777" w:rsidR="00D22511" w:rsidRDefault="00D22511" w:rsidP="00D22511">
      <w:pPr>
        <w:pStyle w:val="CommentText"/>
      </w:pPr>
      <w:r>
        <w:t>・Some operators think there are some risks to introduce NW-side data collection without user consent due to strict low.</w:t>
      </w:r>
    </w:p>
  </w:comment>
  <w:comment w:id="13" w:author="Kouki Yamashita (山下 航輝)" w:date="2025-09-03T19:59:00Z" w:initials="KY">
    <w:p w14:paraId="7B823332" w14:textId="6C2134C4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Based on Ericsson’s comments, I added the agreement related to support periodic logging.</w:t>
      </w:r>
    </w:p>
  </w:comment>
  <w:comment w:id="14" w:author="Kouki Yamashita (山下 航輝)" w:date="2025-09-03T20:01:00Z" w:initials="KY">
    <w:p w14:paraId="4482F3EE" w14:textId="61B758F7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Based on Ericsson’s comments, I added the agreement related to support event-based logging.</w:t>
      </w:r>
    </w:p>
  </w:comment>
  <w:comment w:id="15" w:author="Kouki Yamashita (山下 航輝)" w:date="2025-09-03T20:32:00Z" w:initials="KY">
    <w:p w14:paraId="3ECA93D7" w14:textId="77777777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Thank you for a lot of comments!</w:t>
      </w:r>
      <w:r>
        <w:br/>
        <w:t>Based on companies’ comments, I try to capture agreements related to OAM-centric and gNB-centric data collection instead of original explanation to avoid conflict/misunderstanding of warding.</w:t>
      </w:r>
    </w:p>
    <w:p w14:paraId="5E142BA7" w14:textId="77777777" w:rsidR="00D22511" w:rsidRDefault="00D22511" w:rsidP="00D22511">
      <w:pPr>
        <w:pStyle w:val="CommentText"/>
      </w:pPr>
      <w:r>
        <w:t>Welcom your comments if you have strong concerns.</w:t>
      </w:r>
    </w:p>
  </w:comment>
  <w:comment w:id="16" w:author="QC - Rajeev Kumar" w:date="2025-09-03T05:20:00Z" w:initials="RK">
    <w:p w14:paraId="0F52400E" w14:textId="77777777" w:rsidR="00820B92" w:rsidRDefault="00820B92" w:rsidP="00820B92">
      <w:pPr>
        <w:pStyle w:val="CommentText"/>
      </w:pPr>
      <w:r>
        <w:rPr>
          <w:rStyle w:val="CommentReference"/>
        </w:rPr>
        <w:annotationRef/>
      </w:r>
      <w:r>
        <w:t xml:space="preserve">Sorry for late reply. I believe we need to explain what is gNB centric data collection. It may not be clear to other WGs. </w:t>
      </w:r>
    </w:p>
    <w:p w14:paraId="61700FDB" w14:textId="77777777" w:rsidR="00820B92" w:rsidRDefault="00820B92" w:rsidP="00820B92">
      <w:pPr>
        <w:pStyle w:val="CommentText"/>
      </w:pPr>
    </w:p>
    <w:p w14:paraId="231D3C4C" w14:textId="77777777" w:rsidR="00820B92" w:rsidRDefault="00820B92" w:rsidP="00820B92">
      <w:pPr>
        <w:pStyle w:val="CommentText"/>
      </w:pPr>
      <w:r>
        <w:t>Ericsson proposed text for gNB centric data collection sounds good to us:</w:t>
      </w:r>
    </w:p>
    <w:p w14:paraId="339EED20" w14:textId="77777777" w:rsidR="00820B92" w:rsidRDefault="00820B92" w:rsidP="00820B92">
      <w:pPr>
        <w:pStyle w:val="CommentText"/>
      </w:pPr>
    </w:p>
    <w:p w14:paraId="72FBC355" w14:textId="77777777" w:rsidR="00820B92" w:rsidRDefault="00820B92" w:rsidP="00820B92">
      <w:pPr>
        <w:pStyle w:val="CommentText"/>
        <w:numPr>
          <w:ilvl w:val="0"/>
          <w:numId w:val="9"/>
        </w:numPr>
      </w:pPr>
      <w:r>
        <w:t xml:space="preserve"> gNB-centric data collection:</w:t>
      </w:r>
    </w:p>
    <w:p w14:paraId="08BC8CC8" w14:textId="77777777" w:rsidR="00820B92" w:rsidRDefault="00820B92" w:rsidP="00820B92">
      <w:pPr>
        <w:pStyle w:val="CommentText"/>
        <w:numPr>
          <w:ilvl w:val="1"/>
          <w:numId w:val="9"/>
        </w:numPr>
      </w:pPr>
      <w:r>
        <w:t>gNB directly configures via RRC the UE to perform data collection.</w:t>
      </w:r>
    </w:p>
  </w:comment>
  <w:comment w:id="17" w:author="QC - Rajeev Kumar" w:date="2025-09-03T05:26:00Z" w:initials="RK">
    <w:p w14:paraId="0E801B3F" w14:textId="77777777" w:rsidR="007434AC" w:rsidRDefault="007434AC" w:rsidP="007434AC">
      <w:pPr>
        <w:pStyle w:val="CommentText"/>
      </w:pPr>
      <w:r>
        <w:rPr>
          <w:rStyle w:val="CommentReference"/>
        </w:rPr>
        <w:annotationRef/>
      </w:r>
      <w:r>
        <w:t>Can we phrase like this?</w:t>
      </w:r>
    </w:p>
    <w:p w14:paraId="63A1EFD7" w14:textId="77777777" w:rsidR="007434AC" w:rsidRDefault="007434AC" w:rsidP="007434AC">
      <w:pPr>
        <w:pStyle w:val="CommentText"/>
      </w:pPr>
    </w:p>
    <w:p w14:paraId="567AEE89" w14:textId="77777777" w:rsidR="007434AC" w:rsidRDefault="007434AC" w:rsidP="007434AC">
      <w:pPr>
        <w:pStyle w:val="CommentText"/>
      </w:pPr>
      <w:r>
        <w:t>In RAN2#125bis for network side data collection related to beam management use case, RAN2 agreed to consider gNB-centric and OAM centric data collection, as below:</w:t>
      </w:r>
    </w:p>
    <w:p w14:paraId="451DD908" w14:textId="77777777" w:rsidR="007434AC" w:rsidRDefault="007434AC" w:rsidP="007434AC">
      <w:pPr>
        <w:pStyle w:val="CommentText"/>
      </w:pPr>
    </w:p>
    <w:p w14:paraId="251BEAE3" w14:textId="77777777" w:rsidR="007434AC" w:rsidRDefault="007434AC" w:rsidP="007434AC">
      <w:pPr>
        <w:pStyle w:val="CommentText"/>
        <w:ind w:left="1620"/>
      </w:pPr>
      <w:r>
        <w:rPr>
          <w:b/>
          <w:bCs/>
        </w:rPr>
        <w:t>Agreements</w:t>
      </w:r>
    </w:p>
    <w:p w14:paraId="3B0EDE48" w14:textId="77777777" w:rsidR="007434AC" w:rsidRDefault="007434AC" w:rsidP="007434AC">
      <w:pPr>
        <w:pStyle w:val="CommentText"/>
        <w:ind w:left="1620"/>
      </w:pPr>
      <w:r>
        <w:t>1</w:t>
      </w:r>
      <w:r>
        <w:tab/>
        <w:t>For the NW-side data collection related to beam management use cases, RAN2 to consider gNB-centric and OAM-centric approaches</w:t>
      </w:r>
      <w:r>
        <w:tab/>
      </w:r>
    </w:p>
    <w:p w14:paraId="44724580" w14:textId="77777777" w:rsidR="007434AC" w:rsidRDefault="007434AC" w:rsidP="007434AC">
      <w:pPr>
        <w:pStyle w:val="CommentText"/>
      </w:pPr>
    </w:p>
    <w:p w14:paraId="6EE11511" w14:textId="77777777" w:rsidR="007434AC" w:rsidRDefault="007434AC" w:rsidP="007434AC">
      <w:pPr>
        <w:pStyle w:val="CommentText"/>
      </w:pPr>
      <w:r>
        <w:t>In RAN2#129bis meeting, for the OAM centric data collection, RAN2 agreed to adopt only management based immediate MDT for network side data collection, as below:</w:t>
      </w:r>
    </w:p>
    <w:p w14:paraId="4BF217A6" w14:textId="77777777" w:rsidR="007434AC" w:rsidRDefault="007434AC" w:rsidP="007434AC">
      <w:pPr>
        <w:pStyle w:val="CommentText"/>
      </w:pPr>
    </w:p>
    <w:p w14:paraId="2182197E" w14:textId="77777777" w:rsidR="007434AC" w:rsidRDefault="007434AC" w:rsidP="007434AC">
      <w:pPr>
        <w:pStyle w:val="CommentText"/>
        <w:numPr>
          <w:ilvl w:val="0"/>
          <w:numId w:val="10"/>
        </w:numPr>
      </w:pPr>
      <w:r>
        <w:rPr>
          <w:b/>
          <w:bCs/>
          <w:lang w:val="en-GB"/>
        </w:rPr>
        <w:t>RAN2 assumes that for OAM centric, only adopt management based immediate MDT for NW-side data collection</w:t>
      </w:r>
    </w:p>
    <w:p w14:paraId="1718B69D" w14:textId="77777777" w:rsidR="007434AC" w:rsidRDefault="007434AC" w:rsidP="007434AC">
      <w:pPr>
        <w:pStyle w:val="CommentText"/>
      </w:pPr>
    </w:p>
    <w:p w14:paraId="6543017D" w14:textId="77777777" w:rsidR="007434AC" w:rsidRDefault="007434AC" w:rsidP="007434AC">
      <w:pPr>
        <w:pStyle w:val="CommentText"/>
      </w:pPr>
      <w:r>
        <w:t xml:space="preserve">In the gNB centric data collection, the gNB directly configures the UE to perform data collection.  </w:t>
      </w:r>
    </w:p>
  </w:comment>
  <w:comment w:id="18" w:author="Kouki Yamashita (山下 航輝)" w:date="2025-09-03T20:40:00Z" w:initials="KY">
    <w:p w14:paraId="48EC72B4" w14:textId="0705B916" w:rsidR="00D22511" w:rsidRDefault="00D22511" w:rsidP="00D22511">
      <w:pPr>
        <w:pStyle w:val="CommentText"/>
      </w:pPr>
      <w:r>
        <w:rPr>
          <w:rStyle w:val="CommentReference"/>
        </w:rPr>
        <w:annotationRef/>
      </w:r>
      <w:r>
        <w:t>[DCM2_Rapp] Thank you for comments.  Based on vivo’s comments, I revised typo.  And I reflected Ericsson’s rephrasing.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E53CD88" w15:done="0"/>
  <w15:commentEx w15:paraId="23CABAD0" w15:done="0"/>
  <w15:commentEx w15:paraId="436178B2" w15:done="0"/>
  <w15:commentEx w15:paraId="7B823332" w15:done="0"/>
  <w15:commentEx w15:paraId="4482F3EE" w15:done="0"/>
  <w15:commentEx w15:paraId="5E142BA7" w15:done="0"/>
  <w15:commentEx w15:paraId="08BC8CC8" w15:paraIdParent="5E142BA7" w15:done="0"/>
  <w15:commentEx w15:paraId="6543017D" w15:paraIdParent="5E142BA7" w15:done="0"/>
  <w15:commentEx w15:paraId="48EC72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93FEA4" w16cex:dateUtc="2025-09-03T12:29:00Z"/>
  <w16cex:commentExtensible w16cex:durableId="672E4305" w16cex:dateUtc="2025-09-03T11:23:00Z"/>
  <w16cex:commentExtensible w16cex:durableId="2F006F25" w16cex:dateUtc="2025-09-03T10:54:00Z"/>
  <w16cex:commentExtensible w16cex:durableId="28E5969B" w16cex:dateUtc="2025-09-03T10:59:00Z"/>
  <w16cex:commentExtensible w16cex:durableId="3FF825FD" w16cex:dateUtc="2025-09-03T11:01:00Z"/>
  <w16cex:commentExtensible w16cex:durableId="20D5507B" w16cex:dateUtc="2025-09-03T11:32:00Z"/>
  <w16cex:commentExtensible w16cex:durableId="7625C50A" w16cex:dateUtc="2025-09-03T12:20:00Z"/>
  <w16cex:commentExtensible w16cex:durableId="0325D1A7" w16cex:dateUtc="2025-09-03T12:26:00Z"/>
  <w16cex:commentExtensible w16cex:durableId="7687BFDE" w16cex:dateUtc="2025-09-03T11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53CD88" w16cid:durableId="3F93FEA4"/>
  <w16cid:commentId w16cid:paraId="23CABAD0" w16cid:durableId="672E4305"/>
  <w16cid:commentId w16cid:paraId="436178B2" w16cid:durableId="2F006F25"/>
  <w16cid:commentId w16cid:paraId="7B823332" w16cid:durableId="28E5969B"/>
  <w16cid:commentId w16cid:paraId="4482F3EE" w16cid:durableId="3FF825FD"/>
  <w16cid:commentId w16cid:paraId="5E142BA7" w16cid:durableId="20D5507B"/>
  <w16cid:commentId w16cid:paraId="08BC8CC8" w16cid:durableId="7625C50A"/>
  <w16cid:commentId w16cid:paraId="6543017D" w16cid:durableId="0325D1A7"/>
  <w16cid:commentId w16cid:paraId="48EC72B4" w16cid:durableId="7687BF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BC653" w14:textId="77777777" w:rsidR="00E66976" w:rsidRDefault="00E66976" w:rsidP="00E34C66">
      <w:r>
        <w:separator/>
      </w:r>
    </w:p>
  </w:endnote>
  <w:endnote w:type="continuationSeparator" w:id="0">
    <w:p w14:paraId="6EE813D5" w14:textId="77777777" w:rsidR="00E66976" w:rsidRDefault="00E66976" w:rsidP="00E3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B92E4" w14:textId="77777777" w:rsidR="00E66976" w:rsidRDefault="00E66976" w:rsidP="00E34C66">
      <w:r>
        <w:separator/>
      </w:r>
    </w:p>
  </w:footnote>
  <w:footnote w:type="continuationSeparator" w:id="0">
    <w:p w14:paraId="13700332" w14:textId="77777777" w:rsidR="00E66976" w:rsidRDefault="00E66976" w:rsidP="00E34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33B"/>
    <w:multiLevelType w:val="hybridMultilevel"/>
    <w:tmpl w:val="B9627834"/>
    <w:lvl w:ilvl="0" w:tplc="CEF657B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9746FF6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C7F2335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0C9AB2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0D865460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3C5ACE86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8820A3B6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EA401EF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D5DE3D4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" w15:restartNumberingAfterBreak="0">
    <w:nsid w:val="2CA97858"/>
    <w:multiLevelType w:val="hybridMultilevel"/>
    <w:tmpl w:val="9334AF88"/>
    <w:lvl w:ilvl="0" w:tplc="D1B24CEC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30770EBA"/>
    <w:multiLevelType w:val="multilevel"/>
    <w:tmpl w:val="65503A42"/>
    <w:lvl w:ilvl="0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1620" w:hanging="360"/>
      </w:pPr>
      <w:rPr>
        <w:rFonts w:ascii="Wingdings" w:hAnsi="Wingdings" w:hint="default"/>
      </w:rPr>
    </w:lvl>
    <w:lvl w:ilvl="3">
      <w:start w:val="9"/>
      <w:numFmt w:val="bullet"/>
      <w:lvlText w:val=""/>
      <w:lvlJc w:val="left"/>
      <w:pPr>
        <w:ind w:left="2880" w:hanging="360"/>
      </w:pPr>
      <w:rPr>
        <w:rFonts w:ascii="Wingdings" w:eastAsia="Calibri" w:hAnsi="Wingdings" w:cs="Calibri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D33A5"/>
    <w:multiLevelType w:val="hybridMultilevel"/>
    <w:tmpl w:val="71B47FFE"/>
    <w:lvl w:ilvl="0" w:tplc="C0CE2C8C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63103C7"/>
    <w:multiLevelType w:val="hybridMultilevel"/>
    <w:tmpl w:val="F5F6A9F2"/>
    <w:lvl w:ilvl="0" w:tplc="0568BA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1A61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3F41C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280D5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7697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4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C000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C9812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8C9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92038"/>
    <w:multiLevelType w:val="hybridMultilevel"/>
    <w:tmpl w:val="8DFA4A28"/>
    <w:lvl w:ilvl="0" w:tplc="792C0F84">
      <w:start w:val="1"/>
      <w:numFmt w:val="bullet"/>
      <w:lvlText w:val="●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9D5542A"/>
    <w:multiLevelType w:val="hybridMultilevel"/>
    <w:tmpl w:val="A41EA3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12B47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377270">
    <w:abstractNumId w:val="6"/>
  </w:num>
  <w:num w:numId="2" w16cid:durableId="752509178">
    <w:abstractNumId w:val="3"/>
  </w:num>
  <w:num w:numId="3" w16cid:durableId="543950693">
    <w:abstractNumId w:val="8"/>
  </w:num>
  <w:num w:numId="4" w16cid:durableId="539705515">
    <w:abstractNumId w:val="5"/>
  </w:num>
  <w:num w:numId="5" w16cid:durableId="1951668214">
    <w:abstractNumId w:val="2"/>
  </w:num>
  <w:num w:numId="6" w16cid:durableId="654381259">
    <w:abstractNumId w:val="7"/>
  </w:num>
  <w:num w:numId="7" w16cid:durableId="1556509472">
    <w:abstractNumId w:val="1"/>
  </w:num>
  <w:num w:numId="8" w16cid:durableId="1959221567">
    <w:abstractNumId w:val="9"/>
  </w:num>
  <w:num w:numId="9" w16cid:durableId="1869024362">
    <w:abstractNumId w:val="4"/>
  </w:num>
  <w:num w:numId="10" w16cid:durableId="79163583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 - Rajeev Kumar">
    <w15:presenceInfo w15:providerId="None" w15:userId="QC - Rajeev Kumar"/>
  </w15:person>
  <w15:person w15:author="Kouki Yamashita (山下 航輝)">
    <w15:presenceInfo w15:providerId="AD" w15:userId="S::kouki.yamashita.dz@nttdocomo.com::660e5cb2-fa38-4a02-80eb-637b8a21b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6B0"/>
    <w:rsid w:val="00007968"/>
    <w:rsid w:val="00016185"/>
    <w:rsid w:val="0003770B"/>
    <w:rsid w:val="000518E1"/>
    <w:rsid w:val="000555DC"/>
    <w:rsid w:val="00083F09"/>
    <w:rsid w:val="0008440F"/>
    <w:rsid w:val="000A695A"/>
    <w:rsid w:val="000D7508"/>
    <w:rsid w:val="000E679C"/>
    <w:rsid w:val="001359C0"/>
    <w:rsid w:val="00152232"/>
    <w:rsid w:val="0016419D"/>
    <w:rsid w:val="00165669"/>
    <w:rsid w:val="00192764"/>
    <w:rsid w:val="001A6E56"/>
    <w:rsid w:val="001E30D1"/>
    <w:rsid w:val="00212B69"/>
    <w:rsid w:val="0021544B"/>
    <w:rsid w:val="0024587F"/>
    <w:rsid w:val="00256868"/>
    <w:rsid w:val="00281AAB"/>
    <w:rsid w:val="002911E2"/>
    <w:rsid w:val="002948F4"/>
    <w:rsid w:val="002E51C6"/>
    <w:rsid w:val="003120A7"/>
    <w:rsid w:val="00341AAA"/>
    <w:rsid w:val="00350CFD"/>
    <w:rsid w:val="00375B4F"/>
    <w:rsid w:val="003A2751"/>
    <w:rsid w:val="003C0272"/>
    <w:rsid w:val="003D26B0"/>
    <w:rsid w:val="003E1FEC"/>
    <w:rsid w:val="00442FDA"/>
    <w:rsid w:val="00450945"/>
    <w:rsid w:val="00470F1A"/>
    <w:rsid w:val="00484A10"/>
    <w:rsid w:val="0049504B"/>
    <w:rsid w:val="0049732A"/>
    <w:rsid w:val="004A19E1"/>
    <w:rsid w:val="004A3FA0"/>
    <w:rsid w:val="004C7BCA"/>
    <w:rsid w:val="00527546"/>
    <w:rsid w:val="005318D6"/>
    <w:rsid w:val="00593C90"/>
    <w:rsid w:val="005971C5"/>
    <w:rsid w:val="005C174B"/>
    <w:rsid w:val="005D77E8"/>
    <w:rsid w:val="005E4897"/>
    <w:rsid w:val="0060055E"/>
    <w:rsid w:val="00647B35"/>
    <w:rsid w:val="006527C2"/>
    <w:rsid w:val="006865FE"/>
    <w:rsid w:val="0069128A"/>
    <w:rsid w:val="006960F6"/>
    <w:rsid w:val="006B2C95"/>
    <w:rsid w:val="006B695C"/>
    <w:rsid w:val="006C7730"/>
    <w:rsid w:val="006D15DD"/>
    <w:rsid w:val="006D15E9"/>
    <w:rsid w:val="006D39BB"/>
    <w:rsid w:val="006E6167"/>
    <w:rsid w:val="006E657A"/>
    <w:rsid w:val="007434AC"/>
    <w:rsid w:val="00764C03"/>
    <w:rsid w:val="00786118"/>
    <w:rsid w:val="007B627B"/>
    <w:rsid w:val="007C713D"/>
    <w:rsid w:val="007E6A6E"/>
    <w:rsid w:val="00820B92"/>
    <w:rsid w:val="00824257"/>
    <w:rsid w:val="00827BE0"/>
    <w:rsid w:val="00841DC6"/>
    <w:rsid w:val="008746BD"/>
    <w:rsid w:val="008941D3"/>
    <w:rsid w:val="008A3C08"/>
    <w:rsid w:val="008C4A25"/>
    <w:rsid w:val="008C5DA1"/>
    <w:rsid w:val="008D5A59"/>
    <w:rsid w:val="008F2425"/>
    <w:rsid w:val="00907EDE"/>
    <w:rsid w:val="00936CC7"/>
    <w:rsid w:val="009378AD"/>
    <w:rsid w:val="00953A18"/>
    <w:rsid w:val="00955E26"/>
    <w:rsid w:val="00956F72"/>
    <w:rsid w:val="009703B7"/>
    <w:rsid w:val="00973F27"/>
    <w:rsid w:val="009A5EA2"/>
    <w:rsid w:val="009A70DD"/>
    <w:rsid w:val="009C4871"/>
    <w:rsid w:val="009C7E91"/>
    <w:rsid w:val="009E3D7D"/>
    <w:rsid w:val="00A0125D"/>
    <w:rsid w:val="00A276D4"/>
    <w:rsid w:val="00A53CD4"/>
    <w:rsid w:val="00A677D2"/>
    <w:rsid w:val="00A9106D"/>
    <w:rsid w:val="00AD6BE5"/>
    <w:rsid w:val="00AF2715"/>
    <w:rsid w:val="00B00D44"/>
    <w:rsid w:val="00B221B5"/>
    <w:rsid w:val="00B31455"/>
    <w:rsid w:val="00B85F15"/>
    <w:rsid w:val="00B93434"/>
    <w:rsid w:val="00BA1CD9"/>
    <w:rsid w:val="00BC0723"/>
    <w:rsid w:val="00BE7D26"/>
    <w:rsid w:val="00C16E1A"/>
    <w:rsid w:val="00C466E8"/>
    <w:rsid w:val="00C46FB8"/>
    <w:rsid w:val="00C53CBA"/>
    <w:rsid w:val="00C673FC"/>
    <w:rsid w:val="00C865CD"/>
    <w:rsid w:val="00C94B4E"/>
    <w:rsid w:val="00CC12EF"/>
    <w:rsid w:val="00CF740E"/>
    <w:rsid w:val="00D017EA"/>
    <w:rsid w:val="00D22511"/>
    <w:rsid w:val="00D641B3"/>
    <w:rsid w:val="00D67618"/>
    <w:rsid w:val="00D82C7C"/>
    <w:rsid w:val="00D84BC8"/>
    <w:rsid w:val="00D93629"/>
    <w:rsid w:val="00DA12DD"/>
    <w:rsid w:val="00DC694F"/>
    <w:rsid w:val="00DD45BA"/>
    <w:rsid w:val="00DD7523"/>
    <w:rsid w:val="00DE7994"/>
    <w:rsid w:val="00DE7B14"/>
    <w:rsid w:val="00DE7D89"/>
    <w:rsid w:val="00DF1AD7"/>
    <w:rsid w:val="00DF3E08"/>
    <w:rsid w:val="00DF4D90"/>
    <w:rsid w:val="00DF793D"/>
    <w:rsid w:val="00E02BD6"/>
    <w:rsid w:val="00E05891"/>
    <w:rsid w:val="00E13E81"/>
    <w:rsid w:val="00E34C66"/>
    <w:rsid w:val="00E463F0"/>
    <w:rsid w:val="00E53E80"/>
    <w:rsid w:val="00E619CA"/>
    <w:rsid w:val="00E66976"/>
    <w:rsid w:val="00E83B92"/>
    <w:rsid w:val="00ED369F"/>
    <w:rsid w:val="00EE699B"/>
    <w:rsid w:val="00EF5A35"/>
    <w:rsid w:val="00F46AF2"/>
    <w:rsid w:val="00F541E7"/>
    <w:rsid w:val="00FA4BF7"/>
    <w:rsid w:val="00FA6E3C"/>
    <w:rsid w:val="00FB01F2"/>
    <w:rsid w:val="00FB4BDF"/>
    <w:rsid w:val="00FD64BF"/>
    <w:rsid w:val="00FE4901"/>
    <w:rsid w:val="00FF1034"/>
    <w:rsid w:val="00FF1E5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A7B47"/>
  <w15:chartTrackingRefBased/>
  <w15:docId w15:val="{9DCD5B94-F152-4D81-8AB4-52E96A1F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26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6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6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6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6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6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6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6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6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6B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D26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6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6B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A70D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A70D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A70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0DD"/>
    <w:rPr>
      <w:b/>
      <w:bCs/>
    </w:rPr>
  </w:style>
  <w:style w:type="character" w:styleId="Hyperlink">
    <w:name w:val="Hyperlink"/>
    <w:basedOn w:val="DefaultParagraphFont"/>
    <w:uiPriority w:val="99"/>
    <w:unhideWhenUsed/>
    <w:rsid w:val="00DE7B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B14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DE7B14"/>
    <w:pPr>
      <w:widowControl/>
      <w:tabs>
        <w:tab w:val="left" w:pos="1622"/>
      </w:tabs>
      <w:ind w:left="1622" w:hanging="363"/>
      <w:jc w:val="left"/>
    </w:pPr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DE7B14"/>
    <w:rPr>
      <w:rFonts w:ascii="Arial" w:eastAsia="MS Mincho" w:hAnsi="Arial" w:cs="Times New Roman"/>
      <w:kern w:val="0"/>
      <w:sz w:val="20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rsid w:val="00DE7B14"/>
    <w:pPr>
      <w:widowControl/>
      <w:numPr>
        <w:numId w:val="3"/>
      </w:numPr>
      <w:spacing w:before="6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7B14"/>
    <w:pPr>
      <w:widowControl/>
      <w:numPr>
        <w:numId w:val="4"/>
      </w:numPr>
      <w:spacing w:before="40"/>
      <w:jc w:val="left"/>
    </w:pPr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DE7B14"/>
    <w:rPr>
      <w:rFonts w:ascii="Arial" w:eastAsia="MS Mincho" w:hAnsi="Arial" w:cs="Times New Roman"/>
      <w:b/>
      <w:kern w:val="0"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E7B14"/>
  </w:style>
  <w:style w:type="table" w:styleId="TableGrid">
    <w:name w:val="Table Grid"/>
    <w:basedOn w:val="TableNormal"/>
    <w:uiPriority w:val="39"/>
    <w:rsid w:val="00DE7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F2CAF"/>
  </w:style>
  <w:style w:type="paragraph" w:styleId="BalloonText">
    <w:name w:val="Balloon Text"/>
    <w:basedOn w:val="Normal"/>
    <w:link w:val="BalloonTextChar"/>
    <w:uiPriority w:val="99"/>
    <w:semiHidden/>
    <w:unhideWhenUsed/>
    <w:rsid w:val="00FA4BF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BF7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34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4C6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4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4C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GPPLiaison@etsi.org" TargetMode="Externa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786d483-f51b-44bd-b40a-6fe409a5265e}" enabled="0" method="" siteId="{6786d483-f51b-44bd-b40a-6fe409a5265e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Company>Qualcomm Incorporated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Kouki Yamashita (山下 航輝)</dc:creator>
  <cp:keywords/>
  <dc:description/>
  <cp:lastModifiedBy>QC - Rajeev Kumar</cp:lastModifiedBy>
  <cp:revision>2</cp:revision>
  <dcterms:created xsi:type="dcterms:W3CDTF">2025-09-03T12:30:00Z</dcterms:created>
  <dcterms:modified xsi:type="dcterms:W3CDTF">2025-09-03T12:30:00Z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84ceb-fbfd-47ab-be52-080c6b87953f_siteId">
    <vt:lpwstr>92e84ceb-fbfd-47ab-be52-080c6b87953f</vt:lpwstr>
  </property>
  <property fmtid="{D5CDD505-2E9C-101B-9397-08002B2CF9AE}" pid="3" name="MSIP_Label_92e84ceb-fbfd-47ab-be52-080c6b87953f_removed">
    <vt:lpwstr>1</vt:lpwstr>
  </property>
  <property fmtid="{D5CDD505-2E9C-101B-9397-08002B2CF9AE}" pid="4" name="MSIP_Label_92e84ceb-fbfd-47ab-be52-080c6b87953f_method">
    <vt:lpwstr/>
  </property>
  <property fmtid="{D5CDD505-2E9C-101B-9397-08002B2CF9AE}" pid="5" name="MSIP_Label_92e84ceb-fbfd-47ab-be52-080c6b87953f_enabled">
    <vt:lpwstr>0</vt:lpwstr>
  </property>
  <property fmtid="{D5CDD505-2E9C-101B-9397-08002B2CF9AE}" pid="6" name="MSIP_Label_75af88a6-b88e-425b-bf39-433b2fafd692_SiteId">
    <vt:lpwstr>6786d483-f51b-44bd-b40a-6fe409a5265e</vt:lpwstr>
  </property>
  <property fmtid="{D5CDD505-2E9C-101B-9397-08002B2CF9AE}" pid="7" name="MSIP_Label_75af88a6-b88e-425b-bf39-433b2fafd692_SetDate">
    <vt:lpwstr>2025-09-03T08:33:53Z</vt:lpwstr>
  </property>
  <property fmtid="{D5CDD505-2E9C-101B-9397-08002B2CF9AE}" pid="8" name="MSIP_Label_75af88a6-b88e-425b-bf39-433b2fafd692_Name">
    <vt:lpwstr>秘密度C</vt:lpwstr>
  </property>
  <property fmtid="{D5CDD505-2E9C-101B-9397-08002B2CF9AE}" pid="9" name="MSIP_Label_75af88a6-b88e-425b-bf39-433b2fafd692_Method">
    <vt:lpwstr>Standard</vt:lpwstr>
  </property>
  <property fmtid="{D5CDD505-2E9C-101B-9397-08002B2CF9AE}" pid="10" name="MSIP_Label_75af88a6-b88e-425b-bf39-433b2fafd692_Enabled">
    <vt:lpwstr>true</vt:lpwstr>
  </property>
  <property fmtid="{D5CDD505-2E9C-101B-9397-08002B2CF9AE}" pid="11" name="MSIP_Label_75af88a6-b88e-425b-bf39-433b2fafd692_ContentBits">
    <vt:lpwstr>8</vt:lpwstr>
  </property>
</Properties>
</file>