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[Post130][307][R19 IoT NTN] MAC CR (Mediatek)</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ac"/>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9"/>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a9"/>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a9"/>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 xml:space="preserve">RNTI=X + Msg3_W_index modulo (Y) + Y*CE_level + 3*Y*carrier_id. </w:t>
            </w:r>
          </w:p>
          <w:p w14:paraId="5E15E965" w14:textId="6EE068D6"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X is the starting RNTI for Msg4 reception, which can be defined by RAN2 e.g. X=2401 for eMTC or 4097 for NB-IoT,</w:t>
            </w:r>
          </w:p>
          <w:p w14:paraId="09A79F96" w14:textId="517B6645"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ceil (Msg4_WS/Msg3_WP), </w:t>
            </w:r>
          </w:p>
          <w:p w14:paraId="1071FC9A" w14:textId="6D74AB75"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CE_level is the CE level, 0 &lt;= CE_level &lt; 3 </w:t>
            </w:r>
          </w:p>
          <w:p w14:paraId="7CD9E701" w14:textId="0574F8B9"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carrier_id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0 &lt;= carrier_id &lt; 16</w:t>
            </w:r>
          </w:p>
          <w:p w14:paraId="4E7FFE3C"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X is 4097 for NB-IoT and 2401 for eMTC</w:t>
            </w:r>
          </w:p>
          <w:p w14:paraId="4E477102" w14:textId="5F4887C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assumption </w:t>
      </w:r>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ac"/>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C725D3" w:rsidRDefault="00446AA9" w:rsidP="00DB0350">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C725D3" w:rsidRDefault="00446AA9" w:rsidP="00DB0350">
            <w:pPr>
              <w:jc w:val="left"/>
              <w:rPr>
                <w:lang w:val="en-US" w:eastAsia="sv-SE"/>
              </w:rPr>
            </w:pPr>
          </w:p>
        </w:tc>
      </w:tr>
      <w:tr w:rsidR="00446AA9"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C725D3" w:rsidRDefault="00446AA9" w:rsidP="00DB0350">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C725D3" w:rsidRDefault="00446AA9" w:rsidP="0071236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C725D3" w:rsidRDefault="00446AA9" w:rsidP="0071236C">
            <w:pPr>
              <w:jc w:val="center"/>
              <w:rPr>
                <w:lang w:val="en-US" w:eastAsia="sv-SE"/>
              </w:rPr>
            </w:pPr>
          </w:p>
        </w:tc>
      </w:tr>
      <w:tr w:rsidR="00446AA9" w:rsidRPr="00C725D3"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C725D3" w:rsidRDefault="00446AA9" w:rsidP="00141CC9">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C725D3" w:rsidRDefault="00446AA9" w:rsidP="00141CC9">
            <w:pPr>
              <w:jc w:val="left"/>
              <w:rPr>
                <w:lang w:val="en-US" w:eastAsia="sv-SE"/>
              </w:rPr>
            </w:pPr>
          </w:p>
        </w:tc>
      </w:tr>
      <w:tr w:rsidR="00446AA9"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C725D3"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C725D3" w:rsidRDefault="00446AA9" w:rsidP="00AB3C3D">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C725D3" w:rsidRDefault="00446AA9" w:rsidP="00AB3C3D">
            <w:pPr>
              <w:rPr>
                <w:rFonts w:eastAsiaTheme="minorEastAsia"/>
                <w:lang w:val="en-US"/>
              </w:rPr>
            </w:pPr>
          </w:p>
        </w:tc>
      </w:tr>
      <w:tr w:rsidR="00446AA9"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072ECA" w:rsidRDefault="00446AA9" w:rsidP="00DB0350">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E003C4" w:rsidRDefault="00446AA9" w:rsidP="00C64941">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E003C4" w:rsidRDefault="00446AA9" w:rsidP="00C64941">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3" w:name="OLE_LINK20"/>
      <w:bookmarkStart w:id="4" w:name="OLE_LINK38"/>
      <w:r w:rsidRPr="00C725D3">
        <w:rPr>
          <w:highlight w:val="yellow"/>
          <w:lang w:val="en-US" w:eastAsia="sv-SE"/>
        </w:rPr>
        <w:t>Summary</w:t>
      </w:r>
    </w:p>
    <w:bookmarkEnd w:id="3"/>
    <w:bookmarkEnd w:id="4"/>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LS  </w:t>
      </w:r>
      <w:r w:rsidRPr="00BF3147">
        <w:rPr>
          <w:lang w:val="en-US" w:eastAsia="sv-SE"/>
        </w:rPr>
        <w:t>R2-2504962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ac"/>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lastRenderedPageBreak/>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hint="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hint="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hint="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94ECD6B"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B40666"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7777777" w:rsidR="00B40666" w:rsidRDefault="00B40666">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38E78B3" w14:textId="77777777" w:rsidR="00B40666" w:rsidRDefault="00B40666">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77777777" w:rsidR="00B40666" w:rsidRDefault="00B40666">
            <w:pPr>
              <w:jc w:val="center"/>
              <w:rPr>
                <w:lang w:val="en-US" w:eastAsia="sv-SE"/>
              </w:rPr>
            </w:pPr>
          </w:p>
        </w:tc>
      </w:tr>
      <w:tr w:rsidR="00B4066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7A8E25F6" w14:textId="77777777" w:rsidR="00B40666" w:rsidRDefault="00B40666">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B40666" w:rsidRDefault="00B40666">
            <w:pPr>
              <w:jc w:val="left"/>
              <w:rPr>
                <w:lang w:val="en-US" w:eastAsia="sv-SE"/>
              </w:rPr>
            </w:pPr>
          </w:p>
        </w:tc>
      </w:tr>
      <w:tr w:rsidR="00B40666"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B40666" w:rsidRDefault="00B40666">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B40666" w:rsidRDefault="00B40666">
            <w:pPr>
              <w:rPr>
                <w:rFonts w:eastAsiaTheme="minorEastAsia"/>
                <w:lang w:val="en-US" w:eastAsia="en-US"/>
              </w:rPr>
            </w:pPr>
          </w:p>
        </w:tc>
      </w:tr>
      <w:tr w:rsidR="00B40666"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B40666" w:rsidRDefault="00B40666">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B40666" w:rsidRDefault="00B40666">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B40666" w:rsidRDefault="00B40666">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5"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5"/>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 w:name="OLE_LINK48"/>
      <w:r w:rsidR="00CC3DE7" w:rsidRPr="00CC3DE7">
        <w:rPr>
          <w:lang w:val="en-US" w:eastAsia="sv-SE"/>
        </w:rPr>
        <w:t>Whether NW/UE processing time is needed when determine the Msg4 monitoring starts.</w:t>
      </w:r>
    </w:p>
    <w:bookmarkEnd w:id="6"/>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UE-eNB RTT. FFS NW/UE processing time is needed or not.</w:t>
      </w:r>
      <w:r w:rsidR="00464727">
        <w:rPr>
          <w:rFonts w:eastAsia="Yu Mincho" w:cstheme="minorHAnsi"/>
          <w:iCs/>
          <w:lang w:val="en-US" w:eastAsia="ja-JP"/>
        </w:rPr>
        <w:t xml:space="preserve"> In RAN2#130, this open issue was not discussed and remains FFS.</w:t>
      </w:r>
    </w:p>
    <w:tbl>
      <w:tblPr>
        <w:tblStyle w:val="ac"/>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7" w:name="OLE_LINK49"/>
            <w:r w:rsidRPr="00C725D3">
              <w:rPr>
                <w:rFonts w:eastAsia="Yu Mincho" w:cstheme="minorHAnsi"/>
                <w:iCs/>
                <w:lang w:eastAsia="ja-JP"/>
              </w:rPr>
              <w:t xml:space="preserve">Msg4 monitoring starts </w:t>
            </w:r>
            <w:bookmarkEnd w:id="7"/>
            <w:r w:rsidRPr="00C725D3">
              <w:rPr>
                <w:rFonts w:eastAsia="Yu Mincho" w:cstheme="minorHAnsi"/>
                <w:iCs/>
                <w:lang w:eastAsia="ja-JP"/>
              </w:rPr>
              <w:t>at the end of CB-Msg3-EDT transmission window plus UE-eNB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a9"/>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A 3 ms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A 4 ms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Aother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ac"/>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8"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8"/>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hint="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hint="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hint="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2F71088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171F15"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082F790"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1E5FE939" w:rsidR="00171F15" w:rsidRPr="00C725D3" w:rsidRDefault="00171F15">
            <w:pPr>
              <w:jc w:val="center"/>
              <w:rPr>
                <w:lang w:val="en-US" w:eastAsia="sv-SE"/>
              </w:rPr>
            </w:pPr>
          </w:p>
        </w:tc>
      </w:tr>
      <w:tr w:rsidR="00171F15" w:rsidRPr="00C725D3" w14:paraId="174FE43D"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C82BABD"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54342209"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1B603092" w:rsidR="00171F15" w:rsidRPr="00C725D3" w:rsidRDefault="00171F15">
            <w:pPr>
              <w:jc w:val="center"/>
              <w:rPr>
                <w:lang w:val="en-US" w:eastAsia="sv-SE"/>
              </w:rPr>
            </w:pPr>
          </w:p>
        </w:tc>
      </w:tr>
      <w:tr w:rsidR="00171F15"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4DC8571"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6F0A9AAB" w:rsidR="00171F15" w:rsidRPr="00C725D3" w:rsidRDefault="00171F15">
            <w:pPr>
              <w:jc w:val="center"/>
              <w:rPr>
                <w:lang w:val="en-US" w:eastAsia="sv-SE"/>
              </w:rPr>
            </w:pPr>
          </w:p>
        </w:tc>
      </w:tr>
      <w:tr w:rsidR="00171F15"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171F15" w:rsidRPr="00C725D3" w:rsidRDefault="00171F15">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171F15" w:rsidRPr="00C725D3" w:rsidRDefault="00171F15">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171F15" w:rsidRPr="00C725D3" w:rsidRDefault="00171F15">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9"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FFS on the details of the failure behaviour</w:t>
      </w:r>
      <w:r w:rsidR="00CC3DE7">
        <w:rPr>
          <w:lang w:val="en-US"/>
        </w:rPr>
        <w:t>.</w:t>
      </w:r>
    </w:p>
    <w:bookmarkEnd w:id="9"/>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Whether the UE can initiate the legacy 4-step RA when the CB-Msg3 procedure fails was discussed in the RAN2#129bis. Most companies agreed. But when the CB-Msg3 procedure failes,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ac"/>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0"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1" w:name="OLE_LINK4"/>
            <w:r>
              <w:rPr>
                <w:b/>
                <w:bCs/>
                <w:lang w:val="en-US" w:eastAsia="sv-SE"/>
              </w:rPr>
              <w:t>Agreed or not</w:t>
            </w:r>
            <w:bookmarkEnd w:id="11"/>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hint="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hint="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A18E161"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C5A20E5"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AF3136"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27BAA8C0"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E08DD9E" w14:textId="77777777" w:rsidR="00AF3136" w:rsidRPr="00C725D3" w:rsidRDefault="00AF3136" w:rsidP="009E60D2">
            <w:pPr>
              <w:jc w:val="left"/>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AF3136" w:rsidRPr="00C725D3" w:rsidRDefault="00AF3136" w:rsidP="009E60D2">
            <w:pPr>
              <w:jc w:val="left"/>
              <w:rPr>
                <w:lang w:val="en-US" w:eastAsia="sv-SE"/>
              </w:rPr>
            </w:pPr>
          </w:p>
        </w:tc>
      </w:tr>
      <w:tr w:rsidR="00AF3136" w:rsidRPr="00C725D3" w14:paraId="51063FC4"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DA30C53" w14:textId="7E0AA22E" w:rsidR="00AF3136" w:rsidRPr="00C725D3" w:rsidRDefault="00AF3136" w:rsidP="00AB039D">
            <w:pPr>
              <w:jc w:val="center"/>
              <w:rPr>
                <w:rFonts w:eastAsiaTheme="minorEastAsia"/>
                <w:lang w:val="en-US"/>
              </w:rPr>
            </w:pPr>
          </w:p>
        </w:tc>
        <w:tc>
          <w:tcPr>
            <w:tcW w:w="1896" w:type="dxa"/>
            <w:tcBorders>
              <w:top w:val="single" w:sz="4" w:space="0" w:color="auto"/>
              <w:left w:val="single" w:sz="4" w:space="0" w:color="auto"/>
              <w:bottom w:val="single" w:sz="4" w:space="0" w:color="auto"/>
              <w:right w:val="single" w:sz="4" w:space="0" w:color="auto"/>
            </w:tcBorders>
          </w:tcPr>
          <w:p w14:paraId="5008F074" w14:textId="77777777" w:rsidR="00AF3136" w:rsidRPr="00C725D3" w:rsidRDefault="00AF3136" w:rsidP="002F11BD">
            <w:pPr>
              <w:rPr>
                <w:rFonts w:eastAsiaTheme="minorEastAsia"/>
                <w:lang w:val="en-US"/>
              </w:rPr>
            </w:pP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52AA502" w:rsidR="00AF3136" w:rsidRPr="00C725D3" w:rsidRDefault="00AF3136" w:rsidP="002F11BD">
            <w:pPr>
              <w:rPr>
                <w:rFonts w:eastAsiaTheme="minorEastAsia"/>
                <w:lang w:val="en-US"/>
              </w:rPr>
            </w:pPr>
          </w:p>
        </w:tc>
      </w:tr>
      <w:tr w:rsidR="00AF3136"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AF3136" w:rsidRPr="00C725D3" w:rsidRDefault="00AF3136" w:rsidP="00AB039D">
            <w:pPr>
              <w:jc w:val="center"/>
              <w:rPr>
                <w:lang w:val="en-US" w:eastAsia="sv-SE"/>
              </w:rPr>
            </w:pPr>
          </w:p>
        </w:tc>
      </w:tr>
      <w:tr w:rsidR="00AF3136"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AF3136" w:rsidRPr="00C725D3" w:rsidRDefault="00AF3136" w:rsidP="00AB039D">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AF3136" w:rsidRPr="00C725D3" w:rsidRDefault="00AF3136" w:rsidP="00AB039D">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AF3136" w:rsidRPr="00C725D3" w:rsidRDefault="00AF3136" w:rsidP="00AB039D">
            <w:pPr>
              <w:jc w:val="center"/>
              <w:rPr>
                <w:lang w:val="en-US" w:eastAsia="sv-SE"/>
              </w:rPr>
            </w:pPr>
          </w:p>
        </w:tc>
      </w:tr>
      <w:bookmarkEnd w:id="10"/>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ac"/>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r>
              <w:rPr>
                <w:lang w:val="en-US" w:eastAsia="en-US"/>
              </w:rPr>
              <w:t>Yes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hint="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hint="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77777777" w:rsidR="00CC3DE7" w:rsidRDefault="00CC3DE7">
            <w:pPr>
              <w:jc w:val="center"/>
              <w:rPr>
                <w:lang w:val="en-US" w:eastAsia="sv-SE"/>
              </w:rPr>
            </w:pPr>
          </w:p>
        </w:tc>
      </w:tr>
      <w:tr w:rsidR="00CC3DE7"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77777777" w:rsidR="00CC3DE7" w:rsidRDefault="00CC3DE7">
            <w:pPr>
              <w:jc w:val="left"/>
              <w:rPr>
                <w:lang w:val="en-US" w:eastAsia="sv-SE"/>
              </w:rPr>
            </w:pPr>
          </w:p>
        </w:tc>
      </w:tr>
      <w:tr w:rsidR="00CC3DE7"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77777777" w:rsidR="00CC3DE7" w:rsidRDefault="00CC3DE7">
            <w:pPr>
              <w:jc w:val="center"/>
              <w:rPr>
                <w:rFonts w:eastAsiaTheme="minorEastAsia"/>
                <w:lang w:val="en-US" w:eastAsia="en-US"/>
              </w:rPr>
            </w:pP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77777777" w:rsidR="00CC3DE7" w:rsidRDefault="00CC3DE7">
            <w:pPr>
              <w:rPr>
                <w:rFonts w:eastAsiaTheme="minorEastAsia"/>
                <w:lang w:val="en-US" w:eastAsia="en-US"/>
              </w:rPr>
            </w:pPr>
          </w:p>
        </w:tc>
      </w:tr>
      <w:tr w:rsidR="00CC3DE7"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77777777" w:rsidR="00CC3DE7" w:rsidRDefault="00CC3DE7">
            <w:pPr>
              <w:jc w:val="center"/>
              <w:rPr>
                <w:lang w:val="en-US" w:eastAsia="sv-SE"/>
              </w:rPr>
            </w:pPr>
          </w:p>
        </w:tc>
      </w:tr>
      <w:tr w:rsidR="00CC3DE7"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CC3DE7" w:rsidRDefault="00CC3DE7">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CC3DE7" w:rsidRDefault="00CC3DE7">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lastRenderedPageBreak/>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 ?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approch,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window(i.e.,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2"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2"/>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hint="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hint="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hint="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41D5874"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9F26D2"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BE41909" w14:textId="77777777" w:rsidR="009F26D2" w:rsidRDefault="009F26D2">
            <w:pPr>
              <w:jc w:val="left"/>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9F26D2" w:rsidRDefault="009F26D2">
            <w:pPr>
              <w:jc w:val="left"/>
              <w:rPr>
                <w:lang w:val="en-US" w:eastAsia="sv-SE"/>
              </w:rPr>
            </w:pPr>
          </w:p>
        </w:tc>
      </w:tr>
      <w:tr w:rsidR="009F26D2"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77777777" w:rsidR="009F26D2" w:rsidRDefault="009F26D2">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09C9205B" w14:textId="77777777" w:rsidR="009F26D2" w:rsidRDefault="009F26D2">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9F26D2" w:rsidRDefault="009F26D2">
            <w:pPr>
              <w:rPr>
                <w:rFonts w:eastAsiaTheme="minorEastAsia"/>
                <w:lang w:val="en-US" w:eastAsia="en-US"/>
              </w:rPr>
            </w:pPr>
          </w:p>
        </w:tc>
      </w:tr>
      <w:tr w:rsidR="009F26D2"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5B651D2"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03EAE741" w:rsidR="009F26D2" w:rsidRDefault="009F26D2">
            <w:pPr>
              <w:jc w:val="center"/>
              <w:rPr>
                <w:lang w:val="en-US" w:eastAsia="sv-SE"/>
              </w:rPr>
            </w:pPr>
          </w:p>
        </w:tc>
      </w:tr>
      <w:tr w:rsidR="009F26D2"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9F26D2" w:rsidRDefault="009F26D2">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9F26D2" w:rsidRDefault="009F26D2">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9F26D2" w:rsidRDefault="009F26D2">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ac"/>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lastRenderedPageBreak/>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afte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r>
              <w:rPr>
                <w:lang w:val="en-US" w:eastAsia="en-US"/>
              </w:rPr>
              <w:t>Yes its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hint="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hint="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CF6AB6"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F4B349A"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77777777" w:rsidR="00CF6AB6" w:rsidRDefault="00CF6AB6" w:rsidP="001866B2">
            <w:pPr>
              <w:jc w:val="left"/>
              <w:rPr>
                <w:lang w:val="en-US" w:eastAsia="sv-SE"/>
              </w:rPr>
            </w:pPr>
          </w:p>
        </w:tc>
      </w:tr>
      <w:tr w:rsidR="00CF6AB6"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32637C11" w14:textId="77777777" w:rsidR="00CF6AB6" w:rsidRDefault="00CF6AB6">
            <w:pPr>
              <w:jc w:val="left"/>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CF6AB6" w:rsidRDefault="00CF6AB6" w:rsidP="001866B2">
            <w:pPr>
              <w:jc w:val="left"/>
              <w:rPr>
                <w:lang w:val="en-US" w:eastAsia="sv-SE"/>
              </w:rPr>
            </w:pPr>
          </w:p>
        </w:tc>
      </w:tr>
      <w:tr w:rsidR="00CF6AB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77777777" w:rsidR="00CF6AB6" w:rsidRDefault="00CF6AB6">
            <w:pPr>
              <w:jc w:val="center"/>
              <w:rPr>
                <w:rFonts w:eastAsiaTheme="minorEastAsia"/>
                <w:lang w:val="en-US" w:eastAsia="en-US"/>
              </w:rPr>
            </w:pPr>
          </w:p>
        </w:tc>
        <w:tc>
          <w:tcPr>
            <w:tcW w:w="1612" w:type="dxa"/>
            <w:tcBorders>
              <w:top w:val="single" w:sz="4" w:space="0" w:color="auto"/>
              <w:left w:val="single" w:sz="4" w:space="0" w:color="auto"/>
              <w:bottom w:val="single" w:sz="4" w:space="0" w:color="auto"/>
              <w:right w:val="single" w:sz="4" w:space="0" w:color="auto"/>
            </w:tcBorders>
          </w:tcPr>
          <w:p w14:paraId="024CF947" w14:textId="77777777" w:rsidR="00CF6AB6" w:rsidRDefault="00CF6AB6">
            <w:pPr>
              <w:rPr>
                <w:rFonts w:eastAsiaTheme="minorEastAsia"/>
                <w:lang w:val="en-US"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CF6AB6" w:rsidRDefault="00CF6AB6" w:rsidP="001866B2">
            <w:pPr>
              <w:jc w:val="left"/>
              <w:rPr>
                <w:rFonts w:eastAsiaTheme="minorEastAsia"/>
                <w:lang w:val="en-US" w:eastAsia="en-US"/>
              </w:rPr>
            </w:pPr>
          </w:p>
        </w:tc>
      </w:tr>
      <w:tr w:rsidR="00CF6AB6"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CF6AB6" w:rsidRDefault="00CF6AB6" w:rsidP="001866B2">
            <w:pPr>
              <w:jc w:val="left"/>
              <w:rPr>
                <w:lang w:val="en-US" w:eastAsia="sv-SE"/>
              </w:rPr>
            </w:pPr>
          </w:p>
        </w:tc>
      </w:tr>
      <w:tr w:rsidR="00CF6AB6"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CF6AB6" w:rsidRDefault="00CF6AB6">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CF6AB6" w:rsidRDefault="00CF6AB6">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CF6AB6" w:rsidRDefault="00CF6AB6" w:rsidP="001866B2">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The remnaing one should be used for UL grant to be used for fallback</w:t>
            </w:r>
            <w:r w:rsidR="00B41922">
              <w:rPr>
                <w:rFonts w:eastAsiaTheme="minorEastAsia"/>
                <w:lang w:val="en-US"/>
              </w:rPr>
              <w:t xml:space="preserve"> to contention free transmission</w:t>
            </w:r>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lastRenderedPageBreak/>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3" w:name="OLE_LINK43"/>
    </w:p>
    <w:p w14:paraId="4C65CCE8" w14:textId="13AE58FF" w:rsidR="00042141" w:rsidRDefault="0023561E" w:rsidP="00042141">
      <w:pPr>
        <w:pStyle w:val="1"/>
        <w:rPr>
          <w:lang w:val="en-US"/>
        </w:rPr>
      </w:pPr>
      <w:r w:rsidRPr="00C725D3">
        <w:rPr>
          <w:lang w:val="en-US"/>
        </w:rPr>
        <w:t>Con</w:t>
      </w:r>
      <w:bookmarkEnd w:id="13"/>
      <w:r w:rsidRPr="00C725D3">
        <w:rPr>
          <w:lang w:val="en-US"/>
        </w:rPr>
        <w:t>clusions</w:t>
      </w:r>
    </w:p>
    <w:p w14:paraId="674B181C" w14:textId="77777777" w:rsidR="00B30EE6" w:rsidRDefault="00B30EE6" w:rsidP="00B30EE6">
      <w:pPr>
        <w:spacing w:after="0"/>
        <w:rPr>
          <w:rFonts w:cs="Arial"/>
          <w:lang w:eastAsia="sv-SE"/>
        </w:rPr>
      </w:pPr>
      <w:bookmarkStart w:id="14"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5" w:name="OLE_LINK47"/>
      <w:r>
        <w:rPr>
          <w:rFonts w:cs="Arial"/>
          <w:lang w:eastAsia="sv-SE"/>
        </w:rPr>
        <w:t>[</w:t>
      </w:r>
      <w:r>
        <w:rPr>
          <w:rFonts w:cs="Arial"/>
          <w:highlight w:val="yellow"/>
          <w:lang w:eastAsia="sv-SE"/>
        </w:rPr>
        <w:t>Proposals for discussion</w:t>
      </w:r>
      <w:r>
        <w:rPr>
          <w:rFonts w:cs="Arial"/>
          <w:lang w:eastAsia="sv-SE"/>
        </w:rPr>
        <w:t>]</w:t>
      </w:r>
    </w:p>
    <w:bookmarkEnd w:id="15"/>
    <w:p w14:paraId="3BD217C0" w14:textId="77777777" w:rsidR="00B30EE6" w:rsidRDefault="00B30EE6" w:rsidP="00B30EE6">
      <w:pPr>
        <w:spacing w:after="0"/>
        <w:rPr>
          <w:rFonts w:cs="Arial"/>
          <w:lang w:eastAsia="sv-SE"/>
        </w:rPr>
      </w:pPr>
    </w:p>
    <w:bookmarkEnd w:id="14"/>
    <w:p w14:paraId="05E607EE" w14:textId="77777777" w:rsidR="00B30EE6" w:rsidRDefault="00B30EE6" w:rsidP="00B30EE6">
      <w:pPr>
        <w:spacing w:after="0"/>
        <w:rPr>
          <w:rFonts w:cs="Arial"/>
          <w:lang w:eastAsia="sv-SE"/>
        </w:rPr>
      </w:pPr>
    </w:p>
    <w:sectPr w:rsidR="00B30EE6">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873D0" w14:textId="77777777" w:rsidR="006C00D5" w:rsidRDefault="006C00D5">
      <w:pPr>
        <w:spacing w:after="0"/>
      </w:pPr>
      <w:r>
        <w:separator/>
      </w:r>
    </w:p>
  </w:endnote>
  <w:endnote w:type="continuationSeparator" w:id="0">
    <w:p w14:paraId="56D2C7D3" w14:textId="77777777" w:rsidR="006C00D5" w:rsidRDefault="006C00D5">
      <w:pPr>
        <w:spacing w:after="0"/>
      </w:pPr>
      <w:r>
        <w:continuationSeparator/>
      </w:r>
    </w:p>
  </w:endnote>
  <w:endnote w:type="continuationNotice" w:id="1">
    <w:p w14:paraId="54F3B0C8" w14:textId="77777777" w:rsidR="006C00D5" w:rsidRDefault="006C00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707A" w14:textId="2AAC9C2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64941">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64941">
      <w:rPr>
        <w:rStyle w:val="a6"/>
      </w:rPr>
      <w:t>18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B4F3" w14:textId="77777777" w:rsidR="006C00D5" w:rsidRDefault="006C00D5">
      <w:pPr>
        <w:spacing w:after="0"/>
      </w:pPr>
      <w:r>
        <w:separator/>
      </w:r>
    </w:p>
  </w:footnote>
  <w:footnote w:type="continuationSeparator" w:id="0">
    <w:p w14:paraId="0E35CFD8" w14:textId="77777777" w:rsidR="006C00D5" w:rsidRDefault="006C00D5">
      <w:pPr>
        <w:spacing w:after="0"/>
      </w:pPr>
      <w:r>
        <w:continuationSeparator/>
      </w:r>
    </w:p>
  </w:footnote>
  <w:footnote w:type="continuationNotice" w:id="1">
    <w:p w14:paraId="7F033FC1" w14:textId="77777777" w:rsidR="006C00D5" w:rsidRDefault="006C00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8"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520072">
    <w:abstractNumId w:val="0"/>
  </w:num>
  <w:num w:numId="2" w16cid:durableId="1814057559">
    <w:abstractNumId w:val="13"/>
  </w:num>
  <w:num w:numId="3" w16cid:durableId="1590843415">
    <w:abstractNumId w:val="14"/>
  </w:num>
  <w:num w:numId="4" w16cid:durableId="437991235">
    <w:abstractNumId w:val="7"/>
  </w:num>
  <w:num w:numId="5" w16cid:durableId="1505779285">
    <w:abstractNumId w:val="5"/>
  </w:num>
  <w:num w:numId="6" w16cid:durableId="53704420">
    <w:abstractNumId w:val="11"/>
  </w:num>
  <w:num w:numId="7" w16cid:durableId="796990850">
    <w:abstractNumId w:val="9"/>
  </w:num>
  <w:num w:numId="8" w16cid:durableId="129042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906139">
    <w:abstractNumId w:val="14"/>
  </w:num>
  <w:num w:numId="10" w16cid:durableId="741025876">
    <w:abstractNumId w:val="17"/>
  </w:num>
  <w:num w:numId="11" w16cid:durableId="1744638413">
    <w:abstractNumId w:val="23"/>
  </w:num>
  <w:num w:numId="12" w16cid:durableId="145246565">
    <w:abstractNumId w:val="20"/>
  </w:num>
  <w:num w:numId="13" w16cid:durableId="977030280">
    <w:abstractNumId w:val="23"/>
  </w:num>
  <w:num w:numId="14" w16cid:durableId="2005546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622938">
    <w:abstractNumId w:val="23"/>
  </w:num>
  <w:num w:numId="16" w16cid:durableId="1054620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037064">
    <w:abstractNumId w:val="3"/>
  </w:num>
  <w:num w:numId="18" w16cid:durableId="1040974957">
    <w:abstractNumId w:val="3"/>
  </w:num>
  <w:num w:numId="19" w16cid:durableId="97214328">
    <w:abstractNumId w:val="3"/>
  </w:num>
  <w:num w:numId="20" w16cid:durableId="1114904332">
    <w:abstractNumId w:val="14"/>
  </w:num>
  <w:num w:numId="21" w16cid:durableId="787627694">
    <w:abstractNumId w:val="3"/>
  </w:num>
  <w:num w:numId="22" w16cid:durableId="848911063">
    <w:abstractNumId w:val="6"/>
  </w:num>
  <w:num w:numId="23" w16cid:durableId="2084136912">
    <w:abstractNumId w:val="24"/>
  </w:num>
  <w:num w:numId="24" w16cid:durableId="1299843281">
    <w:abstractNumId w:val="22"/>
  </w:num>
  <w:num w:numId="25" w16cid:durableId="1477869195">
    <w:abstractNumId w:val="1"/>
  </w:num>
  <w:num w:numId="26" w16cid:durableId="1973897100">
    <w:abstractNumId w:val="8"/>
  </w:num>
  <w:num w:numId="27" w16cid:durableId="492570132">
    <w:abstractNumId w:val="15"/>
  </w:num>
  <w:num w:numId="28" w16cid:durableId="1238322899">
    <w:abstractNumId w:val="18"/>
  </w:num>
  <w:num w:numId="29" w16cid:durableId="1481386546">
    <w:abstractNumId w:val="18"/>
  </w:num>
  <w:num w:numId="30" w16cid:durableId="284773742">
    <w:abstractNumId w:val="16"/>
  </w:num>
  <w:num w:numId="31" w16cid:durableId="1918785851">
    <w:abstractNumId w:val="10"/>
  </w:num>
  <w:num w:numId="32" w16cid:durableId="1887908775">
    <w:abstractNumId w:val="19"/>
  </w:num>
  <w:num w:numId="33" w16cid:durableId="784270263">
    <w:abstractNumId w:val="2"/>
  </w:num>
  <w:num w:numId="34" w16cid:durableId="1435126067">
    <w:abstractNumId w:val="4"/>
  </w:num>
  <w:num w:numId="35" w16cid:durableId="470247744">
    <w:abstractNumId w:val="19"/>
  </w:num>
  <w:num w:numId="36" w16cid:durableId="412703928">
    <w:abstractNumId w:val="14"/>
  </w:num>
  <w:num w:numId="37" w16cid:durableId="178541865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7</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vivo</cp:lastModifiedBy>
  <cp:revision>58</cp:revision>
  <dcterms:created xsi:type="dcterms:W3CDTF">2025-07-28T20:41:00Z</dcterms:created>
  <dcterms:modified xsi:type="dcterms:W3CDTF">2025-07-31T07:31:00Z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