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ＭＳ 明朝" w:hAnsi="Arial" w:cs="Arial"/>
          <w:b/>
          <w:szCs w:val="24"/>
          <w:lang w:eastAsia="en-GB"/>
        </w:rPr>
      </w:pPr>
      <w:r w:rsidRPr="00CA1603">
        <w:rPr>
          <w:rFonts w:ascii="Arial" w:eastAsia="ＭＳ 明朝" w:hAnsi="Arial" w:cs="Arial"/>
          <w:b/>
          <w:szCs w:val="24"/>
          <w:lang w:eastAsia="en-GB"/>
        </w:rPr>
        <w:t>[</w:t>
      </w:r>
      <w:r w:rsidRPr="00CA1603">
        <w:rPr>
          <w:rFonts w:ascii="Arial" w:eastAsia="Malgun Gothic" w:hAnsi="Arial" w:cs="Arial"/>
          <w:b/>
          <w:szCs w:val="24"/>
          <w:lang w:eastAsia="ko-KR"/>
        </w:rPr>
        <w:t>POST</w:t>
      </w:r>
      <w:r w:rsidRPr="00CA1603">
        <w:rPr>
          <w:rFonts w:ascii="Arial" w:eastAsia="ＭＳ 明朝" w:hAnsi="Arial" w:cs="Arial"/>
          <w:b/>
          <w:szCs w:val="24"/>
          <w:lang w:eastAsia="en-GB"/>
        </w:rPr>
        <w:t>130][1</w:t>
      </w:r>
      <w:r w:rsidRPr="00CA1603">
        <w:rPr>
          <w:rFonts w:ascii="Arial" w:eastAsia="Malgun Gothic" w:hAnsi="Arial" w:cs="Arial"/>
          <w:b/>
          <w:szCs w:val="24"/>
          <w:lang w:eastAsia="ko-KR"/>
        </w:rPr>
        <w:t>09</w:t>
      </w:r>
      <w:r w:rsidRPr="00CA1603">
        <w:rPr>
          <w:rFonts w:ascii="Arial" w:eastAsia="ＭＳ 明朝" w:hAnsi="Arial" w:cs="Arial"/>
          <w:b/>
          <w:szCs w:val="24"/>
          <w:lang w:eastAsia="en-GB"/>
        </w:rPr>
        <w:t>][</w:t>
      </w:r>
      <w:r w:rsidRPr="00CA1603">
        <w:rPr>
          <w:rFonts w:ascii="Arial" w:eastAsia="Malgun Gothic" w:hAnsi="Arial" w:cs="Arial"/>
          <w:b/>
          <w:szCs w:val="24"/>
          <w:lang w:eastAsia="ko-KR"/>
        </w:rPr>
        <w:t>NES</w:t>
      </w:r>
      <w:r w:rsidRPr="00CA1603">
        <w:rPr>
          <w:rFonts w:ascii="Arial" w:eastAsia="ＭＳ 明朝"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ＭＳ 明朝" w:hAnsi="Arial"/>
          <w:szCs w:val="24"/>
          <w:lang w:eastAsia="en-GB"/>
        </w:rPr>
      </w:pPr>
      <w:r w:rsidRPr="00CA1603">
        <w:rPr>
          <w:rFonts w:ascii="Arial" w:eastAsia="ＭＳ 明朝" w:hAnsi="Arial"/>
          <w:szCs w:val="24"/>
          <w:lang w:eastAsia="en-GB"/>
        </w:rPr>
        <w:tab/>
      </w:r>
      <w:r w:rsidRPr="00CA1603">
        <w:rPr>
          <w:rFonts w:ascii="Arial" w:eastAsia="ＭＳ 明朝" w:hAnsi="Arial"/>
          <w:b/>
          <w:szCs w:val="24"/>
          <w:lang w:eastAsia="en-GB"/>
        </w:rPr>
        <w:t>Scope:</w:t>
      </w:r>
      <w:r w:rsidRPr="00CA1603">
        <w:rPr>
          <w:rFonts w:ascii="Arial" w:eastAsia="ＭＳ 明朝"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ＭＳ 明朝" w:hAnsi="Arial"/>
          <w:szCs w:val="24"/>
          <w:lang w:eastAsia="en-GB"/>
        </w:rPr>
        <w:tab/>
      </w:r>
      <w:r w:rsidRPr="00CA1603">
        <w:rPr>
          <w:rFonts w:ascii="Arial" w:eastAsia="ＭＳ 明朝" w:hAnsi="Arial"/>
          <w:b/>
          <w:szCs w:val="24"/>
          <w:lang w:eastAsia="en-GB"/>
        </w:rPr>
        <w:t>Intended outcome:</w:t>
      </w:r>
      <w:r w:rsidRPr="00CA1603">
        <w:rPr>
          <w:rFonts w:ascii="Arial" w:eastAsia="ＭＳ 明朝"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ＭＳ 明朝"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Q</w:t>
            </w:r>
            <w:r>
              <w:rPr>
                <w:rFonts w:ascii="Arial" w:hAnsi="Arial" w:cs="Arial"/>
                <w:color w:val="000000"/>
                <w:sz w:val="21"/>
                <w:lang w:eastAsia="zh-CN"/>
              </w:rPr>
              <w:t>ianxi</w:t>
            </w:r>
            <w:proofErr w:type="spellEnd"/>
            <w:r>
              <w:rPr>
                <w:rFonts w:ascii="Arial" w:hAnsi="Arial" w:cs="Arial"/>
                <w:color w:val="000000"/>
                <w:sz w:val="21"/>
                <w:lang w:eastAsia="zh-CN"/>
              </w:rPr>
              <w:t xml:space="preserve">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shd w:val="clear" w:color="auto" w:fill="auto"/>
          </w:tcPr>
          <w:p w14:paraId="3E345750" w14:textId="77777777" w:rsidR="00376E8F" w:rsidRPr="00D51072" w:rsidRDefault="00376E8F" w:rsidP="00EA11F9">
            <w:pPr>
              <w:spacing w:before="100" w:beforeAutospacing="1" w:after="100" w:afterAutospacing="1"/>
              <w:jc w:val="both"/>
              <w:rPr>
                <w:rFonts w:ascii="Arial" w:eastAsia="游明朝" w:hAnsi="Arial" w:cs="Arial"/>
                <w:color w:val="000000"/>
                <w:sz w:val="21"/>
                <w:lang w:eastAsia="ja-JP"/>
              </w:rPr>
            </w:pPr>
            <w:r>
              <w:rPr>
                <w:rFonts w:ascii="Arial" w:eastAsia="游明朝" w:hAnsi="Arial" w:cs="Arial" w:hint="eastAsia"/>
                <w:color w:val="000000"/>
                <w:sz w:val="21"/>
                <w:lang w:eastAsia="ja-JP"/>
              </w:rPr>
              <w:t>Fujitsu</w:t>
            </w:r>
          </w:p>
        </w:tc>
        <w:tc>
          <w:tcPr>
            <w:tcW w:w="3189" w:type="dxa"/>
            <w:shd w:val="clear" w:color="auto" w:fill="auto"/>
          </w:tcPr>
          <w:p w14:paraId="79067678" w14:textId="31B01513" w:rsidR="00376E8F" w:rsidRPr="00D51072" w:rsidRDefault="00376E8F" w:rsidP="00EA11F9">
            <w:pPr>
              <w:spacing w:before="100" w:beforeAutospacing="1" w:after="100" w:afterAutospacing="1"/>
              <w:jc w:val="both"/>
              <w:rPr>
                <w:rFonts w:ascii="Arial" w:eastAsia="游明朝" w:hAnsi="Arial" w:cs="Arial" w:hint="eastAsia"/>
                <w:color w:val="000000"/>
                <w:sz w:val="21"/>
                <w:lang w:val="en-US" w:eastAsia="ja-JP"/>
              </w:rPr>
            </w:pPr>
            <w:r>
              <w:rPr>
                <w:rFonts w:ascii="Arial" w:eastAsia="游明朝" w:hAnsi="Arial" w:cs="Arial" w:hint="eastAsia"/>
                <w:color w:val="000000"/>
                <w:sz w:val="21"/>
                <w:lang w:val="en-US" w:eastAsia="ja-JP"/>
              </w:rPr>
              <w:t xml:space="preserve">Katsunari </w:t>
            </w:r>
            <w:r w:rsidR="00181E00">
              <w:rPr>
                <w:rFonts w:ascii="Arial" w:eastAsia="游明朝" w:hAnsi="Arial" w:cs="Arial" w:hint="eastAsia"/>
                <w:color w:val="000000"/>
                <w:sz w:val="21"/>
                <w:lang w:val="en-US" w:eastAsia="ja-JP"/>
              </w:rPr>
              <w:t>Uemura</w:t>
            </w:r>
          </w:p>
        </w:tc>
        <w:tc>
          <w:tcPr>
            <w:tcW w:w="4105" w:type="dxa"/>
            <w:shd w:val="clear" w:color="auto" w:fill="auto"/>
          </w:tcPr>
          <w:p w14:paraId="07FBD4B4" w14:textId="77777777" w:rsidR="00376E8F" w:rsidRPr="00D51072" w:rsidRDefault="00376E8F" w:rsidP="00EA11F9">
            <w:pPr>
              <w:spacing w:before="100" w:beforeAutospacing="1" w:after="100" w:afterAutospacing="1"/>
              <w:jc w:val="both"/>
              <w:rPr>
                <w:rFonts w:ascii="Arial" w:eastAsia="游明朝" w:hAnsi="Arial" w:cs="Arial"/>
                <w:color w:val="000000"/>
                <w:sz w:val="21"/>
                <w:lang w:val="en-US" w:eastAsia="ja-JP"/>
              </w:rPr>
            </w:pPr>
            <w:r w:rsidRPr="00D51072">
              <w:rPr>
                <w:rFonts w:ascii="Arial" w:eastAsia="游明朝" w:hAnsi="Arial" w:cs="Arial"/>
                <w:color w:val="000000"/>
                <w:sz w:val="21"/>
                <w:lang w:val="en-US" w:eastAsia="ja-JP"/>
              </w:rPr>
              <w:t>u-katsunari@fujitsu.com</w:t>
            </w:r>
          </w:p>
        </w:tc>
      </w:tr>
      <w:tr w:rsidR="006657FE" w14:paraId="2C9D7473" w14:textId="77777777" w:rsidTr="00CA1603">
        <w:tc>
          <w:tcPr>
            <w:tcW w:w="2335" w:type="dxa"/>
            <w:shd w:val="clear" w:color="auto" w:fill="auto"/>
          </w:tcPr>
          <w:p w14:paraId="63AD6EAD" w14:textId="47FA03A2" w:rsidR="006657FE" w:rsidRPr="00B36F1E" w:rsidRDefault="006657FE" w:rsidP="006657F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6657FE" w:rsidRDefault="006657FE" w:rsidP="006657F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6657FE" w:rsidRDefault="006657FE" w:rsidP="006657F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The yellow part may lead to question on whether there is a case where CB-</w:t>
            </w:r>
            <w:proofErr w:type="spellStart"/>
            <w:r>
              <w:rPr>
                <w:rFonts w:ascii="Arial" w:eastAsia="DengXian" w:hAnsi="Arial" w:cs="Arial"/>
                <w:color w:val="00B0F0"/>
                <w:lang w:eastAsia="zh-CN"/>
              </w:rPr>
              <w:t>PreamblesPerSSB</w:t>
            </w:r>
            <w:proofErr w:type="spellEnd"/>
            <w:r>
              <w:rPr>
                <w:rFonts w:ascii="Arial" w:eastAsia="DengXian" w:hAnsi="Arial" w:cs="Arial"/>
                <w:color w:val="00B0F0"/>
                <w:lang w:eastAsia="zh-CN"/>
              </w:rPr>
              <w:t xml:space="preserve">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is optional under “</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lastRenderedPageBreak/>
              <w:br/>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w:t>
            </w:r>
            <w:proofErr w:type="spellStart"/>
            <w:r w:rsidRPr="00F606E2">
              <w:rPr>
                <w:i/>
                <w:kern w:val="2"/>
                <w:highlight w:val="yellow"/>
                <w:lang w:val="en-US" w:eastAsia="ko-KR"/>
                <w14:ligatures w14:val="standardContextual"/>
              </w:rPr>
              <w:t>i</w:t>
            </w:r>
            <w:proofErr w:type="spellEnd"/>
            <w:r w:rsidRPr="002032B8">
              <w:rPr>
                <w:kern w:val="2"/>
                <w:lang w:val="en-US" w:eastAsia="ko-KR"/>
                <w14:ligatures w14:val="standardContextual"/>
              </w:rPr>
              <w:t xml:space="preserve"> as specified in TS 38.331 [5], this field indicates the on-demand SSB activation/deactivation status for 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To unify the ordering reference to </w:t>
            </w:r>
            <w:proofErr w:type="spellStart"/>
            <w:r>
              <w:rPr>
                <w:rFonts w:ascii="Arial" w:eastAsia="DengXian" w:hAnsi="Arial" w:cs="Arial"/>
                <w:color w:val="00B0F0"/>
                <w:lang w:eastAsia="zh-CN"/>
              </w:rPr>
              <w:t>SCellIndex</w:t>
            </w:r>
            <w:proofErr w:type="spellEnd"/>
            <w:r>
              <w:rPr>
                <w:rFonts w:ascii="Arial" w:eastAsia="DengXian"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游明朝" w:hAnsi="Arial" w:cs="Arial"/>
                <w:color w:val="4472C4" w:themeColor="accent1"/>
                <w:lang w:eastAsia="ja-JP"/>
              </w:rPr>
            </w:pPr>
            <w:r w:rsidRPr="00ED173B">
              <w:rPr>
                <w:rFonts w:ascii="Arial" w:eastAsia="DengXian" w:hAnsi="Arial" w:cs="Arial"/>
                <w:color w:val="4472C4" w:themeColor="accent1"/>
                <w:lang w:eastAsia="zh-CN"/>
              </w:rPr>
              <w:t>[vivo]</w:t>
            </w:r>
            <w:r>
              <w:rPr>
                <w:rFonts w:ascii="Arial" w:eastAsia="DengXian" w:hAnsi="Arial" w:cs="Arial"/>
                <w:color w:val="4472C4" w:themeColor="accent1"/>
                <w:lang w:eastAsia="zh-CN"/>
              </w:rPr>
              <w:t xml:space="preserve"> </w:t>
            </w:r>
            <w:r w:rsidR="008F6C62">
              <w:rPr>
                <w:rFonts w:ascii="Arial" w:eastAsia="DengXian" w:hAnsi="Arial" w:cs="Arial"/>
                <w:color w:val="4472C4" w:themeColor="accent1"/>
                <w:lang w:eastAsia="zh-CN"/>
              </w:rPr>
              <w:t>Maybe we only need to clarify the case when the UE selects additional RO. When legacy RO is selected, the procedure is the same as legacy.</w:t>
            </w:r>
          </w:p>
          <w:p w14:paraId="65CA26A1" w14:textId="7C7D3EBF" w:rsidR="00376E8F" w:rsidRPr="00376E8F" w:rsidRDefault="00376E8F" w:rsidP="006B0213">
            <w:pPr>
              <w:overflowPunct w:val="0"/>
              <w:autoSpaceDE w:val="0"/>
              <w:autoSpaceDN w:val="0"/>
              <w:adjustRightInd w:val="0"/>
              <w:textAlignment w:val="baseline"/>
              <w:rPr>
                <w:rFonts w:ascii="Arial" w:eastAsia="游明朝" w:hAnsi="Arial" w:cs="Arial"/>
                <w:color w:val="00B050"/>
                <w:lang w:eastAsia="ja-JP"/>
              </w:rPr>
            </w:pPr>
            <w:r w:rsidRPr="001B3A0D">
              <w:rPr>
                <w:rFonts w:ascii="Arial" w:eastAsia="游明朝" w:hAnsi="Arial" w:cs="Arial" w:hint="eastAsia"/>
                <w:color w:val="C00000"/>
                <w:lang w:eastAsia="ja-JP"/>
              </w:rPr>
              <w:t>[Fujitsu] Agree with vivo. As it is the legacy case, the la</w:t>
            </w:r>
            <w:r w:rsidR="001B3A0D" w:rsidRPr="001B3A0D">
              <w:rPr>
                <w:rFonts w:ascii="Arial" w:eastAsia="游明朝" w:hAnsi="Arial" w:cs="Arial" w:hint="eastAsia"/>
                <w:color w:val="C00000"/>
                <w:lang w:eastAsia="ja-JP"/>
              </w:rPr>
              <w:t>s</w:t>
            </w:r>
            <w:r w:rsidRPr="001B3A0D">
              <w:rPr>
                <w:rFonts w:ascii="Arial" w:eastAsia="游明朝" w:hAnsi="Arial" w:cs="Arial" w:hint="eastAsia"/>
                <w:color w:val="C00000"/>
                <w:lang w:eastAsia="ja-JP"/>
              </w:rPr>
              <w:t>t part is not needed.</w:t>
            </w:r>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lastRenderedPageBreak/>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DengXian"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lastRenderedPageBreak/>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lastRenderedPageBreak/>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w:t>
            </w:r>
            <w:r w:rsidRPr="00C76364">
              <w:rPr>
                <w:rFonts w:eastAsia="Times New Roman"/>
                <w:lang w:eastAsia="ko-KR"/>
              </w:rPr>
              <w:lastRenderedPageBreak/>
              <w:t xml:space="preserve">by a MAC </w:t>
            </w:r>
            <w:proofErr w:type="spellStart"/>
            <w:r w:rsidRPr="00C76364">
              <w:rPr>
                <w:rFonts w:eastAsia="Times New Roman"/>
                <w:lang w:eastAsia="ko-KR"/>
              </w:rPr>
              <w:t>subheader</w:t>
            </w:r>
            <w:proofErr w:type="spellEnd"/>
            <w:r w:rsidRPr="00C76364">
              <w:rPr>
                <w:rFonts w:eastAsia="Times New Roman"/>
                <w:lang w:eastAsia="ko-KR"/>
              </w:rPr>
              <w:t xml:space="preserve">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 xml:space="preserve">for each </w:t>
            </w:r>
            <w:proofErr w:type="spellStart"/>
            <w:r w:rsidRPr="00C76364">
              <w:rPr>
                <w:rFonts w:eastAsia="Times New Roman"/>
                <w:highlight w:val="yellow"/>
                <w:lang w:eastAsia="ko-KR"/>
              </w:rPr>
              <w:t>SCell</w:t>
            </w:r>
            <w:proofErr w:type="spellEnd"/>
            <w:r w:rsidRPr="00C76364">
              <w:rPr>
                <w:rFonts w:eastAsia="Times New Roman"/>
                <w:highlight w:val="yellow"/>
                <w:lang w:eastAsia="ko-KR"/>
              </w:rPr>
              <w:t xml:space="preserve">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 xml:space="preserve">highlighted wording might be misunderstood as for each activated </w:t>
            </w:r>
            <w:proofErr w:type="spellStart"/>
            <w:r>
              <w:rPr>
                <w:lang w:val="en-US" w:eastAsia="zh-CN"/>
              </w:rPr>
              <w:t>SCell</w:t>
            </w:r>
            <w:proofErr w:type="spellEnd"/>
            <w:r>
              <w:rPr>
                <w:lang w:val="en-US" w:eastAsia="zh-CN"/>
              </w:rPr>
              <w:t>.</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lastRenderedPageBreak/>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lastRenderedPageBreak/>
              <w:t xml:space="preserve">for each </w:t>
            </w:r>
            <w:proofErr w:type="spellStart"/>
            <w:r w:rsidRPr="00C76364">
              <w:rPr>
                <w:rFonts w:eastAsia="Times New Roman"/>
                <w:lang w:eastAsia="ko-KR"/>
              </w:rPr>
              <w:t>SCell</w:t>
            </w:r>
            <w:proofErr w:type="spellEnd"/>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p w14:paraId="7B45DC25" w14:textId="7492301D" w:rsidR="00E11E30" w:rsidRPr="00C92D4E" w:rsidRDefault="00E11E30" w:rsidP="00565708">
            <w:pPr>
              <w:overflowPunct w:val="0"/>
              <w:autoSpaceDE w:val="0"/>
              <w:autoSpaceDN w:val="0"/>
              <w:adjustRightInd w:val="0"/>
              <w:textAlignment w:val="baseline"/>
              <w:rPr>
                <w:rFonts w:ascii="Arial" w:eastAsia="DengXian" w:hAnsi="Arial" w:cs="Arial"/>
                <w:color w:val="00B0F0"/>
                <w:lang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tc>
      </w:tr>
      <w:tr w:rsidR="00376E8F" w14:paraId="7E5F2733" w14:textId="77777777" w:rsidTr="005761CE">
        <w:tc>
          <w:tcPr>
            <w:tcW w:w="1312" w:type="dxa"/>
            <w:shd w:val="clear" w:color="auto" w:fill="auto"/>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游明朝" w:hAnsi="Arial" w:cs="Arial" w:hint="eastAsia"/>
                <w:color w:val="000000"/>
                <w:lang w:val="en-US" w:eastAsia="ja-JP"/>
              </w:rPr>
              <w:t>Fujitsu 001</w:t>
            </w:r>
          </w:p>
        </w:tc>
        <w:tc>
          <w:tcPr>
            <w:tcW w:w="4495" w:type="dxa"/>
            <w:shd w:val="clear" w:color="auto" w:fill="auto"/>
          </w:tcPr>
          <w:p w14:paraId="31D36FFF" w14:textId="77777777" w:rsidR="00376E8F" w:rsidRDefault="00376E8F" w:rsidP="00376E8F">
            <w:pPr>
              <w:pStyle w:val="B4"/>
              <w:ind w:left="699" w:hanging="709"/>
              <w:rPr>
                <w:rFonts w:eastAsia="游明朝"/>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游明朝"/>
                <w:lang w:val="en-US" w:eastAsia="ja-JP"/>
              </w:rPr>
            </w:pPr>
            <w:r>
              <w:rPr>
                <w:rFonts w:eastAsia="游明朝"/>
                <w:lang w:val="en-US" w:eastAsia="ja-JP"/>
              </w:rPr>
              <w:t>…</w:t>
            </w:r>
          </w:p>
          <w:p w14:paraId="17AB2BE5" w14:textId="77777777" w:rsidR="00376E8F" w:rsidRDefault="00376E8F" w:rsidP="00376E8F">
            <w:pPr>
              <w:ind w:left="273" w:hanging="284"/>
              <w:rPr>
                <w:rFonts w:eastAsia="游明朝"/>
                <w:lang w:eastAsia="ja-JP"/>
              </w:rPr>
            </w:pPr>
            <w:r w:rsidRPr="00EA2A4F">
              <w:rPr>
                <w:lang w:eastAsia="ko-KR"/>
              </w:rPr>
              <w:t>1&gt;</w:t>
            </w:r>
            <w:r w:rsidRPr="00EA2A4F">
              <w:rPr>
                <w:lang w:eastAsia="ko-KR"/>
              </w:rPr>
              <w:tab/>
            </w:r>
            <w:r w:rsidRPr="00B10395">
              <w:rPr>
                <w:highlight w:val="yellow"/>
                <w:lang w:eastAsia="ko-KR"/>
              </w:rPr>
              <w:t xml:space="preserve">if LBT failure indication is received from lower layers for this </w:t>
            </w:r>
            <w:proofErr w:type="gramStart"/>
            <w:r w:rsidRPr="00B10395">
              <w:rPr>
                <w:highlight w:val="yellow"/>
                <w:lang w:eastAsia="ko-KR"/>
              </w:rPr>
              <w:t>Random Access</w:t>
            </w:r>
            <w:proofErr w:type="gramEnd"/>
            <w:r w:rsidRPr="00B10395">
              <w:rPr>
                <w:highlight w:val="yellow"/>
                <w:lang w:eastAsia="ko-KR"/>
              </w:rPr>
              <w:t xml:space="preserve"> Preamble transmission</w:t>
            </w:r>
            <w:r w:rsidRPr="00EA2A4F">
              <w:rPr>
                <w:lang w:eastAsia="ko-KR"/>
              </w:rPr>
              <w:t>:</w:t>
            </w:r>
          </w:p>
          <w:p w14:paraId="4A093240" w14:textId="54B76EC1" w:rsidR="00376E8F" w:rsidRPr="00376E8F" w:rsidRDefault="00376E8F" w:rsidP="00376E8F">
            <w:pPr>
              <w:ind w:left="699" w:hanging="284"/>
              <w:rPr>
                <w:rFonts w:eastAsia="游明朝"/>
                <w:lang w:eastAsia="ja-JP"/>
              </w:rPr>
            </w:pPr>
            <w:r>
              <w:rPr>
                <w:rFonts w:eastAsia="游明朝"/>
                <w:lang w:eastAsia="ja-JP"/>
              </w:rPr>
              <w:t>…</w:t>
            </w:r>
            <w:r>
              <w:rPr>
                <w:rFonts w:eastAsia="游明朝" w:hint="eastAsia"/>
                <w:lang w:eastAsia="ja-JP"/>
              </w:rPr>
              <w:t xml:space="preserve"> </w:t>
            </w:r>
            <w:r w:rsidRPr="00EA2A4F">
              <w:rPr>
                <w:lang w:eastAsia="ko-KR"/>
              </w:rPr>
              <w:t>5&gt;</w:t>
            </w:r>
            <w:r w:rsidRPr="00EA2A4F">
              <w:rPr>
                <w:lang w:eastAsia="ko-KR"/>
              </w:rPr>
              <w:tab/>
              <w:t xml:space="preserve">if this </w:t>
            </w:r>
            <w:proofErr w:type="gramStart"/>
            <w:r w:rsidRPr="00EA2A4F">
              <w:rPr>
                <w:lang w:eastAsia="ko-KR"/>
              </w:rPr>
              <w:t>Random Access</w:t>
            </w:r>
            <w:proofErr w:type="gramEnd"/>
            <w:r w:rsidRPr="00EA2A4F">
              <w:rPr>
                <w:lang w:eastAsia="ko-KR"/>
              </w:rPr>
              <w:t xml:space="preserve">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shd w:val="clear" w:color="auto" w:fill="auto"/>
          </w:tcPr>
          <w:p w14:paraId="3867486A" w14:textId="77777777" w:rsidR="00376E8F" w:rsidRPr="00B10395" w:rsidRDefault="00376E8F" w:rsidP="00376E8F">
            <w:pPr>
              <w:rPr>
                <w:rFonts w:eastAsia="游明朝"/>
                <w:lang w:eastAsia="ja-JP"/>
              </w:rPr>
            </w:pPr>
            <w:r>
              <w:rPr>
                <w:rFonts w:eastAsia="游明朝" w:hint="eastAsia"/>
                <w:lang w:val="en-US" w:eastAsia="ja-JP"/>
              </w:rPr>
              <w:t xml:space="preserve">[Fujitsu] </w:t>
            </w:r>
            <w:r w:rsidRPr="00B10395">
              <w:rPr>
                <w:rFonts w:eastAsia="游明朝"/>
                <w:lang w:eastAsia="ja-JP"/>
              </w:rPr>
              <w:t>In RAN1#121 there is a conclusion as following: </w:t>
            </w:r>
          </w:p>
          <w:p w14:paraId="6D51CA88" w14:textId="77777777" w:rsidR="00376E8F" w:rsidRPr="00181E00" w:rsidRDefault="00376E8F" w:rsidP="00181E00">
            <w:pPr>
              <w:ind w:left="180"/>
              <w:rPr>
                <w:rFonts w:eastAsia="游明朝"/>
                <w:lang w:val="en-US" w:eastAsia="ja-JP"/>
              </w:rPr>
            </w:pPr>
            <w:r w:rsidRPr="00181E00">
              <w:rPr>
                <w:rFonts w:eastAsia="游明朝"/>
                <w:b/>
                <w:bCs/>
                <w:lang w:val="en-US" w:eastAsia="ja-JP"/>
              </w:rPr>
              <w:t>Conclusion</w:t>
            </w:r>
            <w:r w:rsidRPr="00181E00">
              <w:rPr>
                <w:rFonts w:eastAsia="游明朝"/>
                <w:b/>
                <w:bCs/>
                <w:lang w:val="en-US" w:eastAsia="ja-JP"/>
              </w:rPr>
              <w:br/>
            </w:r>
            <w:r w:rsidRPr="00181E00">
              <w:rPr>
                <w:rFonts w:eastAsia="游明朝"/>
                <w:lang w:val="en-US" w:eastAsia="ja-JP"/>
              </w:rPr>
              <w:t>There is no consensus on the support of OD-SIB1 for NR-U in Rel-19.</w:t>
            </w:r>
          </w:p>
          <w:p w14:paraId="5DD98F66" w14:textId="2D63A0EB" w:rsidR="00376E8F" w:rsidRPr="00376E8F" w:rsidRDefault="00376E8F" w:rsidP="00376E8F">
            <w:pPr>
              <w:rPr>
                <w:rFonts w:eastAsia="游明朝"/>
                <w:lang w:val="en-US" w:eastAsia="ja-JP"/>
              </w:rPr>
            </w:pPr>
            <w:r>
              <w:rPr>
                <w:rFonts w:eastAsia="游明朝" w:hint="eastAsia"/>
                <w:lang w:val="en-US" w:eastAsia="ja-JP"/>
              </w:rPr>
              <w:t xml:space="preserve">It </w:t>
            </w:r>
            <w:r w:rsidR="00181E00">
              <w:rPr>
                <w:rFonts w:eastAsia="游明朝" w:hint="eastAsia"/>
                <w:lang w:val="en-US" w:eastAsia="ja-JP"/>
              </w:rPr>
              <w:t>means</w:t>
            </w:r>
            <w:r>
              <w:rPr>
                <w:rFonts w:eastAsia="游明朝" w:hint="eastAsia"/>
                <w:lang w:val="en-US" w:eastAsia="ja-JP"/>
              </w:rPr>
              <w:t xml:space="preserve"> that SIB1 request is not triggered for </w:t>
            </w:r>
            <w:r w:rsidRPr="00857F20">
              <w:rPr>
                <w:rFonts w:eastAsia="游明朝"/>
                <w:lang w:val="en-US" w:eastAsia="ja-JP"/>
              </w:rPr>
              <w:t>unlicensed cell</w:t>
            </w:r>
            <w:r>
              <w:rPr>
                <w:rFonts w:eastAsia="游明朝" w:hint="eastAsia"/>
                <w:lang w:val="en-US" w:eastAsia="ja-JP"/>
              </w:rPr>
              <w:t xml:space="preserve">s. So, we would like to </w:t>
            </w:r>
            <w:r>
              <w:rPr>
                <w:rFonts w:eastAsia="游明朝"/>
                <w:lang w:val="en-US" w:eastAsia="ja-JP"/>
              </w:rPr>
              <w:t>suggest</w:t>
            </w:r>
            <w:r>
              <w:rPr>
                <w:rFonts w:eastAsia="游明朝" w:hint="eastAsia"/>
                <w:lang w:val="en-US" w:eastAsia="ja-JP"/>
              </w:rPr>
              <w:t xml:space="preserve"> </w:t>
            </w:r>
            <w:r>
              <w:rPr>
                <w:rFonts w:eastAsia="游明朝"/>
                <w:lang w:val="en-US" w:eastAsia="ja-JP"/>
              </w:rPr>
              <w:t>removing</w:t>
            </w:r>
            <w:r>
              <w:rPr>
                <w:rFonts w:eastAsia="游明朝" w:hint="eastAsia"/>
                <w:lang w:val="en-US" w:eastAsia="ja-JP"/>
              </w:rPr>
              <w:t xml:space="preserve"> </w:t>
            </w:r>
            <w:r>
              <w:rPr>
                <w:rFonts w:eastAsia="游明朝"/>
                <w:lang w:val="en-US" w:eastAsia="ja-JP"/>
              </w:rPr>
              <w:t>“</w:t>
            </w:r>
            <w:r w:rsidRPr="00B10395">
              <w:rPr>
                <w:highlight w:val="yellow"/>
                <w:lang w:eastAsia="ko-KR"/>
              </w:rPr>
              <w:t>or SIB1 request</w:t>
            </w:r>
            <w:r>
              <w:rPr>
                <w:rFonts w:eastAsia="游明朝"/>
                <w:lang w:val="en-US" w:eastAsia="ja-JP"/>
              </w:rPr>
              <w:t>”</w:t>
            </w:r>
            <w:r>
              <w:rPr>
                <w:rFonts w:eastAsia="游明朝" w:hint="eastAsia"/>
                <w:lang w:val="en-US" w:eastAsia="ja-JP"/>
              </w:rPr>
              <w:t>.</w:t>
            </w:r>
          </w:p>
        </w:tc>
      </w:tr>
      <w:tr w:rsidR="00376E8F" w14:paraId="154F3AFA" w14:textId="77777777" w:rsidTr="005761CE">
        <w:tc>
          <w:tcPr>
            <w:tcW w:w="1312" w:type="dxa"/>
            <w:shd w:val="clear" w:color="auto" w:fill="auto"/>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游明朝" w:hAnsi="Arial" w:cs="Arial" w:hint="eastAsia"/>
                <w:color w:val="000000"/>
                <w:lang w:val="en-US" w:eastAsia="ja-JP"/>
              </w:rPr>
              <w:t>Fujitsu 002</w:t>
            </w:r>
          </w:p>
        </w:tc>
        <w:tc>
          <w:tcPr>
            <w:tcW w:w="4495" w:type="dxa"/>
            <w:shd w:val="clear" w:color="auto" w:fill="auto"/>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游明朝"/>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游明朝"/>
                <w:lang w:val="en-US" w:eastAsia="ja-JP"/>
              </w:rPr>
            </w:pPr>
            <w:r w:rsidRPr="00D51072">
              <w:rPr>
                <w:lang w:val="en-US" w:eastAsia="zh-CN"/>
              </w:rPr>
              <w:t>...</w:t>
            </w:r>
            <w:r>
              <w:rPr>
                <w:rFonts w:eastAsia="游明朝"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shd w:val="clear" w:color="auto" w:fill="auto"/>
          </w:tcPr>
          <w:p w14:paraId="7224BDBF" w14:textId="77777777" w:rsidR="00376E8F" w:rsidRDefault="00376E8F" w:rsidP="00376E8F">
            <w:pPr>
              <w:rPr>
                <w:rFonts w:eastAsia="游明朝"/>
                <w:lang w:val="en-US" w:eastAsia="ja-JP"/>
              </w:rPr>
            </w:pPr>
            <w:r>
              <w:rPr>
                <w:rFonts w:eastAsia="游明朝" w:hint="eastAsia"/>
                <w:lang w:val="en-US" w:eastAsia="ja-JP"/>
              </w:rPr>
              <w:t xml:space="preserve">[Fujitsu] OD-SSB is configured </w:t>
            </w:r>
            <w:r>
              <w:rPr>
                <w:rFonts w:eastAsia="游明朝"/>
                <w:lang w:val="en-US" w:eastAsia="ja-JP"/>
              </w:rPr>
              <w:t>only</w:t>
            </w:r>
            <w:r>
              <w:rPr>
                <w:rFonts w:eastAsia="游明朝" w:hint="eastAsia"/>
                <w:lang w:val="en-US" w:eastAsia="ja-JP"/>
              </w:rPr>
              <w:t xml:space="preserve"> for </w:t>
            </w:r>
            <w:proofErr w:type="spellStart"/>
            <w:r>
              <w:rPr>
                <w:rFonts w:eastAsia="游明朝" w:hint="eastAsia"/>
                <w:lang w:val="en-US" w:eastAsia="ja-JP"/>
              </w:rPr>
              <w:t>SCells</w:t>
            </w:r>
            <w:proofErr w:type="spellEnd"/>
            <w:r>
              <w:rPr>
                <w:rFonts w:eastAsia="游明朝" w:hint="eastAsia"/>
                <w:lang w:val="en-US" w:eastAsia="ja-JP"/>
              </w:rPr>
              <w:t xml:space="preserve">, </w:t>
            </w:r>
            <w:proofErr w:type="gramStart"/>
            <w:r>
              <w:rPr>
                <w:rFonts w:eastAsia="游明朝" w:hint="eastAsia"/>
                <w:lang w:val="en-US" w:eastAsia="ja-JP"/>
              </w:rPr>
              <w:t>For</w:t>
            </w:r>
            <w:proofErr w:type="gramEnd"/>
            <w:r>
              <w:rPr>
                <w:rFonts w:eastAsia="游明朝" w:hint="eastAsia"/>
                <w:lang w:val="en-US" w:eastAsia="ja-JP"/>
              </w:rPr>
              <w:t xml:space="preserve"> clarification, the </w:t>
            </w:r>
            <w:r w:rsidRPr="00094B76">
              <w:rPr>
                <w:rFonts w:eastAsia="游明朝" w:hint="eastAsia"/>
                <w:highlight w:val="yellow"/>
                <w:lang w:val="en-US" w:eastAsia="ja-JP"/>
              </w:rPr>
              <w:t xml:space="preserve">yellow </w:t>
            </w:r>
            <w:r w:rsidRPr="00094B76">
              <w:rPr>
                <w:rFonts w:eastAsia="游明朝"/>
                <w:lang w:val="en-US" w:eastAsia="ja-JP"/>
              </w:rPr>
              <w:t>highlighted</w:t>
            </w:r>
            <w:r w:rsidRPr="00094B76">
              <w:rPr>
                <w:rFonts w:eastAsia="游明朝" w:hint="eastAsia"/>
                <w:lang w:val="en-US" w:eastAsia="ja-JP"/>
              </w:rPr>
              <w:t xml:space="preserve"> part should be </w:t>
            </w:r>
            <w:r>
              <w:rPr>
                <w:rFonts w:eastAsia="游明朝"/>
                <w:lang w:val="en-US" w:eastAsia="ja-JP"/>
              </w:rPr>
              <w:t>“</w:t>
            </w:r>
            <w:proofErr w:type="spellStart"/>
            <w:r>
              <w:rPr>
                <w:rFonts w:eastAsia="游明朝" w:hint="eastAsia"/>
                <w:lang w:val="en-US" w:eastAsia="ja-JP"/>
              </w:rPr>
              <w:t>SCell</w:t>
            </w:r>
            <w:proofErr w:type="spellEnd"/>
            <w:r>
              <w:rPr>
                <w:rFonts w:eastAsia="游明朝"/>
                <w:lang w:val="en-US" w:eastAsia="ja-JP"/>
              </w:rPr>
              <w:t>”</w:t>
            </w:r>
            <w:r>
              <w:rPr>
                <w:rFonts w:eastAsia="游明朝" w:hint="eastAsia"/>
                <w:lang w:val="en-US" w:eastAsia="ja-JP"/>
              </w:rPr>
              <w:t>.</w:t>
            </w:r>
          </w:p>
          <w:p w14:paraId="63E64E1B" w14:textId="06904333" w:rsidR="00376E8F" w:rsidRDefault="00376E8F" w:rsidP="00376E8F">
            <w:pPr>
              <w:rPr>
                <w:lang w:val="en-US" w:eastAsia="zh-CN"/>
              </w:rPr>
            </w:pPr>
            <w:r>
              <w:rPr>
                <w:rFonts w:eastAsia="游明朝" w:hint="eastAsia"/>
                <w:lang w:val="en-US" w:eastAsia="ja-JP"/>
              </w:rPr>
              <w:t xml:space="preserve">The </w:t>
            </w:r>
            <w:r w:rsidRPr="00094B76">
              <w:rPr>
                <w:rFonts w:eastAsia="游明朝" w:hint="eastAsia"/>
                <w:highlight w:val="cyan"/>
                <w:lang w:val="en" w:eastAsia="ja-JP"/>
              </w:rPr>
              <w:t>c</w:t>
            </w:r>
            <w:r w:rsidRPr="00094B76">
              <w:rPr>
                <w:rFonts w:eastAsia="游明朝"/>
                <w:highlight w:val="cyan"/>
                <w:lang w:val="en" w:eastAsia="ja-JP"/>
              </w:rPr>
              <w:t>yan</w:t>
            </w:r>
            <w:r w:rsidRPr="00094B76">
              <w:rPr>
                <w:rFonts w:eastAsia="游明朝" w:hint="eastAsia"/>
                <w:lang w:val="en" w:eastAsia="ja-JP"/>
              </w:rPr>
              <w:t xml:space="preserve"> h</w:t>
            </w:r>
            <w:r w:rsidRPr="00094B76">
              <w:rPr>
                <w:rFonts w:eastAsia="游明朝"/>
                <w:lang w:val="en" w:eastAsia="ja-JP"/>
              </w:rPr>
              <w:t>ighlighted</w:t>
            </w:r>
            <w:r w:rsidRPr="00094B76">
              <w:rPr>
                <w:rFonts w:eastAsia="游明朝" w:hint="eastAsia"/>
                <w:lang w:val="en" w:eastAsia="ja-JP"/>
              </w:rPr>
              <w:t xml:space="preserve"> part</w:t>
            </w:r>
            <w:r>
              <w:rPr>
                <w:rFonts w:eastAsia="游明朝" w:hint="eastAsia"/>
                <w:lang w:val="en" w:eastAsia="ja-JP"/>
              </w:rPr>
              <w:t xml:space="preserve"> should be </w:t>
            </w:r>
            <w:r w:rsidRPr="00094B76">
              <w:rPr>
                <w:rFonts w:eastAsia="游明朝" w:hint="eastAsia"/>
                <w:i/>
                <w:iCs/>
                <w:lang w:val="en" w:eastAsia="ja-JP"/>
              </w:rPr>
              <w:t>italic</w:t>
            </w:r>
            <w:r>
              <w:rPr>
                <w:rFonts w:eastAsia="游明朝" w:hint="eastAsia"/>
                <w:lang w:val="en" w:eastAsia="ja-JP"/>
              </w:rPr>
              <w:t>.</w:t>
            </w:r>
          </w:p>
        </w:tc>
      </w:tr>
      <w:tr w:rsidR="00376E8F" w14:paraId="0F595FA2" w14:textId="77777777" w:rsidTr="005761CE">
        <w:tc>
          <w:tcPr>
            <w:tcW w:w="1312" w:type="dxa"/>
            <w:shd w:val="clear" w:color="auto" w:fill="auto"/>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游明朝" w:hAnsi="Arial" w:cs="Arial" w:hint="eastAsia"/>
                <w:color w:val="000000"/>
                <w:lang w:val="en-US" w:eastAsia="ja-JP"/>
              </w:rPr>
              <w:t>Fujitsu 003</w:t>
            </w:r>
          </w:p>
        </w:tc>
        <w:tc>
          <w:tcPr>
            <w:tcW w:w="4495" w:type="dxa"/>
            <w:shd w:val="clear" w:color="auto" w:fill="auto"/>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游明朝"/>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lastRenderedPageBreak/>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w:t>
            </w:r>
            <w:proofErr w:type="spellStart"/>
            <w:r w:rsidRPr="00080A83">
              <w:rPr>
                <w:kern w:val="2"/>
                <w:highlight w:val="yellow"/>
                <w:lang w:val="en-US" w:eastAsia="ko-KR"/>
                <w14:ligatures w14:val="standardContextual"/>
              </w:rPr>
              <w:t>SCell</w:t>
            </w:r>
            <w:proofErr w:type="spellEnd"/>
            <w:r w:rsidRPr="00080A83">
              <w:rPr>
                <w:kern w:val="2"/>
                <w:highlight w:val="yellow"/>
                <w:lang w:val="en-US" w:eastAsia="ko-KR"/>
                <w14:ligatures w14:val="standardContextual"/>
              </w:rPr>
              <w:t xml:space="preserve">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proofErr w:type="spellStart"/>
            <w:r w:rsidRPr="00080A83">
              <w:rPr>
                <w:i/>
                <w:iCs/>
                <w:kern w:val="2"/>
                <w:highlight w:val="yellow"/>
                <w:lang w:val="en-US" w:eastAsia="ko-KR"/>
                <w14:ligatures w14:val="standardContextual"/>
              </w:rPr>
              <w:t>i</w:t>
            </w:r>
            <w:proofErr w:type="spellEnd"/>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shd w:val="clear" w:color="auto" w:fill="auto"/>
          </w:tcPr>
          <w:p w14:paraId="7EC36352" w14:textId="77777777" w:rsidR="00376E8F" w:rsidRDefault="00376E8F" w:rsidP="00376E8F">
            <w:pPr>
              <w:rPr>
                <w:rFonts w:eastAsia="游明朝"/>
                <w:lang w:val="en-US" w:eastAsia="ja-JP"/>
              </w:rPr>
            </w:pPr>
            <w:r>
              <w:rPr>
                <w:rFonts w:eastAsia="游明朝" w:hint="eastAsia"/>
                <w:lang w:val="en-US" w:eastAsia="ja-JP"/>
              </w:rPr>
              <w:lastRenderedPageBreak/>
              <w:t xml:space="preserve">[Fujitsu] We </w:t>
            </w:r>
            <w:r>
              <w:rPr>
                <w:rFonts w:eastAsia="游明朝"/>
                <w:lang w:val="en-US" w:eastAsia="ja-JP"/>
              </w:rPr>
              <w:t>understand</w:t>
            </w:r>
            <w:r>
              <w:rPr>
                <w:rFonts w:eastAsia="游明朝" w:hint="eastAsia"/>
                <w:lang w:val="en-US" w:eastAsia="ja-JP"/>
              </w:rPr>
              <w:t xml:space="preserve"> the index size is FFS, but </w:t>
            </w:r>
            <w:r>
              <w:rPr>
                <w:rFonts w:eastAsia="游明朝"/>
                <w:lang w:val="en-US" w:eastAsia="ja-JP"/>
              </w:rPr>
              <w:t>based</w:t>
            </w:r>
            <w:r>
              <w:rPr>
                <w:rFonts w:eastAsia="游明朝" w:hint="eastAsia"/>
                <w:lang w:val="en-US" w:eastAsia="ja-JP"/>
              </w:rPr>
              <w:t xml:space="preserve"> on the </w:t>
            </w:r>
            <w:r>
              <w:rPr>
                <w:rFonts w:eastAsia="游明朝"/>
                <w:lang w:val="en-US" w:eastAsia="ja-JP"/>
              </w:rPr>
              <w:t>current</w:t>
            </w:r>
            <w:r>
              <w:rPr>
                <w:rFonts w:eastAsia="游明朝" w:hint="eastAsia"/>
                <w:lang w:val="en-US" w:eastAsia="ja-JP"/>
              </w:rPr>
              <w:t xml:space="preserve"> figure, if </w:t>
            </w:r>
            <w:proofErr w:type="spellStart"/>
            <w:r>
              <w:rPr>
                <w:rFonts w:eastAsia="游明朝" w:hint="eastAsia"/>
                <w:lang w:val="en-US" w:eastAsia="ja-JP"/>
              </w:rPr>
              <w:t>SCell</w:t>
            </w:r>
            <w:proofErr w:type="spellEnd"/>
            <w:r>
              <w:rPr>
                <w:rFonts w:eastAsia="游明朝" w:hint="eastAsia"/>
                <w:lang w:val="en-US" w:eastAsia="ja-JP"/>
              </w:rPr>
              <w:t xml:space="preserve"> index </w:t>
            </w:r>
            <w:proofErr w:type="spellStart"/>
            <w:r>
              <w:rPr>
                <w:rFonts w:eastAsia="游明朝" w:hint="eastAsia"/>
                <w:lang w:val="en-US" w:eastAsia="ja-JP"/>
              </w:rPr>
              <w:t>i</w:t>
            </w:r>
            <w:proofErr w:type="spellEnd"/>
            <w:r>
              <w:rPr>
                <w:rFonts w:eastAsia="游明朝" w:hint="eastAsia"/>
                <w:lang w:val="en-US" w:eastAsia="ja-JP"/>
              </w:rPr>
              <w:t xml:space="preserve"> is set to 0, the octet containing </w:t>
            </w:r>
            <w:proofErr w:type="spellStart"/>
            <w:r>
              <w:rPr>
                <w:rFonts w:eastAsia="游明朝" w:hint="eastAsia"/>
                <w:lang w:val="en-US" w:eastAsia="ja-JP"/>
              </w:rPr>
              <w:t>ConfigIndex</w:t>
            </w:r>
            <w:proofErr w:type="spellEnd"/>
            <w:r>
              <w:rPr>
                <w:rFonts w:eastAsia="游明朝" w:hint="eastAsia"/>
                <w:lang w:val="en-US" w:eastAsia="ja-JP"/>
              </w:rPr>
              <w:t xml:space="preserve"> </w:t>
            </w:r>
            <w:proofErr w:type="spellStart"/>
            <w:r>
              <w:rPr>
                <w:rFonts w:eastAsia="游明朝" w:hint="eastAsia"/>
                <w:lang w:val="en-US" w:eastAsia="ja-JP"/>
              </w:rPr>
              <w:t>i</w:t>
            </w:r>
            <w:proofErr w:type="spellEnd"/>
            <w:r>
              <w:rPr>
                <w:rFonts w:eastAsia="游明朝" w:hint="eastAsia"/>
                <w:lang w:val="en-US" w:eastAsia="ja-JP"/>
              </w:rPr>
              <w:t xml:space="preserve"> </w:t>
            </w:r>
            <w:r>
              <w:rPr>
                <w:rFonts w:eastAsia="游明朝" w:hint="eastAsia"/>
                <w:lang w:val="en-US" w:eastAsia="ja-JP"/>
              </w:rPr>
              <w:lastRenderedPageBreak/>
              <w:t xml:space="preserve">is not included. To clarify that, the text can be updated as follows: </w:t>
            </w:r>
          </w:p>
          <w:p w14:paraId="0BA9E240" w14:textId="2F97E8A6" w:rsidR="00376E8F" w:rsidRPr="00376E8F" w:rsidRDefault="00376E8F" w:rsidP="00376E8F">
            <w:pPr>
              <w:ind w:left="273" w:hanging="284"/>
              <w:rPr>
                <w:rFonts w:eastAsia="游明朝"/>
                <w:kern w:val="2"/>
                <w:lang w:val="en-US" w:eastAsia="ja-JP"/>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rFonts w:eastAsia="游明朝"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游明朝" w:hint="eastAsia"/>
                <w:color w:val="FF0000"/>
                <w:kern w:val="2"/>
                <w:u w:val="single"/>
                <w:lang w:val="en-US" w:eastAsia="ja-JP"/>
                <w14:ligatures w14:val="standardContextual"/>
              </w:rPr>
              <w:t>the octet is</w:t>
            </w:r>
            <w:r w:rsidRPr="00094B76">
              <w:rPr>
                <w:rFonts w:eastAsia="游明朝"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 xml:space="preserve">On-demand SSB for </w:t>
      </w:r>
      <w:proofErr w:type="spellStart"/>
      <w:r w:rsidRPr="00576A39">
        <w:rPr>
          <w:rFonts w:eastAsia="Times New Roman"/>
          <w:b/>
          <w:bCs/>
          <w:u w:val="single"/>
        </w:rPr>
        <w:t>SCell</w:t>
      </w:r>
      <w:proofErr w:type="spellEnd"/>
      <w:r w:rsidRPr="00576A39">
        <w:rPr>
          <w:rFonts w:eastAsia="Times New Roman"/>
          <w:b/>
          <w:bCs/>
          <w:u w:val="single"/>
        </w:rPr>
        <w:t xml:space="preserve">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w:t>
      </w:r>
      <w:proofErr w:type="spellStart"/>
      <w:r w:rsidRPr="00576A39">
        <w:rPr>
          <w:rFonts w:eastAsia="Times New Roman"/>
          <w:highlight w:val="lightGray"/>
        </w:rPr>
        <w:t>SCell</w:t>
      </w:r>
      <w:proofErr w:type="spellEnd"/>
      <w:r w:rsidRPr="00576A39">
        <w:rPr>
          <w:rFonts w:eastAsia="Times New Roman"/>
          <w:highlight w:val="lightGray"/>
        </w:rPr>
        <w:t xml:space="preserve">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lastRenderedPageBreak/>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 xml:space="preserve">Don’t introduce further new MAC CE that combines </w:t>
      </w:r>
      <w:proofErr w:type="spellStart"/>
      <w:r w:rsidRPr="00576A39">
        <w:rPr>
          <w:rFonts w:eastAsia="Times New Roman"/>
          <w:highlight w:val="cyan"/>
        </w:rPr>
        <w:t>SCell</w:t>
      </w:r>
      <w:proofErr w:type="spellEnd"/>
      <w:r w:rsidRPr="00576A39">
        <w:rPr>
          <w:rFonts w:eastAsia="Times New Roman"/>
          <w:highlight w:val="cyan"/>
        </w:rPr>
        <w:t xml:space="preserve">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 xml:space="preserve">NW should be able to send OD-SSB indication for multiple </w:t>
      </w:r>
      <w:proofErr w:type="spellStart"/>
      <w:r w:rsidRPr="00576A39">
        <w:rPr>
          <w:rFonts w:eastAsia="Times New Roman"/>
          <w:highlight w:val="yellow"/>
        </w:rPr>
        <w:t>SCells</w:t>
      </w:r>
      <w:proofErr w:type="spellEnd"/>
      <w:r w:rsidRPr="00576A39">
        <w:rPr>
          <w:rFonts w:eastAsia="Times New Roman"/>
          <w:highlight w:val="yellow"/>
        </w:rPr>
        <w:t xml:space="preserve">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(i.e., similar to legacy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 xml:space="preserve">For explicit activation/deactivation, the OD-SSB MAC-CE supports two formats: one format indicates up to 7 </w:t>
      </w:r>
      <w:proofErr w:type="spellStart"/>
      <w:r w:rsidRPr="00576A39">
        <w:rPr>
          <w:rFonts w:eastAsia="Times New Roman"/>
          <w:highlight w:val="yellow"/>
          <w:lang w:val="en-US"/>
        </w:rPr>
        <w:t>SCells</w:t>
      </w:r>
      <w:proofErr w:type="spellEnd"/>
      <w:r w:rsidRPr="00576A39">
        <w:rPr>
          <w:rFonts w:eastAsia="Times New Roman"/>
          <w:highlight w:val="yellow"/>
          <w:lang w:val="en-US"/>
        </w:rPr>
        <w:t xml:space="preserve"> and the other format indicates up to 31 </w:t>
      </w:r>
      <w:proofErr w:type="spellStart"/>
      <w:r w:rsidRPr="00576A39">
        <w:rPr>
          <w:rFonts w:eastAsia="Times New Roman"/>
          <w:highlight w:val="yellow"/>
          <w:lang w:val="en-US"/>
        </w:rPr>
        <w:t>SCells</w:t>
      </w:r>
      <w:proofErr w:type="spellEnd"/>
      <w:r w:rsidRPr="00576A39">
        <w:rPr>
          <w:rFonts w:eastAsia="Times New Roman"/>
          <w:highlight w:val="yellow"/>
          <w:lang w:val="en-US"/>
        </w:rPr>
        <w:t>.</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OD-SSB MAC-CE includes a configuration index for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w:t>
      </w:r>
      <w:proofErr w:type="spellStart"/>
      <w:r w:rsidRPr="00576A39">
        <w:rPr>
          <w:rFonts w:eastAsia="Times New Roman"/>
          <w:highlight w:val="cyan"/>
          <w:lang w:val="en-US"/>
        </w:rPr>
        <w:t>SCell</w:t>
      </w:r>
      <w:proofErr w:type="spellEnd"/>
      <w:r w:rsidRPr="00576A39">
        <w:rPr>
          <w:rFonts w:eastAsia="Times New Roman"/>
          <w:highlight w:val="cyan"/>
          <w:lang w:val="en-US"/>
        </w:rPr>
        <w:t>.</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w:t>
      </w:r>
      <w:proofErr w:type="spellStart"/>
      <w:r w:rsidRPr="00576A39">
        <w:rPr>
          <w:rFonts w:eastAsia="Times New Roman"/>
          <w:highlight w:val="green"/>
          <w:lang w:val="en-US"/>
        </w:rPr>
        <w:t>SCell</w:t>
      </w:r>
      <w:proofErr w:type="spellEnd"/>
      <w:r w:rsidRPr="00576A39">
        <w:rPr>
          <w:rFonts w:eastAsia="Times New Roman"/>
          <w:highlight w:val="green"/>
          <w:lang w:val="en-US"/>
        </w:rPr>
        <w:t>,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w:t>
      </w:r>
      <w:proofErr w:type="spellStart"/>
      <w:r w:rsidRPr="00576A39">
        <w:rPr>
          <w:rFonts w:eastAsia="Times New Roman"/>
          <w:highlight w:val="green"/>
          <w:lang w:val="en-US"/>
        </w:rPr>
        <w:t>SCell</w:t>
      </w:r>
      <w:proofErr w:type="spellEnd"/>
      <w:r w:rsidRPr="00576A39">
        <w:rPr>
          <w:rFonts w:eastAsia="Times New Roman"/>
          <w:highlight w:val="green"/>
          <w:lang w:val="en-US"/>
        </w:rPr>
        <w:t xml:space="preserve">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w:t>
      </w:r>
      <w:proofErr w:type="spellStart"/>
      <w:r w:rsidRPr="00576A39">
        <w:rPr>
          <w:rFonts w:eastAsia="Times New Roman"/>
          <w:highlight w:val="green"/>
          <w:lang w:val="en-US"/>
        </w:rPr>
        <w:t>SCell</w:t>
      </w:r>
      <w:proofErr w:type="spellEnd"/>
      <w:r w:rsidRPr="00576A39">
        <w:rPr>
          <w:rFonts w:eastAsia="Times New Roman"/>
          <w:highlight w:val="green"/>
          <w:lang w:val="en-US"/>
        </w:rPr>
        <w:t>,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 xml:space="preserve">Running timer/counter for implicit deactivation (if any) for the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lastRenderedPageBreak/>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 xml:space="preserve">Existing </w:t>
      </w:r>
      <w:proofErr w:type="spellStart"/>
      <w:r w:rsidRPr="00576A39">
        <w:rPr>
          <w:rFonts w:eastAsia="Times New Roman"/>
          <w:highlight w:val="green"/>
        </w:rPr>
        <w:t>Msg</w:t>
      </w:r>
      <w:proofErr w:type="spellEnd"/>
      <w:r w:rsidRPr="00576A39">
        <w:rPr>
          <w:rFonts w:eastAsia="Times New Roman"/>
          <w:highlight w:val="green"/>
        </w:rPr>
        <w:t xml:space="preserve">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w:t>
      </w:r>
      <w:proofErr w:type="spellStart"/>
      <w:r w:rsidRPr="00576A39">
        <w:rPr>
          <w:rFonts w:eastAsia="Times New Roman"/>
          <w:highlight w:val="cyan"/>
        </w:rPr>
        <w:t>Msg</w:t>
      </w:r>
      <w:proofErr w:type="spellEnd"/>
      <w:r w:rsidRPr="00576A39">
        <w:rPr>
          <w:rFonts w:eastAsia="Times New Roman"/>
          <w:highlight w:val="cyan"/>
        </w:rPr>
        <w:t xml:space="preserve"> 3. FFS if / when the UE monitors the OD-SIB1 upon reception of RAR. FFS:T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lastRenderedPageBreak/>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proofErr w:type="spellStart"/>
      <w:r w:rsidRPr="00576A39">
        <w:rPr>
          <w:rFonts w:eastAsia="Times New Roman"/>
          <w:highlight w:val="cyan"/>
        </w:rPr>
        <w:t>Msg</w:t>
      </w:r>
      <w:proofErr w:type="spellEnd"/>
      <w:r w:rsidRPr="00576A39">
        <w:rPr>
          <w:rFonts w:eastAsia="Times New Roman"/>
          <w:highlight w:val="cyan"/>
        </w:rPr>
        <w:t xml:space="preserve">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576A39">
        <w:rPr>
          <w:rFonts w:eastAsia="Times New Roman"/>
          <w:highlight w:val="cyan"/>
        </w:rPr>
        <w:t>PSCell</w:t>
      </w:r>
      <w:proofErr w:type="spellEnd"/>
      <w:r w:rsidRPr="00576A39">
        <w:rPr>
          <w:rFonts w:eastAsia="Times New Roman"/>
          <w:highlight w:val="cyan"/>
        </w:rPr>
        <w:t>/</w:t>
      </w:r>
      <w:proofErr w:type="spellStart"/>
      <w:r w:rsidRPr="00576A39">
        <w:rPr>
          <w:rFonts w:eastAsia="Times New Roman"/>
          <w:highlight w:val="cyan"/>
        </w:rPr>
        <w:t>SCells</w:t>
      </w:r>
      <w:proofErr w:type="spellEnd"/>
      <w:r w:rsidRPr="00576A39">
        <w:rPr>
          <w:rFonts w:eastAsia="Times New Roman"/>
          <w:highlight w:val="cyan"/>
        </w:rPr>
        <w:t>/target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 xml:space="preserve">In on-demand SIB1 procedure, the UE considers RACH failure when PREAMBLE_TRANSMISSION_COUNTER = </w:t>
      </w:r>
      <w:proofErr w:type="spellStart"/>
      <w:r w:rsidRPr="00576A39">
        <w:rPr>
          <w:rFonts w:eastAsia="Times New Roman"/>
          <w:highlight w:val="lightGray"/>
        </w:rPr>
        <w:t>preambleTransMax</w:t>
      </w:r>
      <w:proofErr w:type="spellEnd"/>
      <w:r w:rsidRPr="00576A39">
        <w:rPr>
          <w:rFonts w:eastAsia="Times New Roman"/>
          <w:highlight w:val="lightGray"/>
        </w:rPr>
        <w:t xml:space="preserve">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lastRenderedPageBreak/>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 xml:space="preserve">Capture the following understanding in meeting notes: RA on an </w:t>
      </w:r>
      <w:proofErr w:type="spellStart"/>
      <w:r w:rsidRPr="00576A39">
        <w:rPr>
          <w:rFonts w:eastAsia="Times New Roman"/>
          <w:highlight w:val="cyan"/>
        </w:rPr>
        <w:t>SpCell</w:t>
      </w:r>
      <w:proofErr w:type="spellEnd"/>
      <w:r w:rsidRPr="00576A39">
        <w:rPr>
          <w:rFonts w:eastAsia="Times New Roman"/>
          <w:highlight w:val="cyan"/>
        </w:rPr>
        <w:t xml:space="preserve">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lastRenderedPageBreak/>
        <w:t xml:space="preserve">Align with legacy RAR for OSI for OD-SIB1 operation. Legacy RAR MAC PDU </w:t>
      </w:r>
      <w:proofErr w:type="spellStart"/>
      <w:r w:rsidRPr="00576A39">
        <w:rPr>
          <w:rFonts w:eastAsia="Times New Roman"/>
          <w:highlight w:val="green"/>
        </w:rPr>
        <w:t>subheader</w:t>
      </w:r>
      <w:proofErr w:type="spellEnd"/>
      <w:r w:rsidRPr="00576A39">
        <w:rPr>
          <w:rFonts w:eastAsia="Times New Roman"/>
          <w:highlight w:val="green"/>
        </w:rPr>
        <w:t xml:space="preserve">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lastRenderedPageBreak/>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confirms SSB adaptation in time domain is not supported for RRC idle/inactive UEs and Rel-19 NES-capable UE’s </w:t>
      </w:r>
      <w:proofErr w:type="spellStart"/>
      <w:r w:rsidRPr="00576A39">
        <w:rPr>
          <w:rFonts w:eastAsia="Times New Roman"/>
          <w:highlight w:val="cyan"/>
          <w:lang w:val="en-US"/>
        </w:rPr>
        <w:t>PCell</w:t>
      </w:r>
      <w:proofErr w:type="spellEnd"/>
      <w:r w:rsidRPr="00576A39">
        <w:rPr>
          <w:rFonts w:eastAsia="Times New Roman"/>
          <w:highlight w:val="cyan"/>
          <w:lang w:val="en-US"/>
        </w:rPr>
        <w:t>.</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preference is to keep SMTC based L3 RRM framework and to introduce additional SMTC configuration according to SSB adaptation for L3 RRM measurement on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w:t>
      </w:r>
      <w:proofErr w:type="spellStart"/>
      <w:r w:rsidRPr="006569CB">
        <w:rPr>
          <w:rFonts w:eastAsia="Times New Roman"/>
          <w:highlight w:val="green"/>
          <w:lang w:val="en-US"/>
        </w:rPr>
        <w:t>RedCap</w:t>
      </w:r>
      <w:proofErr w:type="spellEnd"/>
      <w:r w:rsidRPr="006569CB">
        <w:rPr>
          <w:rFonts w:eastAsia="Times New Roman"/>
          <w:highlight w:val="green"/>
          <w:lang w:val="en-US"/>
        </w:rPr>
        <w:t>,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lastRenderedPageBreak/>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B224" w14:textId="77777777" w:rsidR="003978BB" w:rsidRDefault="003978BB">
      <w:pPr>
        <w:spacing w:after="0"/>
      </w:pPr>
      <w:r>
        <w:separator/>
      </w:r>
    </w:p>
  </w:endnote>
  <w:endnote w:type="continuationSeparator" w:id="0">
    <w:p w14:paraId="57AD65CA" w14:textId="77777777" w:rsidR="003978BB" w:rsidRDefault="00397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ＭＳ 明朝">
    <w:altName w:val="MS Mincho"/>
    <w:panose1 w:val="02020609040205080304"/>
    <w:charset w:val="80"/>
    <w:family w:val="roma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9BD3" w14:textId="77777777" w:rsidR="003978BB" w:rsidRDefault="003978BB">
      <w:pPr>
        <w:spacing w:after="0"/>
      </w:pPr>
      <w:r>
        <w:separator/>
      </w:r>
    </w:p>
  </w:footnote>
  <w:footnote w:type="continuationSeparator" w:id="0">
    <w:p w14:paraId="7EA506E8" w14:textId="77777777" w:rsidR="003978BB" w:rsidRDefault="003978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676345673">
    <w:abstractNumId w:val="25"/>
  </w:num>
  <w:num w:numId="2" w16cid:durableId="1437209363">
    <w:abstractNumId w:val="9"/>
  </w:num>
  <w:num w:numId="3" w16cid:durableId="838346031">
    <w:abstractNumId w:val="23"/>
  </w:num>
  <w:num w:numId="4" w16cid:durableId="787237169">
    <w:abstractNumId w:val="15"/>
  </w:num>
  <w:num w:numId="5" w16cid:durableId="932513804">
    <w:abstractNumId w:val="14"/>
  </w:num>
  <w:num w:numId="6" w16cid:durableId="2030060390">
    <w:abstractNumId w:val="13"/>
  </w:num>
  <w:num w:numId="7" w16cid:durableId="1864785145">
    <w:abstractNumId w:val="6"/>
  </w:num>
  <w:num w:numId="8" w16cid:durableId="308441154">
    <w:abstractNumId w:val="22"/>
  </w:num>
  <w:num w:numId="9" w16cid:durableId="1722710817">
    <w:abstractNumId w:val="17"/>
  </w:num>
  <w:num w:numId="10" w16cid:durableId="613293274">
    <w:abstractNumId w:val="12"/>
  </w:num>
  <w:num w:numId="11" w16cid:durableId="25765048">
    <w:abstractNumId w:val="24"/>
  </w:num>
  <w:num w:numId="12" w16cid:durableId="1670061332">
    <w:abstractNumId w:val="8"/>
  </w:num>
  <w:num w:numId="13" w16cid:durableId="895702058">
    <w:abstractNumId w:val="19"/>
  </w:num>
  <w:num w:numId="14" w16cid:durableId="776950627">
    <w:abstractNumId w:val="11"/>
  </w:num>
  <w:num w:numId="15" w16cid:durableId="977685993">
    <w:abstractNumId w:val="20"/>
  </w:num>
  <w:num w:numId="16" w16cid:durableId="863640909">
    <w:abstractNumId w:val="16"/>
  </w:num>
  <w:num w:numId="17" w16cid:durableId="604458132">
    <w:abstractNumId w:val="10"/>
  </w:num>
  <w:num w:numId="18" w16cid:durableId="1746107661">
    <w:abstractNumId w:val="3"/>
  </w:num>
  <w:num w:numId="19" w16cid:durableId="163864026">
    <w:abstractNumId w:val="2"/>
  </w:num>
  <w:num w:numId="20" w16cid:durableId="1952664338">
    <w:abstractNumId w:val="1"/>
  </w:num>
  <w:num w:numId="21" w16cid:durableId="1278220972">
    <w:abstractNumId w:val="0"/>
  </w:num>
  <w:num w:numId="22" w16cid:durableId="1788811165">
    <w:abstractNumId w:val="4"/>
  </w:num>
  <w:num w:numId="23" w16cid:durableId="818616791">
    <w:abstractNumId w:val="21"/>
  </w:num>
  <w:num w:numId="24" w16cid:durableId="1619096678">
    <w:abstractNumId w:val="5"/>
  </w:num>
  <w:num w:numId="25" w16cid:durableId="1299844288">
    <w:abstractNumId w:val="18"/>
  </w:num>
  <w:num w:numId="26" w16cid:durableId="1017930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ＭＳ 明朝"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ＭＳ 明朝"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ＭＳ 明朝"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ＭＳ 明朝"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ＭＳ 明朝"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12</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Katsunari Uemura (Fujitsu)</cp:lastModifiedBy>
  <cp:revision>2</cp:revision>
  <dcterms:created xsi:type="dcterms:W3CDTF">2025-07-23T23:42:00Z</dcterms:created>
  <dcterms:modified xsi:type="dcterms:W3CDTF">2025-07-23T23:42:00Z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ies>
</file>