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r>
      <w:r w:rsidRPr="00F3644E">
        <w:rPr>
          <w:rFonts w:ascii="Arial" w:hAnsi="Arial" w:cs="Arial"/>
          <w:b/>
          <w:bCs/>
          <w:sz w:val="22"/>
          <w:highlight w:val="yellow"/>
        </w:rPr>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St. Julians,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r w:rsidR="004005F1">
        <w:rPr>
          <w:rFonts w:ascii="Arial" w:hAnsi="Arial" w:cs="Arial"/>
          <w:bCs/>
        </w:rPr>
        <w:t>SA5</w:t>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28CF93BB" w:rsidR="00934C75" w:rsidRPr="00B048B5" w:rsidRDefault="00934C75" w:rsidP="00934C75">
      <w:pPr>
        <w:keepNext/>
        <w:tabs>
          <w:tab w:val="left" w:pos="2268"/>
          <w:tab w:val="left" w:pos="2694"/>
        </w:tabs>
        <w:spacing w:after="0"/>
        <w:ind w:left="567"/>
        <w:outlineLvl w:val="3"/>
        <w:rPr>
          <w:rFonts w:ascii="Arial" w:hAnsi="Arial" w:cs="Arial"/>
          <w:bCs/>
          <w:lang w:val="fi-FI"/>
        </w:rPr>
      </w:pPr>
      <w:proofErr w:type="spellStart"/>
      <w:r w:rsidRPr="00B048B5">
        <w:rPr>
          <w:rFonts w:ascii="Arial" w:hAnsi="Arial" w:cs="Arial"/>
          <w:b/>
          <w:lang w:val="fi-FI"/>
        </w:rPr>
        <w:t>Name</w:t>
      </w:r>
      <w:proofErr w:type="spellEnd"/>
      <w:r w:rsidRPr="00B048B5">
        <w:rPr>
          <w:rFonts w:ascii="Arial" w:hAnsi="Arial" w:cs="Arial"/>
          <w:b/>
          <w:lang w:val="fi-FI"/>
        </w:rPr>
        <w:t>:</w:t>
      </w:r>
      <w:r w:rsidRPr="00B048B5">
        <w:rPr>
          <w:rFonts w:ascii="Arial" w:hAnsi="Arial" w:cs="Arial"/>
          <w:bCs/>
          <w:lang w:val="fi-FI"/>
        </w:rPr>
        <w:tab/>
      </w:r>
      <w:r w:rsidR="008F6F54" w:rsidRPr="00B048B5">
        <w:rPr>
          <w:rFonts w:ascii="Arial" w:hAnsi="Arial" w:cs="Arial"/>
          <w:bCs/>
          <w:lang w:val="fi-FI"/>
        </w:rPr>
        <w:t>Sakira Hassan</w:t>
      </w:r>
    </w:p>
    <w:p w14:paraId="07BC7ECF" w14:textId="7F600577"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 xml:space="preserve">E-mail </w:t>
      </w:r>
      <w:proofErr w:type="spellStart"/>
      <w:r w:rsidRPr="00DF0932">
        <w:rPr>
          <w:rFonts w:ascii="Arial" w:hAnsi="Arial" w:cs="Arial"/>
          <w:b/>
          <w:color w:val="0000FF"/>
          <w:lang w:val="fr-FR"/>
        </w:rPr>
        <w:t>Address</w:t>
      </w:r>
      <w:proofErr w:type="spellEnd"/>
      <w:r w:rsidRPr="00DF0932">
        <w:rPr>
          <w:rFonts w:ascii="Arial" w:hAnsi="Arial" w:cs="Arial"/>
          <w:b/>
          <w:color w:val="0000FF"/>
          <w:lang w:val="fr-FR"/>
        </w:rPr>
        <w:t>:</w:t>
      </w:r>
      <w:r w:rsidRPr="00DF0932">
        <w:rPr>
          <w:rFonts w:ascii="Arial" w:hAnsi="Arial" w:cs="Arial"/>
          <w:color w:val="0000FF"/>
          <w:lang w:val="fr-FR"/>
        </w:rPr>
        <w:tab/>
      </w:r>
      <w:r w:rsidR="008F6F54">
        <w:rPr>
          <w:rFonts w:ascii="Arial" w:hAnsi="Arial" w:cs="Arial"/>
          <w:color w:val="0000FF"/>
          <w:lang w:val="fr-FR"/>
        </w:rPr>
        <w:t>sakira</w:t>
      </w:r>
      <w:r w:rsidRPr="00DF0932">
        <w:rPr>
          <w:rFonts w:ascii="Arial" w:hAnsi="Arial" w:cs="Arial"/>
          <w:color w:val="0000FF"/>
          <w:lang w:val="fr-FR"/>
        </w:rPr>
        <w:t>.</w:t>
      </w:r>
      <w:r w:rsidR="008F6F54">
        <w:rPr>
          <w:rFonts w:ascii="Arial" w:hAnsi="Arial" w:cs="Arial"/>
          <w:color w:val="0000FF"/>
          <w:lang w:val="fr-FR"/>
        </w:rPr>
        <w:t>hassan</w:t>
      </w:r>
      <w:r w:rsidRPr="00DF0932">
        <w:rPr>
          <w:rFonts w:ascii="Arial" w:hAnsi="Arial" w:cs="Arial"/>
          <w:color w:val="0000FF"/>
          <w:lang w:val="fr-FR"/>
        </w:rPr>
        <w: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 xml:space="preserve">Send any </w:t>
      </w:r>
      <w:proofErr w:type="gramStart"/>
      <w:r w:rsidRPr="00934C75">
        <w:rPr>
          <w:rFonts w:ascii="Arial" w:hAnsi="Arial" w:cs="Arial"/>
          <w:b/>
        </w:rPr>
        <w:t>reply</w:t>
      </w:r>
      <w:proofErr w:type="gramEnd"/>
      <w:r w:rsidRPr="00934C75">
        <w:rPr>
          <w:rFonts w:ascii="Arial" w:hAnsi="Arial" w:cs="Arial"/>
          <w:b/>
        </w:rPr>
        <w:t xml:space="preserve"> LS to:</w:t>
      </w:r>
      <w:r w:rsidRPr="00934C75">
        <w:rPr>
          <w:rFonts w:ascii="Arial" w:hAnsi="Arial" w:cs="Arial"/>
          <w:b/>
        </w:rPr>
        <w:tab/>
        <w:t xml:space="preserve">3GPP Liaisons Coordinator, </w:t>
      </w:r>
      <w:hyperlink r:id="rId13"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42EEA886" w:rsidR="00934C75" w:rsidRDefault="00934C75" w:rsidP="00934C75">
      <w:pPr>
        <w:tabs>
          <w:tab w:val="center" w:pos="4153"/>
          <w:tab w:val="right" w:pos="8306"/>
        </w:tabs>
        <w:spacing w:after="120"/>
        <w:rPr>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6F231184" w14:textId="665C9EEB" w:rsidR="0048404C" w:rsidRPr="00B048B5" w:rsidRDefault="0048404C" w:rsidP="00934C75">
      <w:pPr>
        <w:tabs>
          <w:tab w:val="center" w:pos="4153"/>
          <w:tab w:val="right" w:pos="8306"/>
        </w:tabs>
        <w:spacing w:after="120"/>
        <w:rPr>
          <w:rFonts w:ascii="Arial" w:hAnsi="Arial" w:cs="Arial"/>
          <w:lang w:val="en-US"/>
        </w:rPr>
      </w:pPr>
      <w:r w:rsidRPr="00D13078">
        <w:rPr>
          <w:rFonts w:ascii="Arial" w:hAnsi="Arial" w:cs="Arial"/>
          <w:lang w:val="en-US"/>
        </w:rPr>
        <w:t xml:space="preserve">             At RAN2#127b</w:t>
      </w:r>
      <w:r w:rsidRPr="00B048B5">
        <w:rPr>
          <w:rFonts w:ascii="Arial" w:hAnsi="Arial" w:cs="Arial"/>
          <w:lang w:val="en-US"/>
        </w:rPr>
        <w:t>is:</w:t>
      </w:r>
    </w:p>
    <w:p w14:paraId="33045BDC" w14:textId="77777777" w:rsidR="00247151" w:rsidRPr="00247151" w:rsidRDefault="00247151" w:rsidP="00247151">
      <w:pPr>
        <w:pStyle w:val="ListParagraph"/>
        <w:tabs>
          <w:tab w:val="center" w:pos="4153"/>
          <w:tab w:val="right" w:pos="8306"/>
        </w:tabs>
        <w:spacing w:after="120"/>
        <w:ind w:left="851"/>
        <w:rPr>
          <w:rFonts w:ascii="Arial" w:hAnsi="Arial" w:cs="Arial"/>
        </w:rPr>
      </w:pPr>
      <w:proofErr w:type="spellStart"/>
      <w:r w:rsidRPr="00247151">
        <w:rPr>
          <w:rFonts w:ascii="Arial" w:hAnsi="Arial" w:cs="Arial"/>
        </w:rPr>
        <w:t>UEInformationRequest</w:t>
      </w:r>
      <w:proofErr w:type="spellEnd"/>
      <w:r w:rsidRPr="00247151">
        <w:rPr>
          <w:rFonts w:ascii="Arial" w:hAnsi="Arial" w:cs="Arial"/>
        </w:rPr>
        <w:t>/</w:t>
      </w:r>
      <w:proofErr w:type="spellStart"/>
      <w:r w:rsidRPr="00247151">
        <w:rPr>
          <w:rFonts w:ascii="Arial" w:hAnsi="Arial" w:cs="Arial"/>
        </w:rPr>
        <w:t>UEInformationResponse</w:t>
      </w:r>
      <w:proofErr w:type="spellEnd"/>
      <w:r w:rsidRPr="00247151">
        <w:rPr>
          <w:rFonts w:ascii="Arial" w:hAnsi="Arial" w:cs="Arial"/>
        </w:rPr>
        <w:t xml:space="preserve"> is used for on-demand reporting of AI/ML training data collection. FFS of details of the message</w:t>
      </w:r>
    </w:p>
    <w:p w14:paraId="4944CB68" w14:textId="77777777" w:rsidR="00247151" w:rsidRPr="00247151" w:rsidRDefault="00247151" w:rsidP="00247151">
      <w:pPr>
        <w:pStyle w:val="ListParagraph"/>
        <w:tabs>
          <w:tab w:val="center" w:pos="4153"/>
          <w:tab w:val="right" w:pos="8306"/>
        </w:tabs>
        <w:spacing w:after="120"/>
        <w:ind w:left="851"/>
        <w:rPr>
          <w:rFonts w:ascii="Arial" w:hAnsi="Arial" w:cs="Arial"/>
        </w:rPr>
      </w:pPr>
      <w:r w:rsidRPr="00247151">
        <w:rPr>
          <w:rFonts w:ascii="Arial" w:hAnsi="Arial" w:cs="Arial"/>
        </w:rPr>
        <w:br/>
        <w:t xml:space="preserve">The UE can </w:t>
      </w:r>
      <w:proofErr w:type="gramStart"/>
      <w:r w:rsidRPr="00247151">
        <w:rPr>
          <w:rFonts w:ascii="Arial" w:hAnsi="Arial" w:cs="Arial"/>
        </w:rPr>
        <w:t>indicates</w:t>
      </w:r>
      <w:proofErr w:type="gramEnd"/>
      <w:r w:rsidRPr="00247151">
        <w:rPr>
          <w:rFonts w:ascii="Arial" w:hAnsi="Arial" w:cs="Arial"/>
        </w:rPr>
        <w:t xml:space="preserve"> the availability of logged data to the network to assist network to trigger </w:t>
      </w:r>
      <w:proofErr w:type="spellStart"/>
      <w:r w:rsidRPr="00247151">
        <w:rPr>
          <w:rFonts w:ascii="Arial" w:hAnsi="Arial" w:cs="Arial"/>
        </w:rPr>
        <w:t>UEInformationRequest</w:t>
      </w:r>
      <w:proofErr w:type="spellEnd"/>
      <w:r w:rsidRPr="00247151">
        <w:rPr>
          <w:rFonts w:ascii="Arial" w:hAnsi="Arial" w:cs="Arial"/>
        </w:rPr>
        <w:t xml:space="preserve">. FFS trigger/definition of availability indication. and FFS how data availability indication is sent to the network. </w:t>
      </w:r>
    </w:p>
    <w:p w14:paraId="32543957" w14:textId="77777777" w:rsidR="00934C75" w:rsidRPr="00247151" w:rsidRDefault="00934C75" w:rsidP="00934C75">
      <w:pPr>
        <w:tabs>
          <w:tab w:val="center" w:pos="4153"/>
          <w:tab w:val="right" w:pos="8306"/>
        </w:tabs>
        <w:spacing w:after="120"/>
        <w:ind w:left="720"/>
        <w:rPr>
          <w:rFonts w:ascii="Arial" w:hAnsi="Arial" w:cs="Arial"/>
          <w:lang w:val="en-US"/>
        </w:rPr>
      </w:pPr>
      <w:r w:rsidRPr="00247151">
        <w:rPr>
          <w:rFonts w:ascii="Arial" w:hAnsi="Arial" w:cs="Arial"/>
          <w:lang w:val="en-US"/>
        </w:rPr>
        <w:t>At RAN2#129:</w:t>
      </w:r>
    </w:p>
    <w:p w14:paraId="04F9F8C1" w14:textId="77777777" w:rsid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2B9E7C32" w14:textId="78198925" w:rsidR="006D1025" w:rsidRPr="00934C75" w:rsidRDefault="006D1025" w:rsidP="002555FA">
      <w:pPr>
        <w:tabs>
          <w:tab w:val="center" w:pos="4153"/>
          <w:tab w:val="right" w:pos="8306"/>
        </w:tabs>
        <w:spacing w:after="120"/>
        <w:ind w:left="852"/>
        <w:rPr>
          <w:rFonts w:ascii="Arial" w:hAnsi="Arial" w:cs="Arial"/>
          <w:lang w:val="en-US"/>
        </w:rPr>
      </w:pPr>
      <w:r>
        <w:rPr>
          <w:rFonts w:ascii="Arial" w:hAnsi="Arial" w:cs="Arial"/>
          <w:lang w:val="en-US"/>
        </w:rPr>
        <w:t>-</w:t>
      </w:r>
      <w:r w:rsidRPr="006D1025">
        <w:rPr>
          <w:rFonts w:ascii="Segoe UI" w:hAnsi="Segoe UI" w:cs="Segoe UI"/>
          <w:sz w:val="18"/>
          <w:szCs w:val="18"/>
        </w:rPr>
        <w:t xml:space="preserve"> </w:t>
      </w:r>
      <w:r w:rsidRPr="006D1025">
        <w:rPr>
          <w:rFonts w:ascii="Arial" w:hAnsi="Arial" w:cs="Arial"/>
        </w:rPr>
        <w:t xml:space="preserve">As baseline, the </w:t>
      </w:r>
      <w:proofErr w:type="spellStart"/>
      <w:r w:rsidRPr="006D1025">
        <w:rPr>
          <w:rFonts w:ascii="Arial" w:hAnsi="Arial" w:cs="Arial"/>
        </w:rPr>
        <w:t>UEInformationResponse</w:t>
      </w:r>
      <w:proofErr w:type="spellEnd"/>
      <w:r w:rsidRPr="006D1025">
        <w:rPr>
          <w:rFonts w:ascii="Arial" w:hAnsi="Arial" w:cs="Arial"/>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17802200"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 xml:space="preserve">(RRC-18) 1-bit indication on whether to release or retain un-retrieved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proofErr w:type="spellStart"/>
      <w:r w:rsidRPr="002555FA">
        <w:rPr>
          <w:rFonts w:ascii="Arial" w:hAnsi="Arial" w:cs="Arial"/>
          <w:i/>
          <w:iCs/>
          <w:lang w:val="en-US"/>
        </w:rPr>
        <w:t>HandoverPreparationInformation</w:t>
      </w:r>
      <w:proofErr w:type="spellEnd"/>
      <w:r w:rsidRPr="002555FA">
        <w:rPr>
          <w:rFonts w:ascii="Arial" w:hAnsi="Arial" w:cs="Arial"/>
          <w:lang w:val="en-US"/>
        </w:rPr>
        <w:t xml:space="preserve"> message. This 1-bit indication is included in HO command by target cell (if the target cell wants to keep the data).   We should have 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p>
    <w:p w14:paraId="0AADE7A2" w14:textId="7A237228" w:rsidR="003D6E70" w:rsidRPr="00F80EBD" w:rsidRDefault="002555FA" w:rsidP="00934C75">
      <w:pPr>
        <w:tabs>
          <w:tab w:val="center" w:pos="4153"/>
          <w:tab w:val="right" w:pos="8306"/>
        </w:tabs>
        <w:spacing w:after="120"/>
        <w:rPr>
          <w:rFonts w:ascii="Arial" w:hAnsi="Arial" w:cs="Arial"/>
          <w:lang w:val="en-US"/>
        </w:rPr>
      </w:pPr>
      <w:r w:rsidRPr="00F80EBD">
        <w:rPr>
          <w:rFonts w:ascii="Arial" w:hAnsi="Arial" w:cs="Arial"/>
          <w:lang w:val="en-US"/>
        </w:rPr>
        <w:t xml:space="preserve">RAN2 would like to clarify that the data collection configuration could originate in the source </w:t>
      </w:r>
      <w:proofErr w:type="spellStart"/>
      <w:r w:rsidRPr="00F80EBD">
        <w:rPr>
          <w:rFonts w:ascii="Arial" w:hAnsi="Arial" w:cs="Arial"/>
          <w:lang w:val="en-US"/>
        </w:rPr>
        <w:t>gNB</w:t>
      </w:r>
      <w:proofErr w:type="spellEnd"/>
      <w:r w:rsidRPr="00F80EBD">
        <w:rPr>
          <w:rFonts w:ascii="Arial" w:hAnsi="Arial" w:cs="Arial"/>
          <w:lang w:val="en-US"/>
        </w:rPr>
        <w:t xml:space="preserve"> or from OAM. </w:t>
      </w:r>
      <w:r w:rsidR="001C541A">
        <w:rPr>
          <w:rFonts w:ascii="Arial" w:hAnsi="Arial" w:cs="Arial"/>
          <w:lang w:val="en-US"/>
        </w:rPr>
        <w:t xml:space="preserve">RAN2 would also like to clarify that the purpose of data availability indication in </w:t>
      </w:r>
      <w:proofErr w:type="spellStart"/>
      <w:r w:rsidR="001C541A" w:rsidRPr="00934C75">
        <w:rPr>
          <w:rFonts w:ascii="Arial" w:hAnsi="Arial" w:cs="Arial"/>
          <w:lang w:val="en-US"/>
        </w:rPr>
        <w:t>RRCReconfigurationComplete</w:t>
      </w:r>
      <w:proofErr w:type="spellEnd"/>
      <w:r w:rsidR="001C541A" w:rsidRPr="00934C75">
        <w:rPr>
          <w:rFonts w:ascii="Arial" w:hAnsi="Arial" w:cs="Arial"/>
          <w:lang w:val="en-US"/>
        </w:rPr>
        <w:t xml:space="preserve"> message</w:t>
      </w:r>
      <w:r w:rsidR="001C541A" w:rsidRPr="00F80EBD" w:rsidDel="003D6E70">
        <w:rPr>
          <w:rFonts w:ascii="Arial" w:hAnsi="Arial" w:cs="Arial"/>
          <w:lang w:val="en-US"/>
        </w:rPr>
        <w:t xml:space="preserve"> </w:t>
      </w:r>
      <w:r w:rsidR="001C541A">
        <w:rPr>
          <w:rFonts w:ascii="Arial" w:hAnsi="Arial" w:cs="Arial"/>
          <w:lang w:val="en-US"/>
        </w:rPr>
        <w:t xml:space="preserve">sent during handover is for the target </w:t>
      </w:r>
      <w:proofErr w:type="spellStart"/>
      <w:r w:rsidR="001C541A">
        <w:rPr>
          <w:rFonts w:ascii="Arial" w:hAnsi="Arial" w:cs="Arial"/>
          <w:lang w:val="en-US"/>
        </w:rPr>
        <w:t>gNB</w:t>
      </w:r>
      <w:proofErr w:type="spellEnd"/>
      <w:r w:rsidR="001C541A">
        <w:rPr>
          <w:rFonts w:ascii="Arial" w:hAnsi="Arial" w:cs="Arial"/>
          <w:lang w:val="en-US"/>
        </w:rPr>
        <w:t xml:space="preserve"> to be able to fetch the collected </w:t>
      </w:r>
      <w:r w:rsidR="00EF7711">
        <w:rPr>
          <w:rFonts w:ascii="Arial" w:hAnsi="Arial" w:cs="Arial"/>
          <w:lang w:val="en-US"/>
        </w:rPr>
        <w:t xml:space="preserve">data </w:t>
      </w:r>
      <w:r w:rsidR="001C541A">
        <w:rPr>
          <w:rFonts w:ascii="Arial" w:hAnsi="Arial" w:cs="Arial"/>
          <w:lang w:val="en-US"/>
        </w:rPr>
        <w:t>from the UE.</w:t>
      </w:r>
    </w:p>
    <w:p w14:paraId="55F55FD4" w14:textId="7B36ABD7" w:rsidR="007F1FBC" w:rsidRDefault="003E1D19" w:rsidP="00934C75">
      <w:pPr>
        <w:tabs>
          <w:tab w:val="center" w:pos="4153"/>
          <w:tab w:val="right" w:pos="8306"/>
        </w:tabs>
        <w:spacing w:after="120"/>
        <w:rPr>
          <w:rFonts w:ascii="Arial" w:hAnsi="Arial" w:cs="Arial"/>
          <w:lang w:val="en-US"/>
        </w:rPr>
      </w:pPr>
      <w:r w:rsidRPr="00B048B5">
        <w:rPr>
          <w:rFonts w:ascii="Arial" w:hAnsi="Arial" w:cs="Arial"/>
        </w:rPr>
        <w:t>RAN2 respectfully asks RAN3 to take the agreement into account, and provide</w:t>
      </w:r>
      <w:r w:rsidR="001C541A">
        <w:rPr>
          <w:rFonts w:ascii="Arial" w:hAnsi="Arial" w:cs="Arial"/>
        </w:rPr>
        <w:t xml:space="preserve"> concern,</w:t>
      </w:r>
      <w:r w:rsidRPr="00B048B5">
        <w:rPr>
          <w:rFonts w:ascii="Arial" w:hAnsi="Arial" w:cs="Arial"/>
        </w:rPr>
        <w:t xml:space="preserve"> if any</w:t>
      </w:r>
      <w:r w:rsidR="001C541A">
        <w:rPr>
          <w:rFonts w:ascii="Arial" w:hAnsi="Arial" w:cs="Arial"/>
        </w:rPr>
        <w:t>,</w:t>
      </w:r>
      <w:r w:rsidRPr="00B048B5">
        <w:rPr>
          <w:rFonts w:ascii="Arial" w:hAnsi="Arial" w:cs="Arial"/>
        </w:rPr>
        <w:t> on RAN2 agreement</w:t>
      </w:r>
      <w:r w:rsidRPr="00B048B5">
        <w:rPr>
          <w:rFonts w:ascii="Arial" w:hAnsi="Arial" w:cs="Arial"/>
          <w:lang w:val="en-US"/>
        </w:rPr>
        <w:t>.</w:t>
      </w:r>
    </w:p>
    <w:p w14:paraId="11E33A1B" w14:textId="77777777" w:rsidR="00934C75" w:rsidRPr="00934C75" w:rsidRDefault="00934C75" w:rsidP="00934C75">
      <w:pPr>
        <w:spacing w:after="120"/>
        <w:rPr>
          <w:rFonts w:ascii="Arial" w:hAnsi="Arial" w:cs="Arial"/>
          <w:b/>
        </w:rPr>
      </w:pPr>
      <w:r w:rsidRPr="00934C75">
        <w:rPr>
          <w:rFonts w:ascii="Arial" w:hAnsi="Arial" w:cs="Arial"/>
          <w:b/>
        </w:rPr>
        <w:lastRenderedPageBreak/>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70FDE708" w:rsidR="00934C75" w:rsidRPr="00934C75" w:rsidRDefault="00934C75" w:rsidP="00934C75">
      <w:pPr>
        <w:spacing w:after="120"/>
        <w:ind w:left="993" w:hanging="993"/>
        <w:rPr>
          <w:rFonts w:ascii="Arial" w:hAnsi="Arial" w:cs="Arial"/>
        </w:rPr>
      </w:pPr>
      <w:r w:rsidRPr="00934C75">
        <w:rPr>
          <w:rFonts w:ascii="Arial" w:hAnsi="Arial" w:cs="Arial"/>
          <w:b/>
        </w:rPr>
        <w:t xml:space="preserve">ACTION: </w:t>
      </w:r>
      <w:r w:rsidRPr="00934C75">
        <w:rPr>
          <w:rFonts w:ascii="Arial" w:hAnsi="Arial" w:cs="Arial"/>
          <w:b/>
        </w:rPr>
        <w:tab/>
      </w:r>
      <w:r w:rsidR="003E1D19" w:rsidRPr="003E1D19">
        <w:rPr>
          <w:rFonts w:ascii="Arial" w:hAnsi="Arial" w:cs="Arial"/>
          <w:b/>
          <w:bCs/>
        </w:rPr>
        <w:t xml:space="preserve">RAN2 respectfully asks RAN3 to take the agreement into account, </w:t>
      </w:r>
      <w:r w:rsidR="003E1D19" w:rsidRPr="00B048B5">
        <w:rPr>
          <w:rFonts w:ascii="Arial" w:hAnsi="Arial" w:cs="Arial"/>
          <w:b/>
          <w:bCs/>
        </w:rPr>
        <w:t>and provide</w:t>
      </w:r>
      <w:r w:rsidR="00C826C8">
        <w:rPr>
          <w:rFonts w:ascii="Arial" w:hAnsi="Arial" w:cs="Arial"/>
          <w:b/>
          <w:bCs/>
        </w:rPr>
        <w:t xml:space="preserve"> concern,</w:t>
      </w:r>
      <w:r w:rsidR="003E1D19" w:rsidRPr="00B048B5">
        <w:rPr>
          <w:rFonts w:ascii="Arial" w:hAnsi="Arial" w:cs="Arial"/>
          <w:b/>
          <w:bCs/>
        </w:rPr>
        <w:t xml:space="preserve"> if any</w:t>
      </w:r>
      <w:r w:rsidR="00C826C8">
        <w:rPr>
          <w:rFonts w:ascii="Arial" w:hAnsi="Arial" w:cs="Arial"/>
          <w:b/>
          <w:bCs/>
        </w:rPr>
        <w:t xml:space="preserve">, </w:t>
      </w:r>
      <w:r w:rsidR="003E1D19" w:rsidRPr="00B048B5">
        <w:rPr>
          <w:rFonts w:ascii="Arial" w:hAnsi="Arial" w:cs="Arial"/>
          <w:b/>
          <w:bCs/>
        </w:rPr>
        <w:t>on RAN2 agreement</w:t>
      </w:r>
      <w:r w:rsidR="003E1D19" w:rsidRPr="00B048B5">
        <w:rPr>
          <w:rFonts w:ascii="Arial" w:hAnsi="Arial" w:cs="Arial"/>
          <w:b/>
          <w:bCs/>
          <w:lang w:val="en-US"/>
        </w:rPr>
        <w:t>.</w:t>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554AF" w14:textId="77777777" w:rsidR="001A516E" w:rsidRDefault="001A516E">
      <w:r>
        <w:separator/>
      </w:r>
    </w:p>
  </w:endnote>
  <w:endnote w:type="continuationSeparator" w:id="0">
    <w:p w14:paraId="790E8E07" w14:textId="77777777" w:rsidR="001A516E" w:rsidRDefault="001A516E">
      <w:r>
        <w:continuationSeparator/>
      </w:r>
    </w:p>
  </w:endnote>
  <w:endnote w:type="continuationNotice" w:id="1">
    <w:p w14:paraId="436EBE33" w14:textId="77777777" w:rsidR="001A516E" w:rsidRDefault="001A51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9CC0F" w14:textId="77777777" w:rsidR="001A516E" w:rsidRDefault="001A516E">
      <w:r>
        <w:separator/>
      </w:r>
    </w:p>
  </w:footnote>
  <w:footnote w:type="continuationSeparator" w:id="0">
    <w:p w14:paraId="53D1EC58" w14:textId="77777777" w:rsidR="001A516E" w:rsidRDefault="001A516E">
      <w:r>
        <w:continuationSeparator/>
      </w:r>
    </w:p>
  </w:footnote>
  <w:footnote w:type="continuationNotice" w:id="1">
    <w:p w14:paraId="2F5BCF81" w14:textId="77777777" w:rsidR="001A516E" w:rsidRDefault="001A51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DE709EA"/>
    <w:multiLevelType w:val="hybridMultilevel"/>
    <w:tmpl w:val="1514F7FE"/>
    <w:lvl w:ilvl="0" w:tplc="0DEA3566">
      <w:start w:val="1"/>
      <w:numFmt w:val="bullet"/>
      <w:lvlText w:val="-"/>
      <w:lvlJc w:val="left"/>
      <w:pPr>
        <w:ind w:left="1200" w:hanging="360"/>
      </w:pPr>
      <w:rPr>
        <w:rFonts w:ascii="Arial" w:eastAsia="SimSun" w:hAnsi="Arial" w:cs="Aria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7"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D4E72"/>
    <w:multiLevelType w:val="hybridMultilevel"/>
    <w:tmpl w:val="A9246FDE"/>
    <w:lvl w:ilvl="0" w:tplc="6D2817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1E4A2CBD"/>
    <w:multiLevelType w:val="hybridMultilevel"/>
    <w:tmpl w:val="0E40F72C"/>
    <w:lvl w:ilvl="0" w:tplc="EF32016C">
      <w:start w:val="1"/>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1770F3A"/>
    <w:multiLevelType w:val="hybridMultilevel"/>
    <w:tmpl w:val="C92AEB92"/>
    <w:lvl w:ilvl="0" w:tplc="E992381A">
      <w:start w:val="1"/>
      <w:numFmt w:val="decimal"/>
      <w:lvlText w:val="%1)"/>
      <w:lvlJc w:val="left"/>
      <w:pPr>
        <w:ind w:left="760" w:hanging="360"/>
      </w:pPr>
      <w:rPr>
        <w:rFonts w:eastAsia="SimSun"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23"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5"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3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7407259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01598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01500061">
    <w:abstractNumId w:val="11"/>
  </w:num>
  <w:num w:numId="4" w16cid:durableId="1045908085">
    <w:abstractNumId w:val="30"/>
  </w:num>
  <w:num w:numId="5" w16cid:durableId="110323085">
    <w:abstractNumId w:val="29"/>
  </w:num>
  <w:num w:numId="6" w16cid:durableId="1192648789">
    <w:abstractNumId w:val="32"/>
  </w:num>
  <w:num w:numId="7" w16cid:durableId="1983341586">
    <w:abstractNumId w:val="33"/>
  </w:num>
  <w:num w:numId="8" w16cid:durableId="925114653">
    <w:abstractNumId w:val="9"/>
  </w:num>
  <w:num w:numId="9" w16cid:durableId="740250036">
    <w:abstractNumId w:val="7"/>
  </w:num>
  <w:num w:numId="10" w16cid:durableId="109908582">
    <w:abstractNumId w:val="6"/>
  </w:num>
  <w:num w:numId="11" w16cid:durableId="1457410235">
    <w:abstractNumId w:val="5"/>
  </w:num>
  <w:num w:numId="12" w16cid:durableId="751706988">
    <w:abstractNumId w:val="4"/>
  </w:num>
  <w:num w:numId="13" w16cid:durableId="1390566573">
    <w:abstractNumId w:val="8"/>
  </w:num>
  <w:num w:numId="14" w16cid:durableId="1688561269">
    <w:abstractNumId w:val="3"/>
  </w:num>
  <w:num w:numId="15" w16cid:durableId="1585841387">
    <w:abstractNumId w:val="2"/>
  </w:num>
  <w:num w:numId="16" w16cid:durableId="1984046526">
    <w:abstractNumId w:val="1"/>
  </w:num>
  <w:num w:numId="17" w16cid:durableId="734856031">
    <w:abstractNumId w:val="0"/>
  </w:num>
  <w:num w:numId="18" w16cid:durableId="1051080342">
    <w:abstractNumId w:val="39"/>
  </w:num>
  <w:num w:numId="19" w16cid:durableId="38018720">
    <w:abstractNumId w:val="41"/>
  </w:num>
  <w:num w:numId="20" w16cid:durableId="675694930">
    <w:abstractNumId w:val="17"/>
  </w:num>
  <w:num w:numId="21" w16cid:durableId="1834759675">
    <w:abstractNumId w:val="25"/>
  </w:num>
  <w:num w:numId="22" w16cid:durableId="970137384">
    <w:abstractNumId w:val="26"/>
  </w:num>
  <w:num w:numId="23" w16cid:durableId="801072623">
    <w:abstractNumId w:val="37"/>
  </w:num>
  <w:num w:numId="24" w16cid:durableId="1101603693">
    <w:abstractNumId w:val="34"/>
    <w:lvlOverride w:ilvl="0">
      <w:startOverride w:val="1"/>
    </w:lvlOverride>
    <w:lvlOverride w:ilvl="1"/>
    <w:lvlOverride w:ilvl="2"/>
    <w:lvlOverride w:ilvl="3"/>
    <w:lvlOverride w:ilvl="4"/>
    <w:lvlOverride w:ilvl="5"/>
    <w:lvlOverride w:ilvl="6"/>
    <w:lvlOverride w:ilvl="7"/>
    <w:lvlOverride w:ilvl="8"/>
  </w:num>
  <w:num w:numId="25" w16cid:durableId="1442065439">
    <w:abstractNumId w:val="12"/>
  </w:num>
  <w:num w:numId="26" w16cid:durableId="315767271">
    <w:abstractNumId w:val="38"/>
  </w:num>
  <w:num w:numId="27" w16cid:durableId="957180880">
    <w:abstractNumId w:val="24"/>
  </w:num>
  <w:num w:numId="28" w16cid:durableId="243073292">
    <w:abstractNumId w:val="22"/>
  </w:num>
  <w:num w:numId="29" w16cid:durableId="1756973832">
    <w:abstractNumId w:val="27"/>
  </w:num>
  <w:num w:numId="30" w16cid:durableId="1504468083">
    <w:abstractNumId w:val="35"/>
  </w:num>
  <w:num w:numId="31" w16cid:durableId="1052461505">
    <w:abstractNumId w:val="18"/>
  </w:num>
  <w:num w:numId="32" w16cid:durableId="2096241965">
    <w:abstractNumId w:val="23"/>
  </w:num>
  <w:num w:numId="33" w16cid:durableId="573515358">
    <w:abstractNumId w:val="14"/>
  </w:num>
  <w:num w:numId="34" w16cid:durableId="1873690095">
    <w:abstractNumId w:val="28"/>
  </w:num>
  <w:num w:numId="35" w16cid:durableId="1840387570">
    <w:abstractNumId w:val="40"/>
  </w:num>
  <w:num w:numId="36" w16cid:durableId="314531628">
    <w:abstractNumId w:val="13"/>
  </w:num>
  <w:num w:numId="37" w16cid:durableId="198785099">
    <w:abstractNumId w:val="31"/>
  </w:num>
  <w:num w:numId="38" w16cid:durableId="1417510442">
    <w:abstractNumId w:val="15"/>
  </w:num>
  <w:num w:numId="39" w16cid:durableId="1763841672">
    <w:abstractNumId w:val="36"/>
  </w:num>
  <w:num w:numId="40" w16cid:durableId="284122432">
    <w:abstractNumId w:val="16"/>
  </w:num>
  <w:num w:numId="41" w16cid:durableId="397552411">
    <w:abstractNumId w:val="20"/>
  </w:num>
  <w:num w:numId="42" w16cid:durableId="472454968">
    <w:abstractNumId w:val="19"/>
  </w:num>
  <w:num w:numId="43" w16cid:durableId="10225853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AC2"/>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324"/>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717"/>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AB"/>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59B"/>
    <w:rsid w:val="000F2711"/>
    <w:rsid w:val="000F273E"/>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931"/>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A9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904"/>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18"/>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443C"/>
    <w:rsid w:val="001A516E"/>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41A"/>
    <w:rsid w:val="001C5714"/>
    <w:rsid w:val="001C591C"/>
    <w:rsid w:val="001C6217"/>
    <w:rsid w:val="001C6653"/>
    <w:rsid w:val="001C668D"/>
    <w:rsid w:val="001C6B44"/>
    <w:rsid w:val="001C6C57"/>
    <w:rsid w:val="001C6CDD"/>
    <w:rsid w:val="001C6CFD"/>
    <w:rsid w:val="001C6D65"/>
    <w:rsid w:val="001C6E1C"/>
    <w:rsid w:val="001C6E42"/>
    <w:rsid w:val="001C73C3"/>
    <w:rsid w:val="001C73F1"/>
    <w:rsid w:val="001C78C3"/>
    <w:rsid w:val="001D01E7"/>
    <w:rsid w:val="001D0365"/>
    <w:rsid w:val="001D03A1"/>
    <w:rsid w:val="001D0820"/>
    <w:rsid w:val="001D0967"/>
    <w:rsid w:val="001D0AFF"/>
    <w:rsid w:val="001D0EA1"/>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3DFD"/>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A9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2C6"/>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51"/>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06A"/>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8C9"/>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2D5E"/>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AF1"/>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2E4"/>
    <w:rsid w:val="00391372"/>
    <w:rsid w:val="00391405"/>
    <w:rsid w:val="0039146A"/>
    <w:rsid w:val="003914C1"/>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A1C"/>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6E70"/>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19"/>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12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52"/>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4C"/>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641"/>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382"/>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4F7"/>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B4C"/>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670"/>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625"/>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289"/>
    <w:rsid w:val="00565582"/>
    <w:rsid w:val="0056573F"/>
    <w:rsid w:val="0056576E"/>
    <w:rsid w:val="00565963"/>
    <w:rsid w:val="0056598D"/>
    <w:rsid w:val="00565E3F"/>
    <w:rsid w:val="00565E59"/>
    <w:rsid w:val="00566161"/>
    <w:rsid w:val="00566205"/>
    <w:rsid w:val="005662FF"/>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9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8A9"/>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353"/>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0A8"/>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025"/>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0ED"/>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440"/>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3C6"/>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6A9"/>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3E4"/>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69E7"/>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2D"/>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67"/>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6F54"/>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6BFB"/>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7AB"/>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0ECD"/>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6D"/>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DF9"/>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5F34"/>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965"/>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32F"/>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E0C"/>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099C"/>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5DEB"/>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8B5"/>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0F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0A56"/>
    <w:rsid w:val="00BE1474"/>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87"/>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306"/>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5D91"/>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87F"/>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B96"/>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6C8"/>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02"/>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078"/>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9F8"/>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A74"/>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237"/>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39F2"/>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0E5C"/>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344"/>
    <w:rsid w:val="00E554A8"/>
    <w:rsid w:val="00E55535"/>
    <w:rsid w:val="00E55AEF"/>
    <w:rsid w:val="00E55B38"/>
    <w:rsid w:val="00E560AF"/>
    <w:rsid w:val="00E56232"/>
    <w:rsid w:val="00E56238"/>
    <w:rsid w:val="00E56325"/>
    <w:rsid w:val="00E5697B"/>
    <w:rsid w:val="00E56BC1"/>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711"/>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44E"/>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324"/>
    <w:rsid w:val="00F724A5"/>
    <w:rsid w:val="00F7254D"/>
    <w:rsid w:val="00F726DD"/>
    <w:rsid w:val="00F72943"/>
    <w:rsid w:val="00F72EE0"/>
    <w:rsid w:val="00F72F5F"/>
    <w:rsid w:val="00F73267"/>
    <w:rsid w:val="00F7353C"/>
    <w:rsid w:val="00F73572"/>
    <w:rsid w:val="00F735CA"/>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0EB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A8"/>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ACE"/>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1BC9A692-FFA2-4097-A314-AAEA9BC8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9616510">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36522077">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RBI5PAMIO524-1616901215-50620</_dlc_DocId>
    <_dlc_DocIdUrl xmlns="71c5aaf6-e6ce-465b-b873-5148d2a4c105">
      <Url>https://nokia.sharepoint.com/sites/gxp/_layouts/15/DocIdRedir.aspx?ID=RBI5PAMIO524-1616901215-50620</Url>
      <Description>RBI5PAMIO524-1616901215-50620</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3F2FBF0E-0470-4667-9E8F-31A01501730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F3026F5-405E-4BD0-85D7-30E27B85C6B8}">
  <ds:schemaRefs>
    <ds:schemaRef ds:uri="http://schemas.openxmlformats.org/officeDocument/2006/bibliography"/>
  </ds:schemaRefs>
</ds:datastoreItem>
</file>

<file path=customXml/itemProps5.xml><?xml version="1.0" encoding="utf-8"?>
<ds:datastoreItem xmlns:ds="http://schemas.openxmlformats.org/officeDocument/2006/customXml" ds:itemID="{465A1294-3A57-4B0C-9283-79C07243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0A0042-DB74-430A-AF3E-0627A5F89A8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418</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(Sakira)</cp:lastModifiedBy>
  <cp:revision>17</cp:revision>
  <dcterms:created xsi:type="dcterms:W3CDTF">2025-05-28T01:46:00Z</dcterms:created>
  <dcterms:modified xsi:type="dcterms:W3CDTF">2025-05-29T19:50:00Z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FLCMData">
    <vt:lpwstr>723819AA1C4109E1B8CD492B7BC10F87B31A14B3672F394874B85914B7229D24053279C8E9B9EBEA5B341659061D3C4C3AA8EA5BB96A8F1B6196CFD091F12BF0</vt:lpwstr>
  </property>
  <property fmtid="{D5CDD505-2E9C-101B-9397-08002B2CF9AE}" pid="5" name="_dlc_DocIdItemGuid">
    <vt:lpwstr>8088a4e8-d7e2-439c-ac43-b09313e9bffa</vt:lpwstr>
  </property>
  <property fmtid="{D5CDD505-2E9C-101B-9397-08002B2CF9AE}" pid="6" name="CWM787e00b03bad11f08000199000001890">
    <vt:lpwstr>CWMEHSTgT7u5D879TwI5mP91qOW2a06YDbIbdMIjK0C2rYYwg1Kb/AiEDlofkXoFNO6HNlrFNjEivef8ATmSLzGEg==</vt:lpwstr>
  </property>
</Properties>
</file>