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[Post129bis][311][R19 IoT NTN] MAC CR (Mediatek)</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CE  levels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Default="0071236C" w:rsidP="0071236C">
            <w:pPr>
              <w:jc w:val="center"/>
              <w:rPr>
                <w:lang w:eastAsia="sv-SE"/>
              </w:rPr>
            </w:pPr>
            <w:r>
              <w:rPr>
                <w:lang w:eastAsia="sv-SE"/>
              </w:rPr>
              <w:t>To make everything simple, lets have only one TBS (no maximum needed!).</w:t>
            </w:r>
            <w:r>
              <w:rPr>
                <w:lang w:eastAsia="sv-SE"/>
              </w:rPr>
              <w:br/>
              <w:t>The per CE level resource allocation enable better coverage for the lower CE level for example by more repetitions.</w:t>
            </w: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Default="00141CC9"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Default="006E5695"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Default="006E5695" w:rsidP="006E5695">
            <w:pPr>
              <w:jc w:val="left"/>
              <w:rPr>
                <w:lang w:eastAsia="sv-SE"/>
              </w:rPr>
            </w:pPr>
            <w:r>
              <w:rPr>
                <w:lang w:eastAsia="sv-SE"/>
              </w:rPr>
              <w:t xml:space="preserve">We prefer anything that makes the procedures more simple. In the end we may only have 2 CE levels for eMTC and 3 for NB-IoT, so maybe to have the same CE level can be acceptable. </w:t>
            </w:r>
            <w:bookmarkStart w:id="1" w:name="_GoBack"/>
            <w:bookmarkEnd w:id="1"/>
          </w:p>
        </w:tc>
      </w:tr>
      <w:tr w:rsidR="00141CC9"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77777777" w:rsidR="00141CC9" w:rsidRDefault="00141CC9"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77777777" w:rsidR="00141CC9" w:rsidRDefault="00141CC9"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77777777" w:rsidR="00141CC9" w:rsidRDefault="00141CC9" w:rsidP="00DB0350">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2" w:name="OLE_LINK59"/>
            <w:bookmarkStart w:id="3" w:name="OLE_LINK60"/>
            <w:r>
              <w:rPr>
                <w:rFonts w:eastAsiaTheme="minorEastAsia" w:hint="eastAsia"/>
              </w:rPr>
              <w:t>H</w:t>
            </w:r>
            <w:r>
              <w:rPr>
                <w:rFonts w:eastAsiaTheme="minorEastAsia"/>
              </w:rPr>
              <w:t>uawei, HiSilicon</w:t>
            </w:r>
            <w:bookmarkEnd w:id="2"/>
            <w:bookmarkEnd w:id="3"/>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Default="0071236C" w:rsidP="0071236C">
            <w:pPr>
              <w:jc w:val="center"/>
              <w:rPr>
                <w:lang w:eastAsia="sv-SE"/>
              </w:rPr>
            </w:pPr>
            <w:r>
              <w:rPr>
                <w:lang w:eastAsia="sv-SE"/>
              </w:rPr>
              <w:t xml:space="preserve">We will anyway need to discuss sooo much else, this is not a really important part of the feature. Simplest is to just allocate one CB-RNTI for msg3 and msg4 say for example FFF8. </w:t>
            </w: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DB0350" w:rsidRDefault="00DB0350" w:rsidP="00141CC9">
            <w:pPr>
              <w:jc w:val="left"/>
              <w:rPr>
                <w:lang w:eastAsia="sv-SE"/>
              </w:rPr>
            </w:pP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DB0350" w:rsidRDefault="00DB0350" w:rsidP="00DB0350">
            <w:pPr>
              <w:jc w:val="center"/>
              <w:rPr>
                <w:lang w:eastAsia="sv-SE"/>
              </w:rPr>
            </w:pP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lastRenderedPageBreak/>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r w:rsidRPr="003421DD">
        <w:rPr>
          <w:i/>
          <w:iCs/>
          <w:lang w:eastAsia="sv-SE"/>
        </w:rPr>
        <w:t>numRepetitionsPerPreambleAttempt</w:t>
      </w:r>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r w:rsidRPr="003421DD">
        <w:rPr>
          <w:b/>
          <w:bCs/>
          <w:i/>
          <w:iCs/>
          <w:lang w:eastAsia="sv-SE"/>
        </w:rPr>
        <w:t>npusch-NumRepetitionsIndex</w:t>
      </w:r>
      <w:r w:rsidRPr="003421DD">
        <w:rPr>
          <w:b/>
          <w:bCs/>
          <w:lang w:eastAsia="sv-SE"/>
        </w:rPr>
        <w:t xml:space="preserve"> order</w:t>
      </w:r>
      <w:r>
        <w:t>.</w:t>
      </w:r>
    </w:p>
    <w:tbl>
      <w:tblPr>
        <w:tblStyle w:val="TableGrid"/>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r w:rsidRPr="003421DD">
              <w:rPr>
                <w:i/>
                <w:iCs/>
                <w:lang w:eastAsia="sv-SE"/>
              </w:rPr>
              <w:t>numRepetitionsPerPreambleAttempt</w:t>
            </w:r>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r w:rsidRPr="00370E52">
              <w:rPr>
                <w:rFonts w:ascii="Segoe UI" w:hAnsi="Segoe UI" w:cs="Segoe UI"/>
                <w:shd w:val="clear" w:color="auto" w:fill="FFFFFF"/>
              </w:rPr>
              <w:t>npusch-NumRepetitionsIndex</w:t>
            </w:r>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uawei, HiSilicon</w:t>
            </w: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Default="0071236C">
            <w:pPr>
              <w:jc w:val="center"/>
              <w:rPr>
                <w:lang w:eastAsia="sv-SE"/>
              </w:rPr>
            </w:pPr>
            <w:r>
              <w:rPr>
                <w:lang w:eastAsia="sv-SE"/>
              </w:rPr>
              <w:t>Ericsson</w:t>
            </w: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Default="0071236C" w:rsidP="0071236C">
            <w:r>
              <w:t>Agreements in Hefei:</w:t>
            </w:r>
          </w:p>
          <w:p w14:paraId="593579B5" w14:textId="3B7B2ABC" w:rsidR="0071236C" w:rsidRDefault="0071236C" w:rsidP="0071236C">
            <w:pPr>
              <w:pStyle w:val="ListParagraph"/>
              <w:numPr>
                <w:ilvl w:val="0"/>
                <w:numId w:val="23"/>
              </w:numPr>
              <w:jc w:val="both"/>
            </w:pPr>
            <w:r>
              <w:t>CB-msg3 EDT cell specific PUSCH resources for Msg3 transmission are provided per CE level (FFS whether we have a CE level specific configuration for DSA)</w:t>
            </w:r>
          </w:p>
          <w:p w14:paraId="738AEAD8" w14:textId="77777777" w:rsidR="0071236C" w:rsidRDefault="0071236C" w:rsidP="0071236C">
            <w:pPr>
              <w:pStyle w:val="ListParagraph"/>
              <w:numPr>
                <w:ilvl w:val="0"/>
                <w:numId w:val="23"/>
              </w:numPr>
              <w:jc w:val="both"/>
            </w:pPr>
            <w: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699EF1D0" w14:textId="7A3C229A" w:rsidR="0020782E" w:rsidRDefault="0071236C" w:rsidP="0071236C">
            <w:pPr>
              <w:rPr>
                <w:lang w:eastAsia="sv-SE"/>
              </w:rPr>
            </w:pPr>
            <w:r>
              <w:rPr>
                <w:lang w:eastAsia="sv-SE"/>
              </w:rPr>
              <w:t>Thus repetition is supposed to be configured per CE level, no need to deviate from configured levels???</w:t>
            </w: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Default="00141CC9">
            <w:pPr>
              <w:jc w:val="center"/>
              <w:rPr>
                <w:lang w:eastAsia="sv-SE"/>
              </w:rPr>
            </w:pPr>
            <w:r>
              <w:rPr>
                <w:lang w:eastAsia="sv-SE"/>
              </w:rPr>
              <w:t>Samsung</w:t>
            </w: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Default="00141CC9">
            <w:pPr>
              <w:jc w:val="center"/>
              <w:rPr>
                <w:lang w:eastAsia="sv-SE"/>
              </w:rPr>
            </w:pPr>
            <w:r>
              <w:rPr>
                <w:lang w:eastAsia="sv-SE"/>
              </w:rPr>
              <w:t>Yes</w:t>
            </w: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rsidP="00141CC9">
            <w:pPr>
              <w:jc w:val="left"/>
              <w:rPr>
                <w:lang w:eastAsia="sv-SE"/>
              </w:rPr>
            </w:pPr>
          </w:p>
        </w:tc>
      </w:tr>
      <w:tr w:rsidR="00141CC9" w14:paraId="6F00656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CDC24E6" w14:textId="77777777" w:rsidR="00141CC9" w:rsidRDefault="00141CC9">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4803E34" w14:textId="77777777" w:rsidR="00141CC9" w:rsidRDefault="00141CC9">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6DF48FF" w14:textId="77777777" w:rsidR="00141CC9" w:rsidRDefault="00141CC9" w:rsidP="00141CC9">
            <w:pPr>
              <w:jc w:val="left"/>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lastRenderedPageBreak/>
        <w:t xml:space="preserve">The legacy random access resources for non-anchor carrier are in the ul-configList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4" w:name="OLE_LINK5"/>
      <w:r>
        <w:rPr>
          <w:lang w:eastAsia="sv-SE"/>
        </w:rPr>
        <w:t>Follow the legacy.</w:t>
      </w:r>
    </w:p>
    <w:bookmarkEnd w:id="4"/>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r w:rsidRPr="0062442E">
        <w:rPr>
          <w:b/>
          <w:bCs/>
          <w:i/>
          <w:iCs/>
          <w:lang w:eastAsia="sv-SE"/>
        </w:rPr>
        <w:t>ul-ConfigList</w:t>
      </w:r>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Default="00B93F26"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r w:rsidR="00B93F26"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77777777" w:rsidR="00B93F26" w:rsidRDefault="00B93F26"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77777777" w:rsidR="00B93F26" w:rsidRDefault="00B93F26"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B93F26" w:rsidRDefault="00B93F26" w:rsidP="00DB0350">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lastRenderedPageBreak/>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r w:rsidRPr="00DB07F6">
              <w:rPr>
                <w:rFonts w:ascii="Times New Roman" w:hAnsi="Times New Roman" w:cs="Times New Roman"/>
                <w:i/>
                <w:sz w:val="20"/>
                <w:szCs w:val="20"/>
              </w:rPr>
              <w:t>nprach-ProbabilityAnchor</w:t>
            </w:r>
            <w:r w:rsidRPr="00DB07F6">
              <w:rPr>
                <w:rFonts w:ascii="Times New Roman" w:hAnsi="Times New Roman" w:cs="Times New Roman"/>
                <w:sz w:val="20"/>
                <w:szCs w:val="20"/>
              </w:rPr>
              <w:t xml:space="preserve">, is given by the corresponding entry in </w:t>
            </w:r>
            <w:r w:rsidRPr="00DB07F6">
              <w:rPr>
                <w:rFonts w:ascii="Times New Roman" w:hAnsi="Times New Roman" w:cs="Times New Roman"/>
                <w:i/>
                <w:sz w:val="20"/>
                <w:szCs w:val="20"/>
              </w:rPr>
              <w:t>nprach-ProbabilityAnchorList</w:t>
            </w:r>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5" w:name="OLE_LINK27"/>
            <w:bookmarkStart w:id="6"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nprach-ProbabilityAnchor</w:t>
            </w:r>
            <w:bookmarkEnd w:id="5"/>
            <w:bookmarkEnd w:id="6"/>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Default="0071236C" w:rsidP="00DB0350">
            <w:pPr>
              <w:jc w:val="center"/>
              <w:rPr>
                <w:lang w:eastAsia="sv-SE"/>
              </w:rPr>
            </w:pPr>
            <w:r>
              <w:rPr>
                <w:lang w:eastAsia="sv-SE"/>
              </w:rPr>
              <w:t xml:space="preserve">To make it simple, just add the carrier number in the resource allocation per CE level. No need to allocate more than one full carrier, and if the need comes, we can add that later. </w:t>
            </w: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Default="00B93F26" w:rsidP="00DB0350">
            <w:pPr>
              <w:jc w:val="center"/>
              <w:rPr>
                <w:lang w:eastAsia="sv-SE"/>
              </w:rPr>
            </w:pPr>
            <w:r>
              <w:rPr>
                <w:lang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Default="00B93F26" w:rsidP="00B93F26">
            <w:pPr>
              <w:jc w:val="left"/>
              <w:rPr>
                <w:lang w:eastAsia="sv-SE"/>
              </w:rPr>
            </w:pPr>
            <w:r>
              <w:rPr>
                <w:lang w:eastAsia="sv-SE"/>
              </w:rPr>
              <w:t xml:space="preserve">Agree with Huawei. No need to make it more complex by introducing a probability parameter. </w:t>
            </w:r>
            <w:r w:rsidR="00DE4700">
              <w:rPr>
                <w:lang w:eastAsia="sv-SE"/>
              </w:rPr>
              <w:t xml:space="preserve">Something on the lines of: </w:t>
            </w:r>
          </w:p>
          <w:p w14:paraId="52907043" w14:textId="7F87136E" w:rsidR="00DE4700" w:rsidRDefault="00DE4700" w:rsidP="006E5695">
            <w:pPr>
              <w:jc w:val="left"/>
              <w:rPr>
                <w:lang w:eastAsia="sv-SE"/>
              </w:rPr>
            </w:pPr>
            <w:r>
              <w:rPr>
                <w:lang w:eastAsia="sv-SE"/>
              </w:rPr>
              <w:t>“</w:t>
            </w:r>
            <w:r w:rsidRPr="00DE4700">
              <w:rPr>
                <w:rFonts w:ascii="Times New Roman" w:hAnsi="Times New Roman"/>
                <w:lang w:eastAsia="sv-SE"/>
              </w:rPr>
              <w:t xml:space="preserve">when multiple carriers carriers provide </w:t>
            </w:r>
            <w:r w:rsidR="006E5695">
              <w:rPr>
                <w:rFonts w:ascii="Times New Roman" w:hAnsi="Times New Roman"/>
                <w:lang w:eastAsia="sv-SE"/>
              </w:rPr>
              <w:t>CB-Msg3-EDT</w:t>
            </w:r>
            <w:r w:rsidRPr="00DE4700">
              <w:rPr>
                <w:rFonts w:ascii="Times New Roman" w:hAnsi="Times New Roman"/>
                <w:lang w:eastAsia="sv-SE"/>
              </w:rPr>
              <w:t xml:space="preserve"> resources for the same enhanced coverage level, it is up to UE implementation to select any of the carriers</w:t>
            </w:r>
            <w:r>
              <w:rPr>
                <w:lang w:eastAsia="sv-SE"/>
              </w:rPr>
              <w:t>”</w:t>
            </w:r>
          </w:p>
        </w:tc>
      </w:tr>
      <w:tr w:rsidR="00B93F26"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7777777" w:rsidR="00B93F26" w:rsidRDefault="00B93F26"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77777777" w:rsidR="00B93F26" w:rsidRDefault="00B93F26"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B93F26" w:rsidRDefault="00B93F26" w:rsidP="00DB0350">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lastRenderedPageBreak/>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uawei, HiSilicon</w:t>
            </w: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Default="0071236C" w:rsidP="00DB0350">
            <w:pPr>
              <w:jc w:val="center"/>
              <w:rPr>
                <w:lang w:eastAsia="sv-SE"/>
              </w:rPr>
            </w:pPr>
            <w:r>
              <w:rPr>
                <w:lang w:eastAsia="sv-SE"/>
              </w:rPr>
              <w:t>OK</w:t>
            </w:r>
          </w:p>
        </w:tc>
      </w:tr>
      <w:tr w:rsidR="00DB0350"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DB0350" w:rsidRDefault="00DB0350" w:rsidP="00DB0350">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Default="0071236C">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Default="0071236C" w:rsidP="0071236C">
            <w:pPr>
              <w:jc w:val="center"/>
              <w:rPr>
                <w:lang w:eastAsia="sv-SE"/>
              </w:rPr>
            </w:pPr>
            <w:r>
              <w:rPr>
                <w:lang w:eastAsia="sv-SE"/>
              </w:rPr>
              <w:t>There is no “NACK” for msg3, thus obviously we cannot add “retransmission of msg3” as there may be many many UEs that send in a msg3 window, and all will then retransmit causing new collisions.</w:t>
            </w: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Default="00DE4700">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Default="006E5695" w:rsidP="00732586">
            <w:pPr>
              <w:jc w:val="left"/>
              <w:rPr>
                <w:lang w:eastAsia="sv-SE"/>
              </w:rPr>
            </w:pPr>
            <w:r>
              <w:rPr>
                <w:lang w:eastAsia="sv-SE"/>
              </w:rPr>
              <w:t>Agree with Ericsson. CB-Msg3</w:t>
            </w:r>
            <w:r w:rsidR="00732586">
              <w:rPr>
                <w:lang w:eastAsia="sv-SE"/>
              </w:rPr>
              <w:t xml:space="preserve"> cannot </w:t>
            </w:r>
            <w:r>
              <w:rPr>
                <w:lang w:eastAsia="sv-SE"/>
              </w:rPr>
              <w:t xml:space="preserve">have HARQ operation as </w:t>
            </w:r>
            <w:r w:rsidR="00732586">
              <w:rPr>
                <w:lang w:eastAsia="sv-SE"/>
              </w:rPr>
              <w:t>in</w:t>
            </w:r>
            <w:r>
              <w:rPr>
                <w:lang w:eastAsia="sv-SE"/>
              </w:rPr>
              <w:t xml:space="preserve"> Msg3</w:t>
            </w:r>
            <w:r w:rsidR="00732586">
              <w:rPr>
                <w:lang w:eastAsia="sv-SE"/>
              </w:rPr>
              <w:t xml:space="preserve"> in legacy random access</w:t>
            </w:r>
            <w:r>
              <w:rPr>
                <w:lang w:eastAsia="sv-SE"/>
              </w:rPr>
              <w:t xml:space="preserve">. </w:t>
            </w: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whether to revise the agreement that, due to only CE mode A is supported for eMTC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eMTC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Later in RAN2#129bis, we agree to only support CE mode A for eMTC.</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lastRenderedPageBreak/>
              <w:t>For CB-msg3 transmission, for eMTC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We don’t introduce support for eMTC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7" w:name="_Toc171703162"/>
            <w:r w:rsidRPr="00247E0B">
              <w:rPr>
                <w:sz w:val="28"/>
                <w:lang w:eastAsia="ja-JP"/>
              </w:rPr>
              <w:t>4.3.29</w:t>
            </w:r>
            <w:r w:rsidRPr="00247E0B">
              <w:rPr>
                <w:sz w:val="28"/>
                <w:lang w:eastAsia="ja-JP"/>
              </w:rPr>
              <w:tab/>
              <w:t>CE parameters</w:t>
            </w:r>
            <w:bookmarkEnd w:id="7"/>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8" w:name="_Toc29241566"/>
            <w:bookmarkStart w:id="9" w:name="_Toc37153035"/>
            <w:bookmarkStart w:id="10" w:name="_Toc37236973"/>
            <w:bookmarkStart w:id="11" w:name="_Toc46494140"/>
            <w:bookmarkStart w:id="12" w:name="_Toc52535034"/>
            <w:bookmarkStart w:id="13" w:name="_Toc171703163"/>
            <w:r w:rsidRPr="00247E0B">
              <w:rPr>
                <w:sz w:val="24"/>
                <w:lang w:eastAsia="ja-JP"/>
              </w:rPr>
              <w:t>4.3.29.1</w:t>
            </w:r>
            <w:r w:rsidRPr="00247E0B">
              <w:rPr>
                <w:sz w:val="24"/>
                <w:lang w:eastAsia="ja-JP"/>
              </w:rPr>
              <w:tab/>
            </w:r>
            <w:r w:rsidRPr="00247E0B">
              <w:rPr>
                <w:i/>
                <w:iCs/>
                <w:sz w:val="24"/>
                <w:lang w:eastAsia="ja-JP"/>
              </w:rPr>
              <w:t>ce-ModeA-r13</w:t>
            </w:r>
            <w:bookmarkEnd w:id="8"/>
            <w:bookmarkEnd w:id="9"/>
            <w:bookmarkEnd w:id="10"/>
            <w:bookmarkEnd w:id="11"/>
            <w:bookmarkEnd w:id="12"/>
            <w:bookmarkEnd w:id="13"/>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4" w:name="_Toc29241567"/>
            <w:bookmarkStart w:id="15" w:name="_Toc37153036"/>
            <w:bookmarkStart w:id="16" w:name="_Toc37236974"/>
            <w:bookmarkStart w:id="17" w:name="_Toc46494141"/>
            <w:bookmarkStart w:id="18" w:name="_Toc52535035"/>
            <w:bookmarkStart w:id="19" w:name="_Toc171703164"/>
            <w:r w:rsidRPr="00247E0B">
              <w:rPr>
                <w:sz w:val="24"/>
                <w:lang w:eastAsia="ja-JP"/>
              </w:rPr>
              <w:t>4.3.29.2</w:t>
            </w:r>
            <w:r w:rsidRPr="00247E0B">
              <w:rPr>
                <w:sz w:val="24"/>
                <w:lang w:eastAsia="ja-JP"/>
              </w:rPr>
              <w:tab/>
            </w:r>
            <w:r w:rsidRPr="00247E0B">
              <w:rPr>
                <w:i/>
                <w:iCs/>
                <w:sz w:val="24"/>
                <w:lang w:eastAsia="ja-JP"/>
              </w:rPr>
              <w:t>ce-ModeB-r13</w:t>
            </w:r>
            <w:bookmarkEnd w:id="14"/>
            <w:bookmarkEnd w:id="15"/>
            <w:bookmarkEnd w:id="16"/>
            <w:bookmarkEnd w:id="17"/>
            <w:bookmarkEnd w:id="18"/>
            <w:bookmarkEnd w:id="19"/>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evise the agreement that, due to only CE mode A is supported for eMTC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Default="00DE4700"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Default="00DE470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UE-eNB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lastRenderedPageBreak/>
              <w:t>The Msg4 monitoring starts at the end of CB-Msg3-EDT transmission window plus UE-eNB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20"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20"/>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UE-eNB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UE-eNB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r>
              <w:rPr>
                <w:rFonts w:eastAsiaTheme="minorEastAsia"/>
              </w:rPr>
              <w:t>Y</w:t>
            </w:r>
            <w:r>
              <w:rPr>
                <w:rFonts w:eastAsiaTheme="minorEastAsia" w:hint="eastAsia"/>
              </w:rPr>
              <w:t xml:space="preserve">es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Default="00DE4700" w:rsidP="003079C8">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Default="00DE4700" w:rsidP="00DE4700">
            <w:pPr>
              <w:jc w:val="left"/>
              <w:rPr>
                <w:lang w:eastAsia="sv-SE"/>
              </w:rPr>
            </w:pPr>
            <w:r>
              <w:rPr>
                <w:lang w:eastAsia="sv-SE"/>
              </w:rPr>
              <w:t>We think at least it can be agreed that for UP solution, no L2 ACK will be introduced. In other words, for UP solution, there needs to be an RRC message following Msg3</w:t>
            </w:r>
            <w:r w:rsidR="00401B2E">
              <w:rPr>
                <w:lang w:eastAsia="sv-SE"/>
              </w:rPr>
              <w:t xml:space="preserve"> to end the procedures</w:t>
            </w:r>
            <w:r>
              <w:rPr>
                <w:lang w:eastAsia="sv-SE"/>
              </w:rPr>
              <w:t xml:space="preserve">. </w:t>
            </w:r>
            <w:r w:rsidR="00732586">
              <w:rPr>
                <w:lang w:eastAsia="sv-SE"/>
              </w:rPr>
              <w:t xml:space="preserve">Then we can discuss what to do for CP solution based on contributions. </w:t>
            </w:r>
          </w:p>
        </w:tc>
      </w:tr>
      <w:tr w:rsidR="003079C8"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3079C8" w:rsidRDefault="003079C8" w:rsidP="003079C8">
            <w:pPr>
              <w:jc w:val="center"/>
              <w:rPr>
                <w:lang w:eastAsia="sv-SE"/>
              </w:rPr>
            </w:pP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AB039D" w:rsidRDefault="00AB039D" w:rsidP="00AB039D">
            <w:pPr>
              <w:jc w:val="center"/>
              <w:rPr>
                <w:lang w:eastAsia="sv-SE"/>
              </w:rPr>
            </w:pP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Default="0071236C" w:rsidP="00AB039D">
            <w:pPr>
              <w:jc w:val="center"/>
              <w:rPr>
                <w:lang w:eastAsia="sv-SE"/>
              </w:rPr>
            </w:pPr>
            <w:r>
              <w:rPr>
                <w:lang w:eastAsia="sv-SE"/>
              </w:rPr>
              <w:t>Simplest is to reuse the HARQ allocation in a regular DCI scheduling.</w:t>
            </w:r>
          </w:p>
        </w:tc>
      </w:tr>
      <w:tr w:rsidR="00AB039D"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AB039D" w:rsidRDefault="00AB039D" w:rsidP="00AB039D">
            <w:pPr>
              <w:jc w:val="center"/>
              <w:rPr>
                <w:lang w:eastAsia="sv-SE"/>
              </w:rPr>
            </w:pP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1"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2" w:name="OLE_LINK86"/>
            <w:bookmarkStart w:id="23" w:name="OLE_LINK87"/>
            <w:r>
              <w:rPr>
                <w:rFonts w:eastAsiaTheme="minorEastAsia" w:hint="eastAsia"/>
              </w:rPr>
              <w:t>A</w:t>
            </w:r>
            <w:r>
              <w:rPr>
                <w:rFonts w:eastAsiaTheme="minorEastAsia"/>
              </w:rPr>
              <w:t xml:space="preserve">gree with the rapporteur. </w:t>
            </w:r>
            <w:bookmarkEnd w:id="22"/>
            <w:bookmarkEnd w:id="23"/>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Default="0071236C" w:rsidP="00AB039D">
            <w:pPr>
              <w:jc w:val="center"/>
              <w:rPr>
                <w:lang w:eastAsia="sv-SE"/>
              </w:rPr>
            </w:pPr>
            <w:r>
              <w:rPr>
                <w:lang w:eastAsia="sv-SE"/>
              </w:rPr>
              <w:t xml:space="preserve">In MAC, we do not say which higher layers is informed, instead “indicate to upper layers” is sufficient. </w:t>
            </w: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1"/>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4"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lastRenderedPageBreak/>
              <w:t>Parameter for maximum re-attempt number per CE level is introduced and UE can re-attempt in the same CE level due to contention resolution failure until the max re-attempt number has been reached.</w:t>
            </w:r>
          </w:p>
        </w:tc>
      </w:tr>
      <w:bookmarkEnd w:id="24"/>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attempt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5"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6" w:name="OLE_LINK12"/>
            <w:r w:rsidRPr="00E26A0B">
              <w:rPr>
                <w:noProof/>
                <w:highlight w:val="yellow"/>
              </w:rPr>
              <w:t>consider to be in the next enhanced coverage level, if it is supported by the Serving Cell and the UE, otherwise stay in the current enhanced coverage level;</w:t>
            </w:r>
            <w:bookmarkEnd w:id="25"/>
            <w:bookmarkEnd w:id="26"/>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7" w:name="OLE_LINK6"/>
      <w:r>
        <w:rPr>
          <w:b/>
          <w:bCs/>
          <w:lang w:eastAsia="sv-SE"/>
        </w:rPr>
        <w:t>Proposal 6:</w:t>
      </w:r>
      <w:r w:rsidRPr="007271F3">
        <w:rPr>
          <w:b/>
          <w:bCs/>
          <w:noProof/>
        </w:rPr>
        <w:t xml:space="preserve"> UE will be in the next CE level when max </w:t>
      </w:r>
      <w:bookmarkStart w:id="28" w:name="OLE_LINK4"/>
      <w:r w:rsidRPr="007271F3">
        <w:rPr>
          <w:b/>
          <w:bCs/>
          <w:noProof/>
        </w:rPr>
        <w:t xml:space="preserve">re-attempt </w:t>
      </w:r>
      <w:bookmarkEnd w:id="28"/>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9" w:name="OLE_LINK13"/>
            <w:bookmarkEnd w:id="27"/>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5496B86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2FCE21A8"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4F914481"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242B9AAC" w:rsidR="00DB0350" w:rsidRDefault="00401B2E"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6E41FC8D" w:rsidR="00DB0350" w:rsidRDefault="00401B2E"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4D1BE950" w:rsidR="00DB0350" w:rsidRDefault="00401B2E" w:rsidP="00401B2E">
            <w:pPr>
              <w:jc w:val="left"/>
              <w:rPr>
                <w:lang w:eastAsia="sv-SE"/>
              </w:rPr>
            </w:pPr>
            <w:r>
              <w:rPr>
                <w:lang w:eastAsia="sv-SE"/>
              </w:rPr>
              <w:t xml:space="preserve">We can see the technical reasoning, but on the other hand the procedures are getting more complicated, so we are fine to not have it. </w:t>
            </w:r>
          </w:p>
        </w:tc>
      </w:tr>
      <w:tr w:rsidR="00DB0350"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77777777" w:rsidR="00DB0350" w:rsidRDefault="00DB0350"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7777777" w:rsidR="00DB0350" w:rsidRDefault="00DB0350"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482FD94" w14:textId="77777777" w:rsidR="00DB0350" w:rsidRDefault="00DB0350" w:rsidP="00DB0350">
            <w:pPr>
              <w:jc w:val="center"/>
              <w:rPr>
                <w:lang w:eastAsia="sv-SE"/>
              </w:rPr>
            </w:pPr>
          </w:p>
        </w:tc>
      </w:tr>
    </w:tbl>
    <w:bookmarkEnd w:id="29"/>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141CC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ListParagraph"/>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ListParagraph"/>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101F2E47" w14:textId="77777777" w:rsidTr="0077227D">
        <w:tc>
          <w:tcPr>
            <w:tcW w:w="1614" w:type="dxa"/>
            <w:vAlign w:val="center"/>
          </w:tcPr>
          <w:p w14:paraId="5F8DFD73" w14:textId="77777777" w:rsidR="0077227D" w:rsidRDefault="0077227D" w:rsidP="00141CC9">
            <w:pPr>
              <w:jc w:val="center"/>
              <w:rPr>
                <w:lang w:eastAsia="sv-SE"/>
              </w:rPr>
            </w:pPr>
          </w:p>
        </w:tc>
        <w:tc>
          <w:tcPr>
            <w:tcW w:w="8011" w:type="dxa"/>
            <w:vAlign w:val="center"/>
          </w:tcPr>
          <w:p w14:paraId="0E73EB86" w14:textId="77777777" w:rsidR="0077227D" w:rsidRDefault="0077227D" w:rsidP="00141CC9">
            <w:pPr>
              <w:jc w:val="center"/>
              <w:rPr>
                <w:lang w:eastAsia="sv-SE"/>
              </w:rPr>
            </w:pPr>
          </w:p>
        </w:tc>
      </w:tr>
      <w:tr w:rsidR="0077227D" w14:paraId="01344A6A" w14:textId="77777777" w:rsidTr="0077227D">
        <w:tc>
          <w:tcPr>
            <w:tcW w:w="1614" w:type="dxa"/>
            <w:vAlign w:val="center"/>
          </w:tcPr>
          <w:p w14:paraId="173F0EEC" w14:textId="77777777" w:rsidR="0077227D" w:rsidRDefault="0077227D" w:rsidP="00141CC9">
            <w:pPr>
              <w:jc w:val="center"/>
              <w:rPr>
                <w:lang w:eastAsia="sv-SE"/>
              </w:rPr>
            </w:pPr>
          </w:p>
        </w:tc>
        <w:tc>
          <w:tcPr>
            <w:tcW w:w="8011" w:type="dxa"/>
            <w:vAlign w:val="center"/>
          </w:tcPr>
          <w:p w14:paraId="5CAA02A5" w14:textId="77777777" w:rsidR="0077227D" w:rsidRDefault="0077227D" w:rsidP="00141CC9">
            <w:pPr>
              <w:jc w:val="center"/>
              <w:rPr>
                <w:lang w:eastAsia="sv-SE"/>
              </w:rPr>
            </w:pPr>
          </w:p>
        </w:tc>
      </w:tr>
      <w:tr w:rsidR="0077227D" w14:paraId="5BC53796" w14:textId="77777777" w:rsidTr="0077227D">
        <w:tc>
          <w:tcPr>
            <w:tcW w:w="1614" w:type="dxa"/>
            <w:vAlign w:val="center"/>
          </w:tcPr>
          <w:p w14:paraId="4E176926" w14:textId="77777777" w:rsidR="0077227D" w:rsidRDefault="0077227D" w:rsidP="00141CC9">
            <w:pPr>
              <w:jc w:val="center"/>
              <w:rPr>
                <w:lang w:eastAsia="sv-SE"/>
              </w:rPr>
            </w:pPr>
          </w:p>
        </w:tc>
        <w:tc>
          <w:tcPr>
            <w:tcW w:w="8011" w:type="dxa"/>
            <w:vAlign w:val="center"/>
          </w:tcPr>
          <w:p w14:paraId="2064F2D9" w14:textId="77777777" w:rsidR="0077227D" w:rsidRDefault="0077227D" w:rsidP="00141CC9">
            <w:pPr>
              <w:jc w:val="center"/>
              <w:rPr>
                <w:lang w:eastAsia="sv-SE"/>
              </w:rPr>
            </w:pPr>
          </w:p>
        </w:tc>
      </w:tr>
      <w:tr w:rsidR="0077227D" w14:paraId="10E206FE" w14:textId="77777777" w:rsidTr="0077227D">
        <w:tc>
          <w:tcPr>
            <w:tcW w:w="1614" w:type="dxa"/>
            <w:vAlign w:val="center"/>
          </w:tcPr>
          <w:p w14:paraId="37F25DA5" w14:textId="77777777" w:rsidR="0077227D" w:rsidRDefault="0077227D" w:rsidP="00141CC9">
            <w:pPr>
              <w:jc w:val="center"/>
              <w:rPr>
                <w:lang w:eastAsia="sv-SE"/>
              </w:rPr>
            </w:pPr>
          </w:p>
        </w:tc>
        <w:tc>
          <w:tcPr>
            <w:tcW w:w="8011" w:type="dxa"/>
            <w:vAlign w:val="center"/>
          </w:tcPr>
          <w:p w14:paraId="479A98BB" w14:textId="77777777" w:rsidR="0077227D" w:rsidRDefault="0077227D" w:rsidP="00141CC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74ECA" w14:textId="77777777" w:rsidR="00CB105E" w:rsidRDefault="00CB105E">
      <w:pPr>
        <w:spacing w:after="0"/>
      </w:pPr>
      <w:r>
        <w:separator/>
      </w:r>
    </w:p>
  </w:endnote>
  <w:endnote w:type="continuationSeparator" w:id="0">
    <w:p w14:paraId="6ABC134A" w14:textId="77777777" w:rsidR="00CB105E" w:rsidRDefault="00CB1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685FCE07" w:rsidR="00CB105E" w:rsidRDefault="00CB105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28D">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28D">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F226" w14:textId="77777777" w:rsidR="00CB105E" w:rsidRDefault="00CB105E">
      <w:pPr>
        <w:spacing w:after="0"/>
      </w:pPr>
      <w:r>
        <w:separator/>
      </w:r>
    </w:p>
  </w:footnote>
  <w:footnote w:type="continuationSeparator" w:id="0">
    <w:p w14:paraId="1D512037" w14:textId="77777777" w:rsidR="00CB105E" w:rsidRDefault="00CB10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2"/>
  </w:num>
  <w:num w:numId="12">
    <w:abstractNumId w:val="11"/>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9"/>
  </w:num>
  <w:num w:numId="21">
    <w:abstractNumId w:val="1"/>
  </w:num>
  <w:num w:numId="22">
    <w:abstractNumId w:val="3"/>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9FB"/>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8A8"/>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625"/>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700"/>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5a888943-97ca-4c93-b605-714bb5e9e285"/>
    <ds:schemaRef ds:uri="http://schemas.microsoft.com/office/2006/documentManagement/types"/>
    <ds:schemaRef ds:uri="23a22248-acb0-4303-bd1b-c36b2527d0a2"/>
    <ds:schemaRef ds:uri="http://purl.org/dc/elements/1.1/"/>
    <ds:schemaRef ds:uri="http://schemas.microsoft.com/office/2006/metadata/properties"/>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e32f50e1-6846-4d7d-ad60-ccd6877e6c5e"/>
    <ds:schemaRef ds:uri="http://www.w3.org/XML/1998/namespace"/>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C7801-895C-492A-B591-12F7AF7467D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13</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Jonas Sedin (Samsung)</cp:lastModifiedBy>
  <cp:revision>7</cp:revision>
  <dcterms:created xsi:type="dcterms:W3CDTF">2025-05-01T11:40:00Z</dcterms:created>
  <dcterms:modified xsi:type="dcterms:W3CDTF">2025-05-01T13:45:00Z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