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Heading1"/>
      </w:pPr>
      <w:r>
        <w:t>R</w:t>
      </w:r>
      <w:r w:rsidR="0020556B">
        <w:t>emaining open issues</w:t>
      </w:r>
      <w:r w:rsidR="001B3D9F">
        <w:t xml:space="preserve"> for </w:t>
      </w:r>
      <w:r w:rsidR="0077559B">
        <w:t>RRC</w:t>
      </w:r>
    </w:p>
    <w:p w14:paraId="44647056" w14:textId="5C4F2F39" w:rsidR="00E14D4A" w:rsidRDefault="0077559B" w:rsidP="005A5637">
      <w:pPr>
        <w:pStyle w:val="Heading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ListParagraph"/>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TableGrid"/>
        <w:tblW w:w="0" w:type="auto"/>
        <w:tblLook w:val="04A0" w:firstRow="1" w:lastRow="0" w:firstColumn="1" w:lastColumn="0" w:noHBand="0" w:noVBand="1"/>
      </w:tblPr>
      <w:tblGrid>
        <w:gridCol w:w="1615"/>
        <w:gridCol w:w="1170"/>
        <w:gridCol w:w="6844"/>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ListParagraph"/>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ListParagraph"/>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sidR="00BD401D">
              <w:rPr>
                <w:rFonts w:eastAsiaTheme="minorEastAsia"/>
                <w:bCs/>
                <w:lang w:eastAsia="zh-CN"/>
              </w:rPr>
              <w:t>feederlink</w:t>
            </w:r>
            <w:proofErr w:type="spellEnd"/>
            <w:r w:rsidR="00BD401D">
              <w:rPr>
                <w:rFonts w:eastAsiaTheme="minorEastAsia"/>
                <w:bCs/>
                <w:lang w:eastAsia="zh-CN"/>
              </w:rPr>
              <w:t xml:space="preserve">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ListParagraph"/>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SimSun" w:cs="Arial"/>
              </w:rPr>
              <w:t xml:space="preserve">We share a similar view with Huawei that the legacy T-service can be reused for the </w:t>
            </w:r>
            <w:r w:rsidRPr="008365BB">
              <w:rPr>
                <w:rFonts w:eastAsia="SimSun" w:cs="Arial"/>
              </w:rPr>
              <w:t>case</w:t>
            </w:r>
            <w:r>
              <w:rPr>
                <w:rFonts w:eastAsia="SimSun" w:cs="Arial"/>
              </w:rPr>
              <w:t xml:space="preserve"> where</w:t>
            </w:r>
            <w:r w:rsidRPr="008365BB">
              <w:rPr>
                <w:rFonts w:eastAsia="SimSun" w:cs="Arial"/>
              </w:rPr>
              <w:t xml:space="preserve"> the cell changes from normal mode to S&amp;F mode</w:t>
            </w:r>
            <w:r>
              <w:rPr>
                <w:rFonts w:eastAsia="SimSun" w:cs="Arial"/>
              </w:rPr>
              <w:t xml:space="preserve"> (i.e. </w:t>
            </w:r>
            <w:r w:rsidRPr="008365BB">
              <w:rPr>
                <w:rFonts w:eastAsia="SimSun" w:cs="Arial"/>
              </w:rPr>
              <w:t>the feeder link is not available</w:t>
            </w:r>
            <w:r>
              <w:rPr>
                <w:rFonts w:eastAsia="SimSun" w:cs="Arial"/>
              </w:rPr>
              <w:t xml:space="preserve">). </w:t>
            </w:r>
            <w:r w:rsidR="00D41647" w:rsidRPr="00D41647">
              <w:rPr>
                <w:rFonts w:eastAsia="SimSun" w:cs="Arial"/>
              </w:rPr>
              <w:t>Additionally, for S&amp;F UEs, they should still initiate measurements prior to the specified T-service. This is because the UE might have an opportunity to reselect to another regenerative cell.</w:t>
            </w:r>
            <w:r w:rsidR="00CF5C9C">
              <w:rPr>
                <w:rFonts w:eastAsia="SimSun" w:cs="Arial"/>
              </w:rPr>
              <w:t xml:space="preserve"> There is no harm </w:t>
            </w:r>
            <w:r w:rsidR="00C73379">
              <w:rPr>
                <w:rFonts w:eastAsia="SimSun" w:cs="Arial"/>
              </w:rPr>
              <w:t xml:space="preserve">in </w:t>
            </w:r>
            <w:r w:rsidR="00391EE5">
              <w:rPr>
                <w:rFonts w:eastAsia="SimSun" w:cs="Arial"/>
              </w:rPr>
              <w:t xml:space="preserve">reusing </w:t>
            </w:r>
            <w:r w:rsidR="00CF5C9C">
              <w:rPr>
                <w:rFonts w:eastAsia="SimSun" w:cs="Arial"/>
              </w:rPr>
              <w:t>the T-service based measur</w:t>
            </w:r>
            <w:r w:rsidR="00C73379">
              <w:rPr>
                <w:rFonts w:eastAsia="SimSun" w:cs="Arial"/>
              </w:rPr>
              <w:t>e</w:t>
            </w:r>
            <w:r w:rsidR="00CF5C9C">
              <w:rPr>
                <w:rFonts w:eastAsia="SimSun" w:cs="Arial"/>
              </w:rPr>
              <w:t xml:space="preserve">ment. </w:t>
            </w:r>
          </w:p>
        </w:tc>
      </w:tr>
      <w:tr w:rsidR="00E16C21" w14:paraId="2D37F1B7" w14:textId="77777777" w:rsidTr="00723BCA">
        <w:tc>
          <w:tcPr>
            <w:tcW w:w="1615" w:type="dxa"/>
            <w:vAlign w:val="center"/>
          </w:tcPr>
          <w:p w14:paraId="4D0D61E9" w14:textId="0C8564C7" w:rsidR="00E16C21" w:rsidRDefault="0028614F" w:rsidP="00E16C21">
            <w:pPr>
              <w:jc w:val="center"/>
              <w:rPr>
                <w:lang w:eastAsia="sv-SE"/>
              </w:rPr>
            </w:pPr>
            <w:r>
              <w:rPr>
                <w:lang w:eastAsia="sv-SE"/>
              </w:rPr>
              <w:t>Qualcomm</w:t>
            </w:r>
          </w:p>
        </w:tc>
        <w:tc>
          <w:tcPr>
            <w:tcW w:w="1170" w:type="dxa"/>
            <w:vAlign w:val="center"/>
          </w:tcPr>
          <w:p w14:paraId="157215B8" w14:textId="7215E1F8" w:rsidR="00E16C21" w:rsidRDefault="009B3314" w:rsidP="00E16C21">
            <w:pPr>
              <w:jc w:val="center"/>
              <w:rPr>
                <w:lang w:eastAsia="sv-SE"/>
              </w:rPr>
            </w:pPr>
            <w:r>
              <w:rPr>
                <w:lang w:eastAsia="sv-SE"/>
              </w:rPr>
              <w:t>Option 1 + S&amp;F indication</w:t>
            </w:r>
          </w:p>
        </w:tc>
        <w:tc>
          <w:tcPr>
            <w:tcW w:w="6844"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r>
              <w:rPr>
                <w:lang w:eastAsia="sv-SE"/>
              </w:rPr>
              <w:t>Therefore additional indication is needed as we are talking about the cell currently operating in normal mode.</w:t>
            </w:r>
          </w:p>
        </w:tc>
      </w:tr>
      <w:tr w:rsidR="00DD5B15" w14:paraId="72D05695" w14:textId="77777777" w:rsidTr="00723BCA">
        <w:tc>
          <w:tcPr>
            <w:tcW w:w="1615" w:type="dxa"/>
            <w:vAlign w:val="center"/>
          </w:tcPr>
          <w:p w14:paraId="4A78970F" w14:textId="4B6792DC" w:rsidR="00DD5B15" w:rsidRPr="00DD5B15" w:rsidRDefault="00DD5B15" w:rsidP="00DD5B15">
            <w:pPr>
              <w:jc w:val="center"/>
              <w:rPr>
                <w:lang w:eastAsia="sv-SE"/>
              </w:rPr>
            </w:pPr>
            <w:proofErr w:type="spellStart"/>
            <w:r w:rsidRPr="00DD5B15">
              <w:rPr>
                <w:lang w:val="en-US" w:eastAsia="sv-SE"/>
              </w:rPr>
              <w:t>Mediatek</w:t>
            </w:r>
            <w:proofErr w:type="spellEnd"/>
          </w:p>
        </w:tc>
        <w:tc>
          <w:tcPr>
            <w:tcW w:w="1170" w:type="dxa"/>
            <w:vAlign w:val="center"/>
          </w:tcPr>
          <w:p w14:paraId="0F47F1D2" w14:textId="05077C46" w:rsidR="00DD5B15" w:rsidRPr="00DD5B15" w:rsidRDefault="00DD5B15" w:rsidP="00DD5B15">
            <w:pPr>
              <w:jc w:val="center"/>
              <w:rPr>
                <w:lang w:eastAsia="sv-SE"/>
              </w:rPr>
            </w:pPr>
            <w:r>
              <w:rPr>
                <w:lang w:eastAsia="sv-SE"/>
              </w:rPr>
              <w:t>Option 3</w:t>
            </w:r>
          </w:p>
        </w:tc>
        <w:tc>
          <w:tcPr>
            <w:tcW w:w="6844"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r>
              <w:rPr>
                <w:rFonts w:eastAsiaTheme="minorEastAsia"/>
                <w:bCs/>
                <w:color w:val="FF0000"/>
              </w:rPr>
              <w:t xml:space="preserve">behavior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w:t>
            </w:r>
            <w:proofErr w:type="gramStart"/>
            <w:r>
              <w:rPr>
                <w:rFonts w:eastAsiaTheme="minorEastAsia"/>
                <w:lang w:eastAsia="en-US"/>
              </w:rPr>
              <w:t>intend</w:t>
            </w:r>
            <w:proofErr w:type="gramEnd"/>
            <w:r>
              <w:rPr>
                <w:rFonts w:eastAsiaTheme="minorEastAsia"/>
                <w:lang w:eastAsia="en-US"/>
              </w:rPr>
              <w:t xml:space="preserve"> to reject the legacy UEs after switching to S&amp;F mode, the legacy barring bit will be used. There is no need to define legacy UE behavior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723BCA">
        <w:tc>
          <w:tcPr>
            <w:tcW w:w="1615" w:type="dxa"/>
            <w:vAlign w:val="center"/>
          </w:tcPr>
          <w:p w14:paraId="1361A845" w14:textId="77777777" w:rsidR="00E16C21" w:rsidRDefault="00E16C21" w:rsidP="00E16C21">
            <w:pPr>
              <w:jc w:val="center"/>
              <w:rPr>
                <w:lang w:eastAsia="sv-SE"/>
              </w:rPr>
            </w:pPr>
          </w:p>
        </w:tc>
        <w:tc>
          <w:tcPr>
            <w:tcW w:w="1170" w:type="dxa"/>
            <w:vAlign w:val="center"/>
          </w:tcPr>
          <w:p w14:paraId="24811338" w14:textId="77777777" w:rsidR="00E16C21" w:rsidRDefault="00E16C21" w:rsidP="00E16C21">
            <w:pPr>
              <w:jc w:val="center"/>
              <w:rPr>
                <w:lang w:eastAsia="sv-SE"/>
              </w:rPr>
            </w:pPr>
          </w:p>
        </w:tc>
        <w:tc>
          <w:tcPr>
            <w:tcW w:w="6844" w:type="dxa"/>
            <w:vAlign w:val="center"/>
          </w:tcPr>
          <w:p w14:paraId="06CB0F02" w14:textId="77777777" w:rsidR="00E16C21" w:rsidRDefault="00E16C21" w:rsidP="00E16C21">
            <w:pPr>
              <w:jc w:val="center"/>
              <w:rPr>
                <w:lang w:eastAsia="sv-SE"/>
              </w:rPr>
            </w:pPr>
          </w:p>
        </w:tc>
      </w:tr>
      <w:tr w:rsidR="00E16C21" w14:paraId="0E1A1AD4" w14:textId="77777777" w:rsidTr="00723BCA">
        <w:tc>
          <w:tcPr>
            <w:tcW w:w="1615" w:type="dxa"/>
            <w:vAlign w:val="center"/>
          </w:tcPr>
          <w:p w14:paraId="55708935" w14:textId="77777777" w:rsidR="00E16C21" w:rsidRDefault="00E16C21" w:rsidP="00E16C21">
            <w:pPr>
              <w:jc w:val="center"/>
              <w:rPr>
                <w:lang w:eastAsia="sv-SE"/>
              </w:rPr>
            </w:pPr>
          </w:p>
        </w:tc>
        <w:tc>
          <w:tcPr>
            <w:tcW w:w="1170" w:type="dxa"/>
            <w:vAlign w:val="center"/>
          </w:tcPr>
          <w:p w14:paraId="594CAC1D" w14:textId="77777777" w:rsidR="00E16C21" w:rsidRDefault="00E16C21" w:rsidP="00E16C21">
            <w:pPr>
              <w:jc w:val="center"/>
              <w:rPr>
                <w:lang w:eastAsia="sv-SE"/>
              </w:rPr>
            </w:pPr>
          </w:p>
        </w:tc>
        <w:tc>
          <w:tcPr>
            <w:tcW w:w="6844" w:type="dxa"/>
            <w:vAlign w:val="center"/>
          </w:tcPr>
          <w:p w14:paraId="6D73CA05" w14:textId="77777777" w:rsidR="00E16C21" w:rsidRDefault="00E16C21" w:rsidP="00E16C21">
            <w:pPr>
              <w:jc w:val="center"/>
              <w:rPr>
                <w:lang w:eastAsia="sv-SE"/>
              </w:rPr>
            </w:pP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TableGrid"/>
        <w:tblW w:w="0" w:type="auto"/>
        <w:jc w:val="center"/>
        <w:tblLook w:val="04A0" w:firstRow="1" w:lastRow="0" w:firstColumn="1" w:lastColumn="0" w:noHBand="0" w:noVBand="1"/>
      </w:tblPr>
      <w:tblGrid>
        <w:gridCol w:w="1354"/>
        <w:gridCol w:w="1148"/>
        <w:gridCol w:w="1461"/>
        <w:gridCol w:w="5806"/>
      </w:tblGrid>
      <w:tr w:rsidR="00C06861" w14:paraId="7AE1E06C" w14:textId="77777777" w:rsidTr="00F32EAC">
        <w:trPr>
          <w:jc w:val="center"/>
        </w:trPr>
        <w:tc>
          <w:tcPr>
            <w:tcW w:w="1354"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8"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806"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F32EAC">
        <w:trPr>
          <w:jc w:val="center"/>
        </w:trPr>
        <w:tc>
          <w:tcPr>
            <w:tcW w:w="1354"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8"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806"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F32EAC">
        <w:trPr>
          <w:jc w:val="center"/>
        </w:trPr>
        <w:tc>
          <w:tcPr>
            <w:tcW w:w="1354"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8"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806"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For an S&amp;F UE, the operation mode of the </w:t>
            </w:r>
            <w:proofErr w:type="spellStart"/>
            <w:r w:rsidRPr="008C6D79">
              <w:rPr>
                <w:rFonts w:eastAsiaTheme="minorEastAsia"/>
              </w:rPr>
              <w:t>neighboring</w:t>
            </w:r>
            <w:proofErr w:type="spellEnd"/>
            <w:r w:rsidRPr="008C6D79">
              <w:rPr>
                <w:rFonts w:eastAsiaTheme="minorEastAsia"/>
              </w:rPr>
              <w:t xml:space="preserve">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w:t>
            </w:r>
            <w:proofErr w:type="spellStart"/>
            <w:r w:rsidRPr="008C6D79">
              <w:rPr>
                <w:rFonts w:eastAsiaTheme="minorEastAsia"/>
              </w:rPr>
              <w:t>neighboring</w:t>
            </w:r>
            <w:proofErr w:type="spellEnd"/>
            <w:r w:rsidRPr="008C6D79">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F32EAC">
        <w:trPr>
          <w:jc w:val="center"/>
        </w:trPr>
        <w:tc>
          <w:tcPr>
            <w:tcW w:w="1354" w:type="dxa"/>
            <w:vAlign w:val="center"/>
          </w:tcPr>
          <w:p w14:paraId="60290CE8" w14:textId="2F101CF6" w:rsidR="00C06861" w:rsidRDefault="004528FB" w:rsidP="001E421A">
            <w:pPr>
              <w:jc w:val="center"/>
              <w:rPr>
                <w:lang w:eastAsia="sv-SE"/>
              </w:rPr>
            </w:pPr>
            <w:r>
              <w:rPr>
                <w:lang w:eastAsia="sv-SE"/>
              </w:rPr>
              <w:t>Qualcomm</w:t>
            </w:r>
          </w:p>
        </w:tc>
        <w:tc>
          <w:tcPr>
            <w:tcW w:w="1148"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806" w:type="dxa"/>
            <w:vAlign w:val="center"/>
          </w:tcPr>
          <w:p w14:paraId="4FF0BD09" w14:textId="437F49CD" w:rsidR="00C06861" w:rsidRDefault="00D27AEA" w:rsidP="00CA6424">
            <w:pPr>
              <w:rPr>
                <w:lang w:eastAsia="sv-SE"/>
              </w:rPr>
            </w:pPr>
            <w:proofErr w:type="gramStart"/>
            <w:r>
              <w:rPr>
                <w:lang w:eastAsia="sv-SE"/>
              </w:rPr>
              <w:t>These information</w:t>
            </w:r>
            <w:proofErr w:type="gramEnd"/>
            <w:r>
              <w:rPr>
                <w:lang w:eastAsia="sv-SE"/>
              </w:rPr>
              <w:t xml:space="preserve"> is useful depending on the SI message size.</w:t>
            </w:r>
          </w:p>
        </w:tc>
      </w:tr>
      <w:tr w:rsidR="00F32EAC" w14:paraId="2794B3A2" w14:textId="77777777" w:rsidTr="00F32EAC">
        <w:trPr>
          <w:jc w:val="center"/>
        </w:trPr>
        <w:tc>
          <w:tcPr>
            <w:tcW w:w="1354" w:type="dxa"/>
            <w:vAlign w:val="center"/>
          </w:tcPr>
          <w:p w14:paraId="0DF428DD" w14:textId="75365A49" w:rsidR="00F32EAC" w:rsidRDefault="00F32EAC" w:rsidP="00F32EAC">
            <w:pPr>
              <w:jc w:val="center"/>
              <w:rPr>
                <w:lang w:eastAsia="sv-SE"/>
              </w:rPr>
            </w:pPr>
            <w:proofErr w:type="spellStart"/>
            <w:r>
              <w:rPr>
                <w:lang w:eastAsia="sv-SE"/>
              </w:rPr>
              <w:t>Mediatek</w:t>
            </w:r>
            <w:proofErr w:type="spellEnd"/>
          </w:p>
        </w:tc>
        <w:tc>
          <w:tcPr>
            <w:tcW w:w="1148"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806"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F32EAC">
        <w:trPr>
          <w:jc w:val="center"/>
        </w:trPr>
        <w:tc>
          <w:tcPr>
            <w:tcW w:w="1354" w:type="dxa"/>
            <w:vAlign w:val="center"/>
          </w:tcPr>
          <w:p w14:paraId="0EBC279E" w14:textId="77777777" w:rsidR="00C06861" w:rsidRDefault="00C06861" w:rsidP="001E421A">
            <w:pPr>
              <w:jc w:val="center"/>
              <w:rPr>
                <w:lang w:eastAsia="sv-SE"/>
              </w:rPr>
            </w:pPr>
          </w:p>
        </w:tc>
        <w:tc>
          <w:tcPr>
            <w:tcW w:w="1148" w:type="dxa"/>
            <w:vAlign w:val="center"/>
          </w:tcPr>
          <w:p w14:paraId="6348A31A" w14:textId="77777777" w:rsidR="00C06861" w:rsidRDefault="00C06861" w:rsidP="001E421A">
            <w:pPr>
              <w:jc w:val="center"/>
              <w:rPr>
                <w:lang w:eastAsia="sv-SE"/>
              </w:rPr>
            </w:pPr>
          </w:p>
        </w:tc>
        <w:tc>
          <w:tcPr>
            <w:tcW w:w="1461" w:type="dxa"/>
          </w:tcPr>
          <w:p w14:paraId="39B6573A" w14:textId="77777777" w:rsidR="00C06861" w:rsidRDefault="00C06861" w:rsidP="001E421A">
            <w:pPr>
              <w:jc w:val="center"/>
              <w:rPr>
                <w:lang w:eastAsia="sv-SE"/>
              </w:rPr>
            </w:pPr>
          </w:p>
        </w:tc>
        <w:tc>
          <w:tcPr>
            <w:tcW w:w="5806" w:type="dxa"/>
            <w:vAlign w:val="center"/>
          </w:tcPr>
          <w:p w14:paraId="74A5F9F4" w14:textId="767676BE" w:rsidR="00C06861" w:rsidRDefault="00C06861" w:rsidP="00CA6424">
            <w:pPr>
              <w:rPr>
                <w:lang w:eastAsia="sv-SE"/>
              </w:rPr>
            </w:pPr>
          </w:p>
        </w:tc>
      </w:tr>
      <w:tr w:rsidR="00C06861" w14:paraId="095BB135" w14:textId="77777777" w:rsidTr="00F32EAC">
        <w:trPr>
          <w:jc w:val="center"/>
        </w:trPr>
        <w:tc>
          <w:tcPr>
            <w:tcW w:w="1354" w:type="dxa"/>
            <w:vAlign w:val="center"/>
          </w:tcPr>
          <w:p w14:paraId="3BE815E9" w14:textId="77777777" w:rsidR="00C06861" w:rsidRDefault="00C06861" w:rsidP="001E421A">
            <w:pPr>
              <w:jc w:val="center"/>
              <w:rPr>
                <w:lang w:eastAsia="sv-SE"/>
              </w:rPr>
            </w:pPr>
          </w:p>
        </w:tc>
        <w:tc>
          <w:tcPr>
            <w:tcW w:w="1148" w:type="dxa"/>
            <w:vAlign w:val="center"/>
          </w:tcPr>
          <w:p w14:paraId="519D4CD5" w14:textId="77777777" w:rsidR="00C06861" w:rsidRDefault="00C06861" w:rsidP="001E421A">
            <w:pPr>
              <w:jc w:val="center"/>
              <w:rPr>
                <w:lang w:eastAsia="sv-SE"/>
              </w:rPr>
            </w:pPr>
          </w:p>
        </w:tc>
        <w:tc>
          <w:tcPr>
            <w:tcW w:w="1461" w:type="dxa"/>
          </w:tcPr>
          <w:p w14:paraId="7AADBB48" w14:textId="77777777" w:rsidR="00C06861" w:rsidRDefault="00C06861" w:rsidP="001E421A">
            <w:pPr>
              <w:jc w:val="center"/>
              <w:rPr>
                <w:lang w:eastAsia="sv-SE"/>
              </w:rPr>
            </w:pPr>
          </w:p>
        </w:tc>
        <w:tc>
          <w:tcPr>
            <w:tcW w:w="5806" w:type="dxa"/>
            <w:vAlign w:val="center"/>
          </w:tcPr>
          <w:p w14:paraId="1A996245" w14:textId="233D1DD2" w:rsidR="00C06861" w:rsidRDefault="00C06861" w:rsidP="00CA6424">
            <w:pPr>
              <w:rPr>
                <w:lang w:eastAsia="sv-SE"/>
              </w:rPr>
            </w:pP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 xml:space="preserve">Please ignore the following RRC-3 as </w:t>
      </w:r>
      <w:proofErr w:type="spellStart"/>
      <w:r w:rsidRPr="001B4478">
        <w:rPr>
          <w:rFonts w:eastAsiaTheme="minorEastAsia"/>
          <w:b/>
          <w:highlight w:val="yellow"/>
        </w:rPr>
        <w:t>explaned</w:t>
      </w:r>
      <w:proofErr w:type="spellEnd"/>
      <w:r w:rsidRPr="001B4478">
        <w:rPr>
          <w:rFonts w:eastAsiaTheme="minorEastAsia"/>
          <w:b/>
          <w:highlight w:val="yellow"/>
        </w:rPr>
        <w:t xml:space="preserve">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w:t>
      </w:r>
      <w:proofErr w:type="spellStart"/>
      <w:r w:rsidRPr="001B4478">
        <w:rPr>
          <w:b/>
          <w:bCs/>
          <w:color w:val="808080" w:themeColor="background1" w:themeShade="80"/>
          <w:lang w:eastAsia="sv-SE"/>
        </w:rPr>
        <w:t>ies</w:t>
      </w:r>
      <w:proofErr w:type="spellEnd"/>
      <w:r w:rsidRPr="001B4478">
        <w:rPr>
          <w:b/>
          <w:bCs/>
          <w:color w:val="808080" w:themeColor="background1" w:themeShade="80"/>
          <w:lang w:eastAsia="sv-SE"/>
        </w:rPr>
        <w:t>)/cell(s)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ListParagraph"/>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lastRenderedPageBreak/>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w:t>
      </w:r>
      <w:proofErr w:type="spellStart"/>
      <w:r w:rsidRPr="001B4478">
        <w:rPr>
          <w:color w:val="808080" w:themeColor="background1" w:themeShade="80"/>
        </w:rPr>
        <w:t>ies</w:t>
      </w:r>
      <w:proofErr w:type="spellEnd"/>
      <w:r w:rsidRPr="001B4478">
        <w:rPr>
          <w:color w:val="808080" w:themeColor="background1" w:themeShade="80"/>
        </w:rPr>
        <w:t>)/cell(s)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CommentReference"/>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TableGrid"/>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ListParagraph"/>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sidRPr="001B4478">
              <w:rPr>
                <w:rFonts w:eastAsiaTheme="minorEastAsia"/>
                <w:color w:val="808080" w:themeColor="background1" w:themeShade="80"/>
              </w:rPr>
              <w:t>ies</w:t>
            </w:r>
            <w:proofErr w:type="spellEnd"/>
            <w:r w:rsidRPr="001B4478">
              <w:rPr>
                <w:rFonts w:eastAsiaTheme="minorEastAsia"/>
                <w:color w:val="808080" w:themeColor="background1" w:themeShade="80"/>
              </w:rPr>
              <w:t>)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ListParagraph"/>
              <w:numPr>
                <w:ilvl w:val="0"/>
                <w:numId w:val="12"/>
              </w:numPr>
              <w:rPr>
                <w:rFonts w:ascii="Arial" w:eastAsiaTheme="minorEastAsia" w:hAnsi="Arial" w:cs="Times New Roman"/>
                <w:color w:val="808080" w:themeColor="background1" w:themeShade="80"/>
                <w:sz w:val="20"/>
                <w:szCs w:val="20"/>
                <w:lang w:val="en-GB" w:eastAsia="zh-CN"/>
              </w:rPr>
            </w:pPr>
            <w:proofErr w:type="gramStart"/>
            <w:r w:rsidRPr="001B4478">
              <w:rPr>
                <w:rFonts w:ascii="Arial" w:eastAsiaTheme="minorEastAsia" w:hAnsi="Arial" w:cs="Times New Roman" w:hint="eastAsia"/>
                <w:color w:val="808080" w:themeColor="background1" w:themeShade="80"/>
                <w:sz w:val="20"/>
                <w:szCs w:val="20"/>
                <w:lang w:val="en-GB" w:eastAsia="zh-CN"/>
              </w:rPr>
              <w:t>This issues</w:t>
            </w:r>
            <w:proofErr w:type="gramEnd"/>
            <w:r w:rsidRPr="001B4478">
              <w:rPr>
                <w:rFonts w:ascii="Arial" w:eastAsiaTheme="minorEastAsia" w:hAnsi="Arial" w:cs="Times New Roman" w:hint="eastAsia"/>
                <w:color w:val="808080" w:themeColor="background1" w:themeShade="80"/>
                <w:sz w:val="20"/>
                <w:szCs w:val="20"/>
                <w:lang w:val="en-GB" w:eastAsia="zh-CN"/>
              </w:rPr>
              <w:t xml:space="preserve">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ListParagraph"/>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xml:space="preserve">. However, this issue, per the </w:t>
            </w:r>
            <w:proofErr w:type="spellStart"/>
            <w:r w:rsidR="001E421A" w:rsidRPr="001B4478">
              <w:rPr>
                <w:rFonts w:ascii="Arial" w:eastAsiaTheme="minorEastAsia" w:hAnsi="Arial" w:cs="Times New Roman" w:hint="eastAsia"/>
                <w:color w:val="808080" w:themeColor="background1" w:themeShade="80"/>
                <w:sz w:val="20"/>
                <w:szCs w:val="20"/>
                <w:lang w:val="en-GB" w:eastAsia="zh-CN"/>
              </w:rPr>
              <w:t>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w:t>
            </w:r>
            <w:proofErr w:type="spellEnd"/>
            <w:r w:rsidR="001E421A" w:rsidRPr="001B4478">
              <w:rPr>
                <w:rFonts w:ascii="Arial" w:eastAsiaTheme="minorEastAsia" w:hAnsi="Arial" w:cs="Times New Roman" w:hint="eastAsia"/>
                <w:color w:val="808080" w:themeColor="background1" w:themeShade="80"/>
                <w:sz w:val="20"/>
                <w:szCs w:val="20"/>
                <w:lang w:val="en-GB" w:eastAsia="zh-CN"/>
              </w:rPr>
              <w:t xml:space="preserve">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w:t>
            </w:r>
            <w:proofErr w:type="spellStart"/>
            <w:r w:rsidR="00E42AE9" w:rsidRPr="001B4478">
              <w:rPr>
                <w:rFonts w:ascii="Arial" w:eastAsiaTheme="minorEastAsia" w:hAnsi="Arial" w:cs="Times New Roman" w:hint="eastAsia"/>
                <w:color w:val="808080" w:themeColor="background1" w:themeShade="80"/>
                <w:sz w:val="20"/>
                <w:szCs w:val="20"/>
                <w:lang w:val="en-GB" w:eastAsia="zh-CN"/>
              </w:rPr>
              <w:t>procdure</w:t>
            </w:r>
            <w:proofErr w:type="spellEnd"/>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proofErr w:type="spellStart"/>
            <w:r w:rsidR="00190ED2">
              <w:rPr>
                <w:lang w:eastAsia="sv-SE"/>
              </w:rPr>
              <w:t>Its</w:t>
            </w:r>
            <w:proofErr w:type="spellEnd"/>
            <w:r w:rsidR="00190ED2">
              <w:rPr>
                <w:lang w:eastAsia="sv-SE"/>
              </w:rPr>
              <w:t xml:space="preserve">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proofErr w:type="spellStart"/>
            <w:r>
              <w:rPr>
                <w:lang w:eastAsia="sv-SE"/>
              </w:rPr>
              <w:t>Mediatek</w:t>
            </w:r>
            <w:proofErr w:type="spellEnd"/>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77777777" w:rsidR="00B176C6" w:rsidRDefault="00B176C6" w:rsidP="00B176C6">
            <w:pPr>
              <w:jc w:val="center"/>
              <w:rPr>
                <w:lang w:eastAsia="sv-SE"/>
              </w:rPr>
            </w:pPr>
          </w:p>
        </w:tc>
        <w:tc>
          <w:tcPr>
            <w:tcW w:w="1170" w:type="dxa"/>
            <w:vAlign w:val="center"/>
          </w:tcPr>
          <w:p w14:paraId="326B06FB" w14:textId="77777777" w:rsidR="00B176C6" w:rsidRDefault="00B176C6" w:rsidP="00B176C6">
            <w:pPr>
              <w:jc w:val="center"/>
              <w:rPr>
                <w:lang w:eastAsia="sv-SE"/>
              </w:rPr>
            </w:pPr>
          </w:p>
        </w:tc>
        <w:tc>
          <w:tcPr>
            <w:tcW w:w="6844" w:type="dxa"/>
            <w:vAlign w:val="center"/>
          </w:tcPr>
          <w:p w14:paraId="4EF795E3" w14:textId="77777777" w:rsidR="00B176C6" w:rsidRDefault="00B176C6" w:rsidP="00B176C6">
            <w:pPr>
              <w:jc w:val="center"/>
              <w:rPr>
                <w:lang w:eastAsia="sv-SE"/>
              </w:rPr>
            </w:pPr>
          </w:p>
        </w:tc>
      </w:tr>
      <w:tr w:rsidR="00B176C6" w14:paraId="65335875" w14:textId="77777777" w:rsidTr="001E421A">
        <w:tc>
          <w:tcPr>
            <w:tcW w:w="1615" w:type="dxa"/>
            <w:vAlign w:val="center"/>
          </w:tcPr>
          <w:p w14:paraId="6504FEAB" w14:textId="77777777" w:rsidR="00B176C6" w:rsidRDefault="00B176C6" w:rsidP="00B176C6">
            <w:pPr>
              <w:jc w:val="center"/>
              <w:rPr>
                <w:lang w:eastAsia="sv-SE"/>
              </w:rPr>
            </w:pPr>
          </w:p>
        </w:tc>
        <w:tc>
          <w:tcPr>
            <w:tcW w:w="1170" w:type="dxa"/>
            <w:vAlign w:val="center"/>
          </w:tcPr>
          <w:p w14:paraId="0BAADBC3" w14:textId="77777777" w:rsidR="00B176C6" w:rsidRDefault="00B176C6" w:rsidP="00B176C6">
            <w:pPr>
              <w:jc w:val="center"/>
              <w:rPr>
                <w:lang w:eastAsia="sv-SE"/>
              </w:rPr>
            </w:pPr>
          </w:p>
        </w:tc>
        <w:tc>
          <w:tcPr>
            <w:tcW w:w="6844" w:type="dxa"/>
            <w:vAlign w:val="center"/>
          </w:tcPr>
          <w:p w14:paraId="34BD820F" w14:textId="77777777" w:rsidR="00B176C6" w:rsidRDefault="00B176C6" w:rsidP="00B176C6">
            <w:pPr>
              <w:jc w:val="center"/>
              <w:rPr>
                <w:lang w:eastAsia="sv-SE"/>
              </w:rPr>
            </w:pPr>
          </w:p>
        </w:tc>
      </w:tr>
    </w:tbl>
    <w:p w14:paraId="7DD566A1" w14:textId="77777777" w:rsidR="00C06861" w:rsidRDefault="00C06861" w:rsidP="00C06861">
      <w:pPr>
        <w:rPr>
          <w:lang w:eastAsia="sv-SE"/>
        </w:rPr>
      </w:pPr>
    </w:p>
    <w:p w14:paraId="07755332" w14:textId="5373ED33" w:rsidR="00BE1707" w:rsidRDefault="00BE1707" w:rsidP="00BE1707">
      <w:pPr>
        <w:pStyle w:val="Heading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Heading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ListParagraph"/>
        <w:numPr>
          <w:ilvl w:val="0"/>
          <w:numId w:val="9"/>
        </w:numPr>
        <w:tabs>
          <w:tab w:val="left" w:pos="992"/>
        </w:tabs>
        <w:rPr>
          <w:rFonts w:eastAsiaTheme="minorEastAsia"/>
          <w:b/>
          <w:bCs/>
        </w:rPr>
      </w:pPr>
      <w:r w:rsidRPr="00BE1707">
        <w:rPr>
          <w:rFonts w:eastAsiaTheme="minorEastAsia"/>
          <w:b/>
          <w:bCs/>
        </w:rPr>
        <w:t xml:space="preserve">We will extend the existing ETWS/CMAS notification RRC procedures for </w:t>
      </w:r>
      <w:proofErr w:type="spellStart"/>
      <w:r w:rsidRPr="00BE1707">
        <w:rPr>
          <w:rFonts w:eastAsiaTheme="minorEastAsia"/>
          <w:b/>
          <w:bCs/>
        </w:rPr>
        <w:t>eMTC</w:t>
      </w:r>
      <w:proofErr w:type="spellEnd"/>
      <w:r w:rsidRPr="00BE1707">
        <w:rPr>
          <w:rFonts w:eastAsiaTheme="minorEastAsia"/>
          <w:b/>
          <w:bCs/>
        </w:rPr>
        <w:t xml:space="preserve">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lastRenderedPageBreak/>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xml:space="preserve">,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TableGrid"/>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77777777" w:rsidR="000416F2" w:rsidRDefault="000416F2" w:rsidP="000416F2">
            <w:pPr>
              <w:jc w:val="center"/>
              <w:rPr>
                <w:lang w:eastAsia="sv-SE"/>
              </w:rPr>
            </w:pPr>
          </w:p>
        </w:tc>
        <w:tc>
          <w:tcPr>
            <w:tcW w:w="1170" w:type="dxa"/>
            <w:vAlign w:val="center"/>
          </w:tcPr>
          <w:p w14:paraId="12298B7B" w14:textId="77777777" w:rsidR="000416F2" w:rsidRDefault="000416F2" w:rsidP="000416F2">
            <w:pPr>
              <w:jc w:val="center"/>
              <w:rPr>
                <w:lang w:eastAsia="sv-SE"/>
              </w:rPr>
            </w:pPr>
          </w:p>
        </w:tc>
        <w:tc>
          <w:tcPr>
            <w:tcW w:w="6844" w:type="dxa"/>
            <w:vAlign w:val="center"/>
          </w:tcPr>
          <w:p w14:paraId="5ED89ACA" w14:textId="77777777" w:rsidR="000416F2" w:rsidRDefault="000416F2" w:rsidP="000416F2">
            <w:pPr>
              <w:jc w:val="center"/>
              <w:rPr>
                <w:lang w:eastAsia="sv-SE"/>
              </w:rPr>
            </w:pPr>
          </w:p>
        </w:tc>
      </w:tr>
      <w:tr w:rsidR="000416F2" w14:paraId="2B2D0CEA" w14:textId="77777777" w:rsidTr="001E421A">
        <w:tc>
          <w:tcPr>
            <w:tcW w:w="1615" w:type="dxa"/>
            <w:vAlign w:val="center"/>
          </w:tcPr>
          <w:p w14:paraId="2A1C325C" w14:textId="77777777" w:rsidR="000416F2" w:rsidRDefault="000416F2" w:rsidP="000416F2">
            <w:pPr>
              <w:jc w:val="center"/>
              <w:rPr>
                <w:lang w:eastAsia="sv-SE"/>
              </w:rPr>
            </w:pPr>
          </w:p>
        </w:tc>
        <w:tc>
          <w:tcPr>
            <w:tcW w:w="1170" w:type="dxa"/>
            <w:vAlign w:val="center"/>
          </w:tcPr>
          <w:p w14:paraId="16C4C82B" w14:textId="77777777" w:rsidR="000416F2" w:rsidRDefault="000416F2" w:rsidP="000416F2">
            <w:pPr>
              <w:jc w:val="center"/>
              <w:rPr>
                <w:lang w:eastAsia="sv-SE"/>
              </w:rPr>
            </w:pPr>
          </w:p>
        </w:tc>
        <w:tc>
          <w:tcPr>
            <w:tcW w:w="6844" w:type="dxa"/>
            <w:vAlign w:val="center"/>
          </w:tcPr>
          <w:p w14:paraId="163FDDCF" w14:textId="77777777" w:rsidR="000416F2" w:rsidRDefault="000416F2" w:rsidP="000416F2">
            <w:pPr>
              <w:jc w:val="center"/>
              <w:rPr>
                <w:lang w:eastAsia="sv-SE"/>
              </w:rPr>
            </w:pP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TableGrid"/>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w:t>
            </w:r>
            <w:proofErr w:type="spellStart"/>
            <w:r w:rsidRPr="00731AF5">
              <w:rPr>
                <w:rFonts w:eastAsiaTheme="minorEastAsia"/>
                <w:bCs/>
              </w:rPr>
              <w:t>eNBs</w:t>
            </w:r>
            <w:proofErr w:type="spellEnd"/>
            <w:r w:rsidRPr="00731AF5">
              <w:rPr>
                <w:rFonts w:eastAsiaTheme="minorEastAsia"/>
                <w:bCs/>
              </w:rPr>
              <w:t xml:space="preserve">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 xml:space="preserve">this aspect be first verified and discussed with </w:t>
            </w:r>
            <w:r w:rsidRPr="00731AF5">
              <w:rPr>
                <w:rFonts w:eastAsiaTheme="minorEastAsia"/>
                <w:bCs/>
              </w:rPr>
              <w:lastRenderedPageBreak/>
              <w:t>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lastRenderedPageBreak/>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So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77777777" w:rsidR="00CF0E7A" w:rsidRDefault="00CF0E7A" w:rsidP="00CF0E7A">
            <w:pPr>
              <w:jc w:val="center"/>
              <w:rPr>
                <w:lang w:eastAsia="sv-SE"/>
              </w:rPr>
            </w:pPr>
          </w:p>
        </w:tc>
        <w:tc>
          <w:tcPr>
            <w:tcW w:w="1170" w:type="dxa"/>
            <w:vAlign w:val="center"/>
          </w:tcPr>
          <w:p w14:paraId="0CE2E0B2" w14:textId="77777777" w:rsidR="00CF0E7A" w:rsidRDefault="00CF0E7A" w:rsidP="00CF0E7A">
            <w:pPr>
              <w:jc w:val="center"/>
              <w:rPr>
                <w:lang w:eastAsia="sv-SE"/>
              </w:rPr>
            </w:pPr>
          </w:p>
        </w:tc>
        <w:tc>
          <w:tcPr>
            <w:tcW w:w="6844" w:type="dxa"/>
            <w:vAlign w:val="center"/>
          </w:tcPr>
          <w:p w14:paraId="76D2B6C5" w14:textId="77777777" w:rsidR="00CF0E7A" w:rsidRDefault="00CF0E7A" w:rsidP="00CF0E7A">
            <w:pPr>
              <w:jc w:val="center"/>
              <w:rPr>
                <w:lang w:eastAsia="sv-SE"/>
              </w:rPr>
            </w:pPr>
          </w:p>
        </w:tc>
      </w:tr>
      <w:tr w:rsidR="00CF0E7A" w14:paraId="0967EB3C" w14:textId="77777777" w:rsidTr="001E421A">
        <w:tc>
          <w:tcPr>
            <w:tcW w:w="1615" w:type="dxa"/>
            <w:vAlign w:val="center"/>
          </w:tcPr>
          <w:p w14:paraId="6FA248E1" w14:textId="77777777" w:rsidR="00CF0E7A" w:rsidRDefault="00CF0E7A" w:rsidP="00CF0E7A">
            <w:pPr>
              <w:jc w:val="center"/>
              <w:rPr>
                <w:lang w:eastAsia="sv-SE"/>
              </w:rPr>
            </w:pPr>
          </w:p>
        </w:tc>
        <w:tc>
          <w:tcPr>
            <w:tcW w:w="1170" w:type="dxa"/>
            <w:vAlign w:val="center"/>
          </w:tcPr>
          <w:p w14:paraId="3FD2D2D4" w14:textId="77777777" w:rsidR="00CF0E7A" w:rsidRDefault="00CF0E7A" w:rsidP="00CF0E7A">
            <w:pPr>
              <w:jc w:val="center"/>
              <w:rPr>
                <w:lang w:eastAsia="sv-SE"/>
              </w:rPr>
            </w:pPr>
          </w:p>
        </w:tc>
        <w:tc>
          <w:tcPr>
            <w:tcW w:w="6844" w:type="dxa"/>
            <w:vAlign w:val="center"/>
          </w:tcPr>
          <w:p w14:paraId="15EEE8DC" w14:textId="77777777" w:rsidR="00CF0E7A" w:rsidRDefault="00CF0E7A" w:rsidP="00CF0E7A">
            <w:pPr>
              <w:jc w:val="center"/>
              <w:rPr>
                <w:lang w:eastAsia="sv-SE"/>
              </w:rPr>
            </w:pPr>
          </w:p>
        </w:tc>
      </w:tr>
    </w:tbl>
    <w:p w14:paraId="72B80FD2" w14:textId="77777777" w:rsidR="00681122" w:rsidRDefault="00681122" w:rsidP="00681122">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UE is PWS capable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proofErr w:type="spellStart"/>
            <w:r>
              <w:rPr>
                <w:lang w:eastAsia="sv-SE"/>
              </w:rPr>
              <w:t>Mediatek</w:t>
            </w:r>
            <w:proofErr w:type="spellEnd"/>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7777777" w:rsidR="0077227D" w:rsidRDefault="0077227D" w:rsidP="00D9742E">
            <w:pPr>
              <w:jc w:val="center"/>
              <w:rPr>
                <w:lang w:eastAsia="sv-SE"/>
              </w:rPr>
            </w:pPr>
          </w:p>
        </w:tc>
        <w:tc>
          <w:tcPr>
            <w:tcW w:w="8011" w:type="dxa"/>
            <w:vAlign w:val="center"/>
          </w:tcPr>
          <w:p w14:paraId="0E73EB86" w14:textId="77777777" w:rsidR="0077227D" w:rsidRDefault="0077227D" w:rsidP="00D9742E">
            <w:pPr>
              <w:jc w:val="center"/>
              <w:rPr>
                <w:lang w:eastAsia="sv-SE"/>
              </w:rPr>
            </w:pPr>
          </w:p>
        </w:tc>
      </w:tr>
      <w:tr w:rsidR="0077227D" w14:paraId="01344A6A" w14:textId="77777777" w:rsidTr="0077227D">
        <w:tc>
          <w:tcPr>
            <w:tcW w:w="1614" w:type="dxa"/>
            <w:vAlign w:val="center"/>
          </w:tcPr>
          <w:p w14:paraId="173F0EEC" w14:textId="77777777" w:rsidR="0077227D" w:rsidRDefault="0077227D" w:rsidP="00D9742E">
            <w:pPr>
              <w:jc w:val="center"/>
              <w:rPr>
                <w:lang w:eastAsia="sv-SE"/>
              </w:rPr>
            </w:pPr>
          </w:p>
        </w:tc>
        <w:tc>
          <w:tcPr>
            <w:tcW w:w="8011" w:type="dxa"/>
            <w:vAlign w:val="center"/>
          </w:tcPr>
          <w:p w14:paraId="5CAA02A5" w14:textId="77777777" w:rsidR="0077227D" w:rsidRDefault="0077227D" w:rsidP="00D9742E">
            <w:pPr>
              <w:jc w:val="center"/>
              <w:rPr>
                <w:lang w:eastAsia="sv-SE"/>
              </w:rPr>
            </w:pPr>
          </w:p>
        </w:tc>
      </w:tr>
      <w:tr w:rsidR="0077227D" w14:paraId="5BC53796" w14:textId="77777777" w:rsidTr="0077227D">
        <w:tc>
          <w:tcPr>
            <w:tcW w:w="1614" w:type="dxa"/>
            <w:vAlign w:val="center"/>
          </w:tcPr>
          <w:p w14:paraId="4E176926" w14:textId="77777777" w:rsidR="0077227D" w:rsidRDefault="0077227D" w:rsidP="00D9742E">
            <w:pPr>
              <w:jc w:val="center"/>
              <w:rPr>
                <w:lang w:eastAsia="sv-SE"/>
              </w:rPr>
            </w:pPr>
          </w:p>
        </w:tc>
        <w:tc>
          <w:tcPr>
            <w:tcW w:w="8011" w:type="dxa"/>
            <w:vAlign w:val="center"/>
          </w:tcPr>
          <w:p w14:paraId="2064F2D9" w14:textId="77777777" w:rsidR="0077227D" w:rsidRDefault="0077227D" w:rsidP="00D9742E">
            <w:pPr>
              <w:jc w:val="center"/>
              <w:rPr>
                <w:lang w:eastAsia="sv-SE"/>
              </w:rPr>
            </w:pPr>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lastRenderedPageBreak/>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proofErr w:type="spellStart"/>
      <w:r w:rsidR="006160FF" w:rsidRPr="006160FF">
        <w:t>SessionChair</w:t>
      </w:r>
      <w:proofErr w:type="spellEnd"/>
      <w:r w:rsidR="006160FF" w:rsidRPr="006160FF">
        <w:t xml:space="preserve">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post129b" w:date="2025-04-29T10:08:00Z" w:initials="Xubin">
    <w:p w14:paraId="22871BC1" w14:textId="77777777" w:rsidR="001B4478" w:rsidRDefault="001B4478" w:rsidP="001B4478">
      <w:pPr>
        <w:pStyle w:val="CommentText"/>
        <w:rPr>
          <w:rFonts w:eastAsiaTheme="minorEastAsia"/>
        </w:rPr>
      </w:pPr>
      <w:r>
        <w:rPr>
          <w:rStyle w:val="CommentReference"/>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1B4478" w:rsidRDefault="001B4478" w:rsidP="001B4478">
      <w:pPr>
        <w:pStyle w:val="CommentText"/>
        <w:rPr>
          <w:rFonts w:eastAsiaTheme="minorEastAsia"/>
        </w:rPr>
      </w:pPr>
      <w:r>
        <w:rPr>
          <w:rFonts w:eastAsiaTheme="minorEastAsia"/>
        </w:rPr>
        <w:t xml:space="preserve"> </w:t>
      </w:r>
    </w:p>
    <w:p w14:paraId="2C34CB19" w14:textId="1224E016" w:rsidR="001B4478" w:rsidRDefault="001B4478" w:rsidP="001B4478">
      <w:pPr>
        <w:pStyle w:val="CommentText"/>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1B4478" w:rsidRDefault="001B4478" w:rsidP="001B4478">
      <w:pPr>
        <w:pStyle w:val="CommentText"/>
        <w:rPr>
          <w:rFonts w:eastAsiaTheme="minorEastAsia"/>
        </w:rPr>
      </w:pPr>
    </w:p>
    <w:p w14:paraId="6A6F557E" w14:textId="53F02B15" w:rsidR="001B4478" w:rsidRDefault="001B4478" w:rsidP="001B4478">
      <w:pPr>
        <w:pStyle w:val="CommentText"/>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1B4478" w:rsidRDefault="001B4478" w:rsidP="001B4478">
      <w:pPr>
        <w:pStyle w:val="CommentText"/>
        <w:rPr>
          <w:rFonts w:eastAsiaTheme="minorEastAsia"/>
        </w:rPr>
      </w:pPr>
    </w:p>
    <w:p w14:paraId="03DA28DA" w14:textId="2F6631D8" w:rsidR="001B4478" w:rsidRPr="001B4478" w:rsidRDefault="001B4478" w:rsidP="001B4478">
      <w:pPr>
        <w:pStyle w:val="CommentText"/>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A28DA" w16cid:durableId="2BBB2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B236" w14:textId="77777777" w:rsidR="00640B06" w:rsidRDefault="00640B06">
      <w:pPr>
        <w:spacing w:after="0"/>
      </w:pPr>
      <w:r>
        <w:separator/>
      </w:r>
    </w:p>
  </w:endnote>
  <w:endnote w:type="continuationSeparator" w:id="0">
    <w:p w14:paraId="75B4AD6D" w14:textId="77777777" w:rsidR="00640B06" w:rsidRDefault="00640B06">
      <w:pPr>
        <w:spacing w:after="0"/>
      </w:pPr>
      <w:r>
        <w:continuationSeparator/>
      </w:r>
    </w:p>
  </w:endnote>
  <w:endnote w:type="continuationNotice" w:id="1">
    <w:p w14:paraId="2D576AA4" w14:textId="77777777" w:rsidR="00640B06" w:rsidRDefault="00640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1E421A" w:rsidRDefault="001E421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5CE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CE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F6D0" w14:textId="77777777" w:rsidR="00640B06" w:rsidRDefault="00640B06">
      <w:pPr>
        <w:spacing w:after="0"/>
      </w:pPr>
      <w:r>
        <w:separator/>
      </w:r>
    </w:p>
  </w:footnote>
  <w:footnote w:type="continuationSeparator" w:id="0">
    <w:p w14:paraId="18CFA2B7" w14:textId="77777777" w:rsidR="00640B06" w:rsidRDefault="00640B06">
      <w:pPr>
        <w:spacing w:after="0"/>
      </w:pPr>
      <w:r>
        <w:continuationSeparator/>
      </w:r>
    </w:p>
  </w:footnote>
  <w:footnote w:type="continuationNotice" w:id="1">
    <w:p w14:paraId="10D3DF9E" w14:textId="77777777" w:rsidR="00640B06" w:rsidRDefault="00640B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4484126">
    <w:abstractNumId w:val="0"/>
  </w:num>
  <w:num w:numId="2" w16cid:durableId="1429695821">
    <w:abstractNumId w:val="8"/>
  </w:num>
  <w:num w:numId="3" w16cid:durableId="630474367">
    <w:abstractNumId w:val="9"/>
  </w:num>
  <w:num w:numId="4" w16cid:durableId="220286043">
    <w:abstractNumId w:val="4"/>
  </w:num>
  <w:num w:numId="5" w16cid:durableId="253711189">
    <w:abstractNumId w:val="2"/>
  </w:num>
  <w:num w:numId="6" w16cid:durableId="714619884">
    <w:abstractNumId w:val="6"/>
  </w:num>
  <w:num w:numId="7" w16cid:durableId="66807353">
    <w:abstractNumId w:val="5"/>
  </w:num>
  <w:num w:numId="8" w16cid:durableId="573974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769584">
    <w:abstractNumId w:val="1"/>
  </w:num>
  <w:num w:numId="10" w16cid:durableId="819347240">
    <w:abstractNumId w:val="10"/>
  </w:num>
  <w:num w:numId="11" w16cid:durableId="1696273025">
    <w:abstractNumId w:val="3"/>
  </w:num>
  <w:num w:numId="12" w16cid:durableId="377168793">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6265"/>
    <w:rsid w:val="00186AE3"/>
    <w:rsid w:val="001876D4"/>
    <w:rsid w:val="00187A1B"/>
    <w:rsid w:val="001904EE"/>
    <w:rsid w:val="00190ED2"/>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669F"/>
    <w:rsid w:val="00AA6786"/>
    <w:rsid w:val="00AA7C18"/>
    <w:rsid w:val="00AB1221"/>
    <w:rsid w:val="00AB1ACC"/>
    <w:rsid w:val="00AB1CDD"/>
    <w:rsid w:val="00AB1E3F"/>
    <w:rsid w:val="00AB24C0"/>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Normal"/>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Normal"/>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CB90E-359D-46D1-A5F7-35CF9D86F6C4}">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140</TotalTime>
  <Pages>8</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MediaTek (Felix)</cp:lastModifiedBy>
  <cp:revision>59</cp:revision>
  <dcterms:created xsi:type="dcterms:W3CDTF">2025-04-28T15:25:00Z</dcterms:created>
  <dcterms:modified xsi:type="dcterms:W3CDTF">2025-05-01T04:01:00Z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