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lang w:val="en-SE"/>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w:t>
      </w:r>
      <w:proofErr w:type="gramStart"/>
      <w:r w:rsidR="00B5742E">
        <w:rPr>
          <w:rFonts w:ascii="Arial" w:hAnsi="Arial" w:cs="Arial"/>
          <w:b/>
          <w:bCs/>
          <w:sz w:val="24"/>
        </w:rPr>
        <w:t>bis</w:t>
      </w:r>
      <w:r w:rsidRPr="00230E2A">
        <w:rPr>
          <w:rFonts w:ascii="Arial" w:hAnsi="Arial" w:cs="Arial"/>
          <w:b/>
          <w:bCs/>
          <w:sz w:val="24"/>
        </w:rPr>
        <w:t>][</w:t>
      </w:r>
      <w:proofErr w:type="gramEnd"/>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SimSun"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SimSun" w:hint="eastAsia"/>
          <w:lang w:eastAsia="zh-CN"/>
        </w:rPr>
        <w:t>UE capabilities</w:t>
      </w:r>
      <w:r w:rsidRPr="00440D3F">
        <w:t xml:space="preserve"> (</w:t>
      </w:r>
      <w:r w:rsidRPr="00440D3F">
        <w:rPr>
          <w:rFonts w:eastAsia="SimSun" w:hint="eastAsia"/>
          <w:lang w:eastAsia="zh-CN"/>
        </w:rPr>
        <w:t>Huawei</w:t>
      </w:r>
      <w:r w:rsidRPr="00440D3F">
        <w:t>)</w:t>
      </w:r>
    </w:p>
    <w:p w14:paraId="72C7F992" w14:textId="77777777" w:rsidR="00B5742E" w:rsidRPr="00440D3F" w:rsidRDefault="00B5742E" w:rsidP="00B5742E">
      <w:pPr>
        <w:pStyle w:val="EmailDiscussion2"/>
        <w:ind w:left="1619" w:firstLine="0"/>
        <w:rPr>
          <w:rFonts w:eastAsia="SimSun"/>
          <w:lang w:eastAsia="zh-CN"/>
        </w:rPr>
      </w:pPr>
      <w:r w:rsidRPr="00440D3F">
        <w:rPr>
          <w:rFonts w:eastAsia="SimSun"/>
          <w:lang w:eastAsia="zh-CN"/>
        </w:rPr>
        <w:t xml:space="preserve">Intended outcome: </w:t>
      </w:r>
      <w:r w:rsidRPr="00440D3F">
        <w:rPr>
          <w:rFonts w:eastAsia="SimSun"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SimSun"/>
          <w:lang w:eastAsia="zh-CN"/>
        </w:rPr>
        <w:tab/>
      </w:r>
      <w:r w:rsidRPr="00440D3F">
        <w:rPr>
          <w:rFonts w:eastAsia="SimSun"/>
          <w:lang w:eastAsia="zh-CN"/>
        </w:rPr>
        <w:t xml:space="preserve">Deadline:  </w:t>
      </w:r>
      <w:r w:rsidRPr="00440D3F">
        <w:rPr>
          <w:rFonts w:eastAsia="SimSun"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rPr>
          <w:lang w:val="en-SE"/>
        </w:rPr>
      </w:pPr>
      <w:r w:rsidRPr="003F5FDC">
        <w:t xml:space="preserve">Companies are invited to provide </w:t>
      </w:r>
      <w:r w:rsidR="003361CC">
        <w:rPr>
          <w:lang w:val="en-SE"/>
        </w:rPr>
        <w:t>input</w:t>
      </w:r>
      <w:r w:rsidRPr="003F5FDC">
        <w:t xml:space="preserve"> </w:t>
      </w:r>
      <w:r w:rsidRPr="0098527C">
        <w:t xml:space="preserve">by </w:t>
      </w:r>
      <w:r w:rsidR="00236C94" w:rsidRPr="008A4417">
        <w:rPr>
          <w:color w:val="FF0000"/>
          <w:highlight w:val="yellow"/>
          <w:lang w:val="en-SE"/>
        </w:rPr>
        <w:t>May 2</w:t>
      </w:r>
      <w:r w:rsidR="00236C94" w:rsidRPr="008A4417">
        <w:rPr>
          <w:color w:val="FF0000"/>
          <w:highlight w:val="yellow"/>
          <w:vertAlign w:val="superscript"/>
          <w:lang w:val="en-SE"/>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rPr>
          <w:lang w:val="en-SE"/>
        </w:rPr>
        <w:t xml:space="preserve"> Rapporteur will provide the summary with proposals by </w:t>
      </w:r>
      <w:r w:rsidR="006E6CC1" w:rsidRPr="008A4417">
        <w:rPr>
          <w:color w:val="FF0000"/>
          <w:highlight w:val="yellow"/>
          <w:lang w:val="en-SE"/>
        </w:rPr>
        <w:t xml:space="preserve">May </w:t>
      </w:r>
      <w:r w:rsidR="006E6CC1" w:rsidRPr="008A4417">
        <w:rPr>
          <w:color w:val="FF0000"/>
          <w:highlight w:val="yellow"/>
        </w:rPr>
        <w:t>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rPr>
          <w:lang w:val="en-SE"/>
        </w:rPr>
        <w:t xml:space="preserve"> and companies can further comment </w:t>
      </w:r>
      <w:r w:rsidR="008A4417">
        <w:rPr>
          <w:lang w:val="en-SE"/>
        </w:rPr>
        <w:t>until</w:t>
      </w:r>
      <w:r w:rsidR="006E6CC1" w:rsidRPr="0098527C">
        <w:t xml:space="preserve"> </w:t>
      </w:r>
      <w:r w:rsidR="006E6CC1" w:rsidRPr="008A4417">
        <w:rPr>
          <w:color w:val="FF0000"/>
          <w:highlight w:val="yellow"/>
          <w:lang w:val="en-SE"/>
        </w:rPr>
        <w:t xml:space="preserve">May </w:t>
      </w:r>
      <w:r w:rsidR="006E6CC1" w:rsidRPr="008A4417">
        <w:rPr>
          <w:color w:val="FF0000"/>
          <w:highlight w:val="yellow"/>
        </w:rPr>
        <w:t>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rPr>
          <w:lang w:val="en-SE"/>
        </w:rPr>
        <w:t>report</w:t>
      </w:r>
      <w:r w:rsidR="006E6CC1" w:rsidRPr="0098527C">
        <w:t xml:space="preserve"> to submit on </w:t>
      </w:r>
      <w:r w:rsidR="006E6CC1" w:rsidRPr="008A4417">
        <w:rPr>
          <w:color w:val="FF0000"/>
          <w:highlight w:val="yellow"/>
          <w:lang w:val="en-SE"/>
        </w:rPr>
        <w:t xml:space="preserve">May </w:t>
      </w:r>
      <w:r w:rsidR="006E6CC1" w:rsidRPr="008A4417">
        <w:rPr>
          <w:color w:val="FF0000"/>
          <w:highlight w:val="yellow"/>
        </w:rPr>
        <w:t>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4A4EE524" w14:textId="77777777" w:rsidR="005D61D2" w:rsidRPr="003F5FDC" w:rsidRDefault="005D61D2" w:rsidP="00175D0D">
            <w:pPr>
              <w:pStyle w:val="TAC"/>
              <w:jc w:val="both"/>
              <w:rPr>
                <w:rFonts w:ascii="Times New Roman" w:hAnsi="Times New Roman"/>
                <w:lang w:eastAsia="ko-KR"/>
              </w:rPr>
            </w:pPr>
          </w:p>
        </w:tc>
      </w:tr>
      <w:tr w:rsidR="005D61D2" w:rsidRPr="003F5FDC" w14:paraId="2A943D84" w14:textId="77777777" w:rsidTr="00175D0D">
        <w:tc>
          <w:tcPr>
            <w:tcW w:w="3835" w:type="dxa"/>
          </w:tcPr>
          <w:p w14:paraId="17B6DFAB" w14:textId="77777777" w:rsidR="005D61D2" w:rsidRPr="003F5FDC" w:rsidRDefault="005D61D2" w:rsidP="00175D0D">
            <w:pPr>
              <w:pStyle w:val="TAC"/>
              <w:jc w:val="both"/>
              <w:rPr>
                <w:rFonts w:ascii="Times New Roman" w:hAnsi="Times New Roman"/>
                <w:lang w:eastAsia="ko-KR"/>
              </w:rPr>
            </w:pPr>
          </w:p>
        </w:tc>
        <w:tc>
          <w:tcPr>
            <w:tcW w:w="5794" w:type="dxa"/>
          </w:tcPr>
          <w:p w14:paraId="5DAF5672"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12AFE1E0" w14:textId="77777777" w:rsidTr="00175D0D">
        <w:tc>
          <w:tcPr>
            <w:tcW w:w="3835" w:type="dxa"/>
          </w:tcPr>
          <w:p w14:paraId="1408AC39"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2BC3D42F"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SimSun"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SimSun"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rPr>
          <w:lang w:val="en-SE"/>
        </w:rPr>
        <w:t xml:space="preserve"> in RAN2-129bis</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SimSun"/>
                <w:lang w:eastAsia="zh-CN"/>
              </w:rPr>
            </w:pPr>
            <w:r w:rsidRPr="00C02BCD">
              <w:t>R2-2502098</w:t>
            </w:r>
            <w:r w:rsidRPr="00C02BCD">
              <w:tab/>
              <w:t>Discussion</w:t>
            </w:r>
            <w:r>
              <w:t xml:space="preserve"> on UE capability for LP-WUS</w:t>
            </w:r>
            <w:r>
              <w:tab/>
              <w:t>Huawei, HiSilicon</w:t>
            </w:r>
            <w:r>
              <w:tab/>
              <w:t>discussion</w:t>
            </w:r>
            <w:r>
              <w:tab/>
              <w:t>Rel-19</w:t>
            </w:r>
          </w:p>
          <w:p w14:paraId="4B95AD8E"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Subgrouping capability</w:t>
            </w:r>
          </w:p>
          <w:p w14:paraId="483003A4"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SimSun"/>
                <w:i/>
                <w:highlight w:val="lightGray"/>
                <w:lang w:eastAsia="zh-CN"/>
              </w:rPr>
              <w:t>UECapabilityInformation</w:t>
            </w:r>
            <w:proofErr w:type="spellEnd"/>
            <w:r w:rsidRPr="001C0F0E">
              <w:rPr>
                <w:rFonts w:eastAsia="SimSun"/>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lastRenderedPageBreak/>
              <w:t>RRM measurement capability</w:t>
            </w:r>
          </w:p>
          <w:p w14:paraId="5443D0AB"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SimSun"/>
                <w:i/>
                <w:highlight w:val="lightGray"/>
                <w:lang w:eastAsia="zh-CN"/>
              </w:rPr>
            </w:pPr>
            <w:r w:rsidRPr="001C0F0E">
              <w:rPr>
                <w:rFonts w:eastAsia="SimSun"/>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SimSun"/>
                <w:lang w:eastAsia="zh-CN"/>
              </w:rPr>
            </w:pPr>
          </w:p>
          <w:p w14:paraId="4D945FE3" w14:textId="77777777" w:rsidR="002F0531" w:rsidRDefault="002F0531" w:rsidP="002F0531">
            <w:pPr>
              <w:pStyle w:val="Doc-text2"/>
              <w:rPr>
                <w:rFonts w:eastAsia="SimSun"/>
                <w:lang w:eastAsia="zh-CN"/>
              </w:rPr>
            </w:pPr>
            <w:r>
              <w:rPr>
                <w:rFonts w:eastAsia="SimSun" w:hint="eastAsia"/>
                <w:lang w:eastAsia="zh-CN"/>
              </w:rPr>
              <w:t>DISCUSSION</w:t>
            </w:r>
          </w:p>
          <w:p w14:paraId="502F70E3" w14:textId="77777777" w:rsidR="002F0531" w:rsidRDefault="002F0531" w:rsidP="002F0531">
            <w:pPr>
              <w:pStyle w:val="Doc-text2"/>
              <w:rPr>
                <w:rFonts w:eastAsia="SimSun"/>
                <w:lang w:eastAsia="zh-CN"/>
              </w:rPr>
            </w:pPr>
            <w:r>
              <w:rPr>
                <w:rFonts w:eastAsia="SimSun" w:hint="eastAsia"/>
                <w:lang w:eastAsia="zh-CN"/>
              </w:rPr>
              <w:t>P1</w:t>
            </w:r>
          </w:p>
          <w:p w14:paraId="470AA41C"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ok with this. </w:t>
            </w:r>
          </w:p>
          <w:p w14:paraId="7E46925F"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Ericsson agree, think we do not need a </w:t>
            </w:r>
            <w:proofErr w:type="spellStart"/>
            <w:r>
              <w:rPr>
                <w:rFonts w:eastAsia="SimSun" w:hint="eastAsia"/>
                <w:lang w:eastAsia="zh-CN"/>
              </w:rPr>
              <w:t>spereate</w:t>
            </w:r>
            <w:proofErr w:type="spellEnd"/>
            <w:r>
              <w:rPr>
                <w:rFonts w:eastAsia="SimSun" w:hint="eastAsia"/>
                <w:lang w:eastAsia="zh-CN"/>
              </w:rPr>
              <w:t xml:space="preserve"> UE </w:t>
            </w:r>
            <w:r>
              <w:rPr>
                <w:rFonts w:eastAsia="SimSun"/>
                <w:lang w:eastAsia="zh-CN"/>
              </w:rPr>
              <w:t>capability</w:t>
            </w:r>
            <w:r>
              <w:rPr>
                <w:rFonts w:eastAsia="SimSun" w:hint="eastAsia"/>
                <w:lang w:eastAsia="zh-CN"/>
              </w:rPr>
              <w:t xml:space="preserve"> only for UE-ID based subgrouping. </w:t>
            </w:r>
          </w:p>
          <w:p w14:paraId="746A3C4C" w14:textId="77777777" w:rsidR="002F0531" w:rsidRPr="00ED5B59"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t>
            </w:r>
            <w:r>
              <w:rPr>
                <w:rFonts w:eastAsia="SimSun"/>
                <w:lang w:eastAsia="zh-CN"/>
              </w:rPr>
              <w:t>wonders</w:t>
            </w:r>
            <w:r>
              <w:rPr>
                <w:rFonts w:eastAsia="SimSun" w:hint="eastAsia"/>
                <w:lang w:eastAsia="zh-CN"/>
              </w:rPr>
              <w:t xml:space="preserve"> what is the difference for OOK-based or OFDM-based. QC think the wording </w:t>
            </w:r>
            <w:r>
              <w:rPr>
                <w:rFonts w:eastAsia="SimSun"/>
                <w:lang w:eastAsia="zh-CN"/>
              </w:rPr>
              <w:t>‘</w:t>
            </w:r>
            <w:r>
              <w:rPr>
                <w:rFonts w:eastAsia="SimSun" w:hint="eastAsia"/>
                <w:lang w:eastAsia="zh-CN"/>
              </w:rPr>
              <w:t>support of LP-WUS</w:t>
            </w:r>
            <w:r>
              <w:rPr>
                <w:rFonts w:eastAsia="SimSun"/>
                <w:lang w:eastAsia="zh-CN"/>
              </w:rPr>
              <w:t>’</w:t>
            </w:r>
            <w:r>
              <w:rPr>
                <w:rFonts w:eastAsia="SimSun" w:hint="eastAsia"/>
                <w:lang w:eastAsia="zh-CN"/>
              </w:rPr>
              <w:t xml:space="preserve"> is not that clear. </w:t>
            </w:r>
          </w:p>
          <w:p w14:paraId="2A981E21" w14:textId="77777777" w:rsidR="002F0531" w:rsidRDefault="002F0531" w:rsidP="002F0531">
            <w:pPr>
              <w:pStyle w:val="Doc-text2"/>
              <w:rPr>
                <w:rFonts w:eastAsia="SimSun"/>
                <w:lang w:eastAsia="zh-CN"/>
              </w:rPr>
            </w:pPr>
          </w:p>
          <w:p w14:paraId="28C8AED5" w14:textId="77777777" w:rsidR="002F0531" w:rsidRDefault="002F0531" w:rsidP="002F0531">
            <w:pPr>
              <w:pStyle w:val="Doc-text2"/>
              <w:rPr>
                <w:rFonts w:eastAsia="SimSun"/>
                <w:lang w:eastAsia="zh-CN"/>
              </w:rPr>
            </w:pPr>
            <w:r>
              <w:rPr>
                <w:rFonts w:eastAsia="SimSun" w:hint="eastAsia"/>
                <w:lang w:eastAsia="zh-CN"/>
              </w:rPr>
              <w:t>P3, P4</w:t>
            </w:r>
          </w:p>
          <w:p w14:paraId="35E7E8DD"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Xiaomi think they are discussed in R1, think we can </w:t>
            </w:r>
            <w:r>
              <w:rPr>
                <w:rFonts w:eastAsia="SimSun"/>
                <w:lang w:eastAsia="zh-CN"/>
              </w:rPr>
              <w:t>just</w:t>
            </w:r>
            <w:r>
              <w:rPr>
                <w:rFonts w:eastAsia="SimSun" w:hint="eastAsia"/>
                <w:lang w:eastAsia="zh-CN"/>
              </w:rPr>
              <w:t xml:space="preserve"> wait. </w:t>
            </w:r>
            <w:r>
              <w:rPr>
                <w:rFonts w:eastAsia="SimSun"/>
                <w:lang w:eastAsia="zh-CN"/>
              </w:rPr>
              <w:t>V</w:t>
            </w:r>
            <w:r>
              <w:rPr>
                <w:rFonts w:eastAsia="SimSun" w:hint="eastAsia"/>
                <w:lang w:eastAsia="zh-CN"/>
              </w:rPr>
              <w:t xml:space="preserve">ivo agree. </w:t>
            </w:r>
          </w:p>
          <w:p w14:paraId="1CDD24B4"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vivo think we can discuss whether we need </w:t>
            </w:r>
            <w:r>
              <w:rPr>
                <w:rFonts w:eastAsia="SimSun"/>
                <w:lang w:eastAsia="zh-CN"/>
              </w:rPr>
              <w:t>separate</w:t>
            </w:r>
            <w:r>
              <w:rPr>
                <w:rFonts w:eastAsia="SimSun" w:hint="eastAsia"/>
                <w:lang w:eastAsia="zh-CN"/>
              </w:rPr>
              <w:t xml:space="preserve"> </w:t>
            </w:r>
            <w:r>
              <w:rPr>
                <w:rFonts w:eastAsia="SimSun"/>
                <w:lang w:eastAsia="zh-CN"/>
              </w:rPr>
              <w:t>capabilities</w:t>
            </w:r>
            <w:r>
              <w:rPr>
                <w:rFonts w:eastAsia="SimSun" w:hint="eastAsia"/>
                <w:lang w:eastAsia="zh-CN"/>
              </w:rPr>
              <w:t xml:space="preserve"> for offloading and relaxation. </w:t>
            </w:r>
          </w:p>
          <w:p w14:paraId="6AD5CCA1" w14:textId="77777777" w:rsidR="002F0531" w:rsidRDefault="002F0531" w:rsidP="002F0531">
            <w:pPr>
              <w:pStyle w:val="Doc-text2"/>
              <w:rPr>
                <w:rFonts w:eastAsia="SimSun"/>
                <w:lang w:eastAsia="zh-CN"/>
              </w:rPr>
            </w:pPr>
            <w:r>
              <w:rPr>
                <w:rFonts w:eastAsia="SimSun" w:hint="eastAsia"/>
                <w:lang w:eastAsia="zh-CN"/>
              </w:rPr>
              <w:t>-</w:t>
            </w:r>
            <w:r>
              <w:rPr>
                <w:rFonts w:eastAsia="SimSun" w:hint="eastAsia"/>
                <w:lang w:eastAsia="zh-CN"/>
              </w:rPr>
              <w:tab/>
              <w:t xml:space="preserve">QC want to </w:t>
            </w:r>
            <w:r>
              <w:rPr>
                <w:rFonts w:eastAsia="SimSun"/>
                <w:lang w:eastAsia="zh-CN"/>
              </w:rPr>
              <w:t>separate</w:t>
            </w:r>
            <w:r>
              <w:rPr>
                <w:rFonts w:eastAsia="SimSun" w:hint="eastAsia"/>
                <w:lang w:eastAsia="zh-CN"/>
              </w:rPr>
              <w:t xml:space="preserve"> the capabilities for LPWUS reception and offloading/relaxation.</w:t>
            </w:r>
          </w:p>
          <w:p w14:paraId="12227C8E" w14:textId="4FD17FA4" w:rsidR="007D0461" w:rsidRDefault="002F0531" w:rsidP="002F0531">
            <w:pPr>
              <w:pStyle w:val="Doc-text2"/>
            </w:pPr>
            <w:r>
              <w:rPr>
                <w:rFonts w:eastAsia="SimSun" w:hint="eastAsia"/>
                <w:lang w:eastAsia="zh-CN"/>
              </w:rPr>
              <w:t>-</w:t>
            </w:r>
            <w:r>
              <w:rPr>
                <w:rFonts w:eastAsia="SimSun"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rPr>
          <w:lang w:val="en-SE"/>
        </w:rPr>
        <w:t>suggests</w:t>
      </w:r>
      <w:r>
        <w:t xml:space="preserve">, we discuss only RAN2 related UE capabilities. </w:t>
      </w:r>
      <w:r w:rsidR="00C869E8">
        <w:rPr>
          <w:lang w:val="en-SE"/>
        </w:rPr>
        <w:t>Based on the progress so far in RAN2, we think that</w:t>
      </w:r>
      <w:r w:rsidR="00136198">
        <w:t xml:space="preserve"> the UE capabilities related to subgrouping</w:t>
      </w:r>
      <w:r w:rsidR="00C869E8">
        <w:rPr>
          <w:lang w:val="en-SE"/>
        </w:rPr>
        <w:t>,</w:t>
      </w:r>
      <w:r w:rsidR="00136198">
        <w:t xml:space="preserve"> and RRM measurement relaxation and </w:t>
      </w:r>
      <w:r w:rsidR="006410A0">
        <w:rPr>
          <w:lang w:val="en-SE"/>
        </w:rPr>
        <w:t xml:space="preserve">fully </w:t>
      </w:r>
      <w:r w:rsidR="00136198">
        <w:t xml:space="preserve">offloading </w:t>
      </w:r>
      <w:r w:rsidR="00C869E8">
        <w:rPr>
          <w:lang w:val="en-SE"/>
        </w:rPr>
        <w:t>are RAN2 related</w:t>
      </w:r>
      <w:r w:rsidR="00136198">
        <w:t>.</w:t>
      </w:r>
    </w:p>
    <w:p w14:paraId="7DC77EE2" w14:textId="3967608C" w:rsidR="009F6247" w:rsidRPr="00230E2A" w:rsidRDefault="00B47CC5" w:rsidP="00175D0D">
      <w:pPr>
        <w:pStyle w:val="Heading2"/>
        <w:spacing w:after="120"/>
        <w:ind w:left="576"/>
        <w:jc w:val="both"/>
        <w:rPr>
          <w:rFonts w:cs="Arial"/>
        </w:rPr>
      </w:pPr>
      <w:r>
        <w:rPr>
          <w:rFonts w:cs="Arial"/>
        </w:rPr>
        <w:t xml:space="preserve">Subgrouping </w:t>
      </w:r>
      <w:r w:rsidR="00C869E8">
        <w:rPr>
          <w:rFonts w:cs="Arial"/>
          <w:lang w:val="en-SE"/>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rPr>
          <w:lang w:val="en-SE"/>
        </w:rPr>
        <w:t xml:space="preserve">For PEI, </w:t>
      </w:r>
      <w:r w:rsidR="0041127F">
        <w:rPr>
          <w:lang w:val="en-SE"/>
        </w:rPr>
        <w:t xml:space="preserve">UE reports </w:t>
      </w:r>
      <w:r>
        <w:rPr>
          <w:lang w:val="en-SE"/>
        </w:rPr>
        <w:t xml:space="preserve">the support of CN-assigned subgrouping </w:t>
      </w:r>
      <w:r w:rsidR="0041127F">
        <w:rPr>
          <w:lang w:val="en-SE"/>
        </w:rPr>
        <w:t xml:space="preserve">to CN </w:t>
      </w:r>
      <w:r w:rsidR="00A26BDD">
        <w:rPr>
          <w:lang w:val="en-SE"/>
        </w:rPr>
        <w:t xml:space="preserve">by NAS signalling (i.e., </w:t>
      </w:r>
      <w:r w:rsidR="0041127F">
        <w:rPr>
          <w:lang w:val="en-SE"/>
        </w:rPr>
        <w:t>in the Registration Request message</w:t>
      </w:r>
      <w:r w:rsidR="00A26BDD">
        <w:rPr>
          <w:lang w:val="en-SE"/>
        </w:rPr>
        <w:t>)</w:t>
      </w:r>
      <w:r w:rsidR="0041127F">
        <w:rPr>
          <w:lang w:val="en-SE"/>
        </w:rPr>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rPr>
          <w:lang w:val="en-SE"/>
        </w:rPr>
        <w:t xml:space="preserve">UE capability reporting of CN-assigned subgrouping for LP-WUS was </w:t>
      </w:r>
      <w:r w:rsidR="00741F2A">
        <w:t xml:space="preserve">captured </w:t>
      </w:r>
      <w:r w:rsidR="00E4633A">
        <w:rPr>
          <w:lang w:val="en-SE"/>
        </w:rPr>
        <w:t xml:space="preserve">by SA2 </w:t>
      </w:r>
      <w:r w:rsidR="00741F2A">
        <w:t xml:space="preserve">[3] </w:t>
      </w:r>
      <w:r w:rsidR="0041127F">
        <w:rPr>
          <w:lang w:val="en-SE"/>
        </w:rPr>
        <w:t>as</w:t>
      </w:r>
      <w:r w:rsidR="00741F2A">
        <w:t xml:space="preserve"> shown below:</w:t>
      </w:r>
    </w:p>
    <w:tbl>
      <w:tblPr>
        <w:tblStyle w:val="TableGrid"/>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DengXian" w:hAnsi="Arial"/>
                <w:sz w:val="24"/>
              </w:rPr>
            </w:pPr>
            <w:bookmarkStart w:id="0" w:name="_Toc185600659"/>
            <w:r w:rsidRPr="000633D1">
              <w:rPr>
                <w:rFonts w:ascii="Arial" w:eastAsia="DengXian" w:hAnsi="Arial"/>
                <w:sz w:val="24"/>
              </w:rPr>
              <w:t>5.4.12a.2</w:t>
            </w:r>
            <w:r w:rsidRPr="000633D1">
              <w:rPr>
                <w:rFonts w:ascii="Arial" w:eastAsia="DengXian" w:hAnsi="Arial"/>
                <w:sz w:val="24"/>
              </w:rPr>
              <w:tab/>
              <w:t>Core Network Assistance for LP-WUSPS</w:t>
            </w:r>
            <w:bookmarkEnd w:id="0"/>
          </w:p>
          <w:p w14:paraId="1F9F1FFE" w14:textId="77777777" w:rsidR="00741F2A" w:rsidRPr="000633D1" w:rsidRDefault="00741F2A" w:rsidP="00C3602C">
            <w:pPr>
              <w:spacing w:line="240" w:lineRule="auto"/>
              <w:rPr>
                <w:rFonts w:eastAsia="DengXian"/>
              </w:rPr>
            </w:pPr>
            <w:r w:rsidRPr="000633D1">
              <w:rPr>
                <w:rFonts w:eastAsia="DengXian"/>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DengXian"/>
              </w:rPr>
            </w:pPr>
            <w:r w:rsidRPr="000633D1">
              <w:rPr>
                <w:rFonts w:eastAsia="DengXian"/>
              </w:rPr>
              <w:t xml:space="preserve">In the Registration Request message, </w:t>
            </w:r>
            <w:r w:rsidRPr="000633D1">
              <w:rPr>
                <w:rFonts w:eastAsia="DengXian"/>
                <w:highlight w:val="yellow"/>
              </w:rPr>
              <w:t>the UE includes the LP-WUS Paging Subgrouping Support Indication if the UE supports LP-WUS Paging Subgrouping</w:t>
            </w:r>
            <w:r w:rsidRPr="000633D1">
              <w:rPr>
                <w:rFonts w:eastAsia="DengXian"/>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lang w:val="en-SE"/>
        </w:rPr>
        <w:t>_</w:t>
      </w:r>
      <w:r w:rsidRPr="008967AC">
        <w:rPr>
          <w:b/>
          <w:u w:val="single"/>
        </w:rPr>
        <w:t>ID</w:t>
      </w:r>
      <w:r w:rsidR="000442C6">
        <w:rPr>
          <w:b/>
          <w:u w:val="single"/>
          <w:lang w:val="en-SE"/>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rPr>
          <w:lang w:val="en-SE"/>
        </w:rPr>
        <w:t>_</w:t>
      </w:r>
      <w:r w:rsidRPr="00836AEC">
        <w:t>ID</w:t>
      </w:r>
      <w:r w:rsidR="000442C6">
        <w:rPr>
          <w:lang w:val="en-SE"/>
        </w:rPr>
        <w:t xml:space="preserve"> </w:t>
      </w:r>
      <w:r w:rsidRPr="00836AEC">
        <w:t>based subgrouping</w:t>
      </w:r>
      <w:r>
        <w:t xml:space="preserve"> capability is coupled with PEI capability. That is if a UE supports PEI reception, it shall also support UE</w:t>
      </w:r>
      <w:r w:rsidR="000442C6">
        <w:rPr>
          <w:lang w:val="en-SE"/>
        </w:rPr>
        <w:t>_</w:t>
      </w:r>
      <w:r>
        <w:t>ID based subgrouping.</w:t>
      </w:r>
    </w:p>
    <w:tbl>
      <w:tblPr>
        <w:tblStyle w:val="TableGrid"/>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RAN1 UE features are provided in Appendix.</w:t>
      </w:r>
      <w:r w:rsidR="00B46F7E">
        <w:rPr>
          <w:lang w:val="en-SE"/>
        </w:rPr>
        <w:t xml:space="preserve"> </w:t>
      </w:r>
      <w:r>
        <w:t>Hence, support of LP-WUS reception in IDLE/INACTIVE by any type of LR indicates supporting UE</w:t>
      </w:r>
      <w:r w:rsidR="000442C6">
        <w:rPr>
          <w:lang w:val="en-SE"/>
        </w:rPr>
        <w:t>_</w:t>
      </w:r>
      <w:r>
        <w:t>ID</w:t>
      </w:r>
      <w:r w:rsidR="000442C6">
        <w:rPr>
          <w:lang w:val="en-SE"/>
        </w:rPr>
        <w:t xml:space="preserve"> </w:t>
      </w:r>
      <w:r>
        <w:t>based subgrouping</w:t>
      </w:r>
      <w:r w:rsidR="00140428">
        <w:rPr>
          <w:lang w:val="en-SE"/>
        </w:rPr>
        <w:t xml:space="preserve"> by default</w:t>
      </w:r>
      <w:r w:rsidR="00C54F31">
        <w:t xml:space="preserve"> and there is no need to define a separate capability for supporting UE</w:t>
      </w:r>
      <w:r w:rsidR="000442C6">
        <w:rPr>
          <w:lang w:val="en-SE"/>
        </w:rPr>
        <w:t>_</w:t>
      </w:r>
      <w:r w:rsidR="00C54F31">
        <w:t>ID based subgrouping.</w:t>
      </w:r>
      <w:r w:rsidR="00972764">
        <w:t xml:space="preserve"> </w:t>
      </w:r>
    </w:p>
    <w:p w14:paraId="1FCE481A" w14:textId="6F489DD2"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lang w:val="en-SE"/>
        </w:rPr>
        <w:t xml:space="preserve">a UE supporting LP-WUS in IDLE/INACTIVE supports UE_ID based subgrouping by default and thus </w:t>
      </w:r>
      <w:r w:rsidR="00C54F31">
        <w:rPr>
          <w:sz w:val="20"/>
        </w:rPr>
        <w:t xml:space="preserve">there is no need to define </w:t>
      </w:r>
      <w:r w:rsidR="000C608D">
        <w:rPr>
          <w:sz w:val="20"/>
          <w:lang w:val="en-SE"/>
        </w:rPr>
        <w:t xml:space="preserve">a </w:t>
      </w:r>
      <w:bookmarkStart w:id="1" w:name="_GoBack"/>
      <w:bookmarkEnd w:id="1"/>
      <w:r w:rsidR="00C54F31">
        <w:rPr>
          <w:sz w:val="20"/>
        </w:rPr>
        <w:t>separate capability for the support of UE</w:t>
      </w:r>
      <w:r w:rsidR="000442C6">
        <w:rPr>
          <w:sz w:val="20"/>
          <w:lang w:val="en-SE"/>
        </w:rPr>
        <w:t>_</w:t>
      </w:r>
      <w:r w:rsidR="00C54F31">
        <w:rPr>
          <w:sz w:val="20"/>
        </w:rPr>
        <w:t xml:space="preserve">ID based </w:t>
      </w:r>
      <w:r w:rsidR="009449BF">
        <w:rPr>
          <w:sz w:val="20"/>
        </w:rPr>
        <w:t>subgrouping?</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77777777" w:rsidR="00D95A0A" w:rsidRPr="003F5FDC" w:rsidRDefault="00D95A0A" w:rsidP="009F6247"/>
        </w:tc>
        <w:tc>
          <w:tcPr>
            <w:tcW w:w="3210" w:type="dxa"/>
          </w:tcPr>
          <w:p w14:paraId="65190855" w14:textId="77777777" w:rsidR="00D95A0A" w:rsidRPr="003F5FDC" w:rsidRDefault="00D95A0A" w:rsidP="009F6247"/>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77777777" w:rsidR="00D95A0A" w:rsidRPr="003F5FDC" w:rsidRDefault="00D95A0A" w:rsidP="009F6247"/>
        </w:tc>
        <w:tc>
          <w:tcPr>
            <w:tcW w:w="3210" w:type="dxa"/>
          </w:tcPr>
          <w:p w14:paraId="7020B614" w14:textId="77777777" w:rsidR="00D95A0A" w:rsidRPr="003F5FDC" w:rsidRDefault="00D95A0A" w:rsidP="009F6247"/>
        </w:tc>
        <w:tc>
          <w:tcPr>
            <w:tcW w:w="3211" w:type="dxa"/>
          </w:tcPr>
          <w:p w14:paraId="31F600FF" w14:textId="77777777" w:rsidR="00D95A0A" w:rsidRPr="003F5FDC" w:rsidRDefault="00D95A0A"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Heading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rPr>
          <w:lang w:val="en-SE"/>
        </w:rPr>
        <w:t xml:space="preserve">Rel-16 and Rel-17 </w:t>
      </w:r>
      <w:r w:rsidR="006A5EA2">
        <w:t>RRM measurement relaxation capabilities are defined as RAN2 capabilities</w:t>
      </w:r>
      <w:r w:rsidR="005E42E9">
        <w:t xml:space="preserve">, </w:t>
      </w:r>
      <w:r w:rsidR="006A5EA2">
        <w:t xml:space="preserve">capability of RRM measurement </w:t>
      </w:r>
      <w:r w:rsidR="005D40E2">
        <w:rPr>
          <w:lang w:val="en-SE"/>
        </w:rPr>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Heading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TableGrid"/>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77777777" w:rsidR="005E42E9" w:rsidRPr="003F5FDC" w:rsidRDefault="005E42E9" w:rsidP="00C3602C"/>
        </w:tc>
        <w:tc>
          <w:tcPr>
            <w:tcW w:w="3210" w:type="dxa"/>
          </w:tcPr>
          <w:p w14:paraId="34CC4C68" w14:textId="77777777" w:rsidR="005E42E9" w:rsidRPr="003F5FDC" w:rsidRDefault="005E42E9" w:rsidP="00C3602C"/>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77777777" w:rsidR="005E42E9" w:rsidRPr="003F5FDC" w:rsidRDefault="005E42E9" w:rsidP="00C3602C"/>
        </w:tc>
        <w:tc>
          <w:tcPr>
            <w:tcW w:w="3210" w:type="dxa"/>
          </w:tcPr>
          <w:p w14:paraId="72C90FB6" w14:textId="77777777" w:rsidR="005E42E9" w:rsidRPr="003F5FDC" w:rsidRDefault="005E42E9" w:rsidP="00C3602C"/>
        </w:tc>
        <w:tc>
          <w:tcPr>
            <w:tcW w:w="3211" w:type="dxa"/>
          </w:tcPr>
          <w:p w14:paraId="266CB80C" w14:textId="77777777" w:rsidR="005E42E9" w:rsidRPr="003F5FDC" w:rsidRDefault="005E42E9" w:rsidP="00C3602C"/>
        </w:tc>
      </w:tr>
    </w:tbl>
    <w:p w14:paraId="518A4FDB" w14:textId="77777777" w:rsidR="005E42E9" w:rsidRPr="003F5FDC" w:rsidRDefault="005E42E9" w:rsidP="005E42E9"/>
    <w:p w14:paraId="62F63AA2" w14:textId="77777777" w:rsidR="00121B9C" w:rsidRDefault="00121B9C" w:rsidP="00121B9C">
      <w:pPr>
        <w:pStyle w:val="Heading3"/>
      </w:pPr>
      <w:r>
        <w:t>2.2.1 Different Use Cases</w:t>
      </w:r>
    </w:p>
    <w:p w14:paraId="1B343ADC" w14:textId="15CD73C6" w:rsidR="00121B9C" w:rsidRPr="008D124C" w:rsidRDefault="00121B9C" w:rsidP="00121B9C">
      <w:pPr>
        <w:rPr>
          <w:lang w:val="en-SE"/>
        </w:rPr>
      </w:pPr>
      <w:r>
        <w:t xml:space="preserve">After the discussion in RAN2-129bis, we </w:t>
      </w:r>
      <w:r w:rsidR="00F602BF">
        <w:rPr>
          <w:lang w:val="en-SE"/>
        </w:rPr>
        <w:t>think</w:t>
      </w:r>
      <w:r w:rsidR="00F602BF">
        <w:t xml:space="preserve"> </w:t>
      </w:r>
      <w:r>
        <w:t xml:space="preserve">that it’s better to have a common understanding on </w:t>
      </w:r>
      <w:r w:rsidR="0099498A">
        <w:rPr>
          <w:lang w:val="en-SE"/>
        </w:rPr>
        <w:t>the supported</w:t>
      </w:r>
      <w:r w:rsidR="0099498A">
        <w:t xml:space="preserve"> </w:t>
      </w:r>
      <w:r>
        <w:t>use cases regarding UE supporting LP-WUS</w:t>
      </w:r>
      <w:r w:rsidR="007375BB">
        <w:t xml:space="preserve"> reception</w:t>
      </w:r>
      <w:r>
        <w:t xml:space="preserve">, and RRM measurement relaxation and </w:t>
      </w:r>
      <w:r w:rsidR="00147032">
        <w:rPr>
          <w:lang w:val="en-SE"/>
        </w:rPr>
        <w:t xml:space="preserve">fully </w:t>
      </w:r>
      <w:r>
        <w:t xml:space="preserve">offloading. </w:t>
      </w:r>
      <w:r w:rsidR="008D124C">
        <w:rPr>
          <w:lang w:val="en-SE"/>
        </w:rPr>
        <w:t>The following are possible uses cases:</w:t>
      </w:r>
    </w:p>
    <w:tbl>
      <w:tblPr>
        <w:tblStyle w:val="TableGrid"/>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rPr>
                <w:lang w:val="en-SE"/>
              </w:rPr>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lastRenderedPageBreak/>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rPr>
                <w:lang w:val="en-SE"/>
              </w:rPr>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rPr>
                <w:lang w:val="en-SE"/>
              </w:rPr>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rPr>
                <w:lang w:val="en-SE"/>
              </w:rPr>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rPr>
          <w:lang w:val="en-SE"/>
        </w:rPr>
        <w:t xml:space="preserve">Case </w:t>
      </w:r>
      <w:r>
        <w:t>4 need to be supported.</w:t>
      </w:r>
      <w:r w:rsidR="009807E7">
        <w:t xml:space="preserve"> Case 4 means </w:t>
      </w:r>
      <w:r w:rsidR="007B48D4">
        <w:rPr>
          <w:lang w:val="en-SE"/>
        </w:rPr>
        <w:t xml:space="preserve">that </w:t>
      </w:r>
      <w:r w:rsidR="009807E7">
        <w:t xml:space="preserve">LP-WUS reception and RRM measurement relaxation and </w:t>
      </w:r>
      <w:r w:rsidR="006E2942">
        <w:rPr>
          <w:lang w:val="en-SE"/>
        </w:rPr>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rPr>
          <w:lang w:val="en-SE"/>
        </w:rPr>
        <w:t>:</w:t>
      </w:r>
      <w:r w:rsidR="00A370D4">
        <w:t xml:space="preserve"> </w:t>
      </w:r>
    </w:p>
    <w:tbl>
      <w:tblPr>
        <w:tblStyle w:val="TableGrid"/>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360"/>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rPr>
          <w:lang w:val="en-SE"/>
        </w:rPr>
        <w:t xml:space="preserve">relaxation and </w:t>
      </w:r>
      <w:r>
        <w:t xml:space="preserve">fully offloading. Thus, UE supporting </w:t>
      </w:r>
      <w:r w:rsidRPr="003E311A">
        <w:t xml:space="preserve">RRM measurement </w:t>
      </w:r>
      <w:r w:rsidR="005D40E2">
        <w:rPr>
          <w:lang w:val="en-SE"/>
        </w:rPr>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Heading4"/>
        <w:rPr>
          <w:sz w:val="20"/>
        </w:rPr>
      </w:pPr>
      <w:r w:rsidRPr="00230E2A">
        <w:rPr>
          <w:sz w:val="20"/>
        </w:rPr>
        <w:t>Q</w:t>
      </w:r>
      <w:r>
        <w:rPr>
          <w:sz w:val="20"/>
        </w:rPr>
        <w:t>3</w:t>
      </w:r>
      <w:r w:rsidRPr="00230E2A">
        <w:rPr>
          <w:sz w:val="20"/>
        </w:rPr>
        <w:t xml:space="preserve">: </w:t>
      </w:r>
      <w:r>
        <w:rPr>
          <w:sz w:val="20"/>
        </w:rPr>
        <w:t>Which of the above use</w:t>
      </w:r>
      <w:r w:rsidR="00B16566">
        <w:rPr>
          <w:sz w:val="20"/>
          <w:lang w:val="en-SE"/>
        </w:rPr>
        <w:t xml:space="preserve"> case</w:t>
      </w:r>
      <w:r>
        <w:rPr>
          <w:sz w:val="20"/>
        </w:rPr>
        <w:t>s do you think should be supported?</w:t>
      </w:r>
    </w:p>
    <w:tbl>
      <w:tblPr>
        <w:tblStyle w:val="TableGrid"/>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77777777" w:rsidR="00121B9C" w:rsidRPr="003F5FDC" w:rsidRDefault="00121B9C" w:rsidP="00C3602C"/>
        </w:tc>
        <w:tc>
          <w:tcPr>
            <w:tcW w:w="3210" w:type="dxa"/>
          </w:tcPr>
          <w:p w14:paraId="435F0259" w14:textId="77777777" w:rsidR="00121B9C" w:rsidRPr="003F5FDC" w:rsidRDefault="00121B9C" w:rsidP="00C3602C"/>
        </w:tc>
        <w:tc>
          <w:tcPr>
            <w:tcW w:w="3211" w:type="dxa"/>
          </w:tcPr>
          <w:p w14:paraId="2EE9E959" w14:textId="77777777" w:rsidR="00121B9C" w:rsidRPr="003F5FDC" w:rsidRDefault="00121B9C" w:rsidP="00C3602C"/>
        </w:tc>
      </w:tr>
      <w:tr w:rsidR="00121B9C" w:rsidRPr="003F5FDC" w14:paraId="4D652FC5" w14:textId="77777777" w:rsidTr="00C3602C">
        <w:tc>
          <w:tcPr>
            <w:tcW w:w="3210" w:type="dxa"/>
          </w:tcPr>
          <w:p w14:paraId="332D58A0" w14:textId="77777777" w:rsidR="00121B9C" w:rsidRPr="003F5FDC" w:rsidRDefault="00121B9C" w:rsidP="00C3602C"/>
        </w:tc>
        <w:tc>
          <w:tcPr>
            <w:tcW w:w="3210" w:type="dxa"/>
          </w:tcPr>
          <w:p w14:paraId="6DADBC3A" w14:textId="77777777" w:rsidR="00121B9C" w:rsidRPr="003F5FDC" w:rsidRDefault="00121B9C" w:rsidP="00C3602C"/>
        </w:tc>
        <w:tc>
          <w:tcPr>
            <w:tcW w:w="3211" w:type="dxa"/>
          </w:tcPr>
          <w:p w14:paraId="3D1AEF90" w14:textId="77777777" w:rsidR="00121B9C" w:rsidRPr="003F5FDC" w:rsidRDefault="00121B9C" w:rsidP="00C3602C"/>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rPr>
          <w:lang w:val="en-SE"/>
        </w:rPr>
        <w:t xml:space="preserve">fully </w:t>
      </w:r>
      <w:r w:rsidR="00A35C07">
        <w:t>offloading can be defined as “</w:t>
      </w:r>
      <w:r w:rsidR="00A35C07" w:rsidRPr="00BB664E">
        <w:t>Conditionally mandatory features without</w:t>
      </w:r>
      <w:r w:rsidR="00A35C07">
        <w:t xml:space="preserve"> signalling”, as </w:t>
      </w:r>
      <w:r w:rsidR="00104957">
        <w:rPr>
          <w:lang w:val="en-SE"/>
        </w:rPr>
        <w:t xml:space="preserve">described by </w:t>
      </w:r>
      <w:r w:rsidR="00A35C07">
        <w:t>Option 1 below</w:t>
      </w:r>
      <w:r>
        <w:t xml:space="preserve">. </w:t>
      </w:r>
      <w:r w:rsidR="00A35C07">
        <w:t xml:space="preserve">If all use cases need to </w:t>
      </w:r>
      <w:r w:rsidR="00FD70B1">
        <w:rPr>
          <w:lang w:val="en-SE"/>
        </w:rPr>
        <w:t xml:space="preserve">be </w:t>
      </w:r>
      <w:r w:rsidR="00A35C07">
        <w:t xml:space="preserve">supported, then separate optional capability for RRM measurement relaxation and </w:t>
      </w:r>
      <w:r w:rsidR="006410A0">
        <w:rPr>
          <w:lang w:val="en-SE"/>
        </w:rPr>
        <w:t xml:space="preserve">fully </w:t>
      </w:r>
      <w:r w:rsidR="00A35C07">
        <w:t xml:space="preserve">offloading </w:t>
      </w:r>
      <w:r w:rsidR="00104957">
        <w:rPr>
          <w:lang w:val="en-SE"/>
        </w:rPr>
        <w:t xml:space="preserve">is </w:t>
      </w:r>
      <w:r w:rsidR="00A35C07">
        <w:t>need</w:t>
      </w:r>
      <w:r w:rsidR="00104957">
        <w:rPr>
          <w:lang w:val="en-SE"/>
        </w:rPr>
        <w:t>ed</w:t>
      </w:r>
      <w:r w:rsidR="00A35C07">
        <w:t xml:space="preserve">, as </w:t>
      </w:r>
      <w:r w:rsidR="00650D44">
        <w:rPr>
          <w:lang w:val="en-SE"/>
        </w:rPr>
        <w:t xml:space="preserve">described by </w:t>
      </w:r>
      <w:r w:rsidR="00A35C07">
        <w:t xml:space="preserve">Option </w:t>
      </w:r>
      <w:r w:rsidR="00104957">
        <w:rPr>
          <w:lang w:val="en-SE"/>
        </w:rPr>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rPr>
          <w:lang w:val="en-SE"/>
        </w:rPr>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rPr>
          <w:lang w:val="en-SE"/>
        </w:rPr>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rPr>
          <w:lang w:val="en-SE"/>
        </w:rPr>
        <w:t>RRM measurement</w:t>
      </w:r>
      <w:r w:rsidR="001B776B">
        <w:rPr>
          <w:lang w:val="en-SE"/>
        </w:rPr>
        <w:t xml:space="preserve"> </w:t>
      </w:r>
      <w:r w:rsidR="005E5AEB">
        <w:rPr>
          <w:lang w:val="en-SE"/>
        </w:rPr>
        <w:t xml:space="preserve">relaxation and </w:t>
      </w:r>
      <w:r w:rsidR="001B776B">
        <w:rPr>
          <w:lang w:val="en-SE"/>
        </w:rPr>
        <w:t xml:space="preserve">RRM measurement </w:t>
      </w:r>
      <w:r w:rsidR="005E5AEB" w:rsidRPr="00BB664E">
        <w:t>fully offloading</w:t>
      </w:r>
      <w:r w:rsidR="00617BEF">
        <w:rPr>
          <w:lang w:val="en-SE"/>
        </w:rPr>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Heading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Heading4"/>
        <w:rPr>
          <w:sz w:val="20"/>
        </w:rPr>
      </w:pPr>
      <w:r w:rsidRPr="00230E2A">
        <w:rPr>
          <w:sz w:val="20"/>
        </w:rPr>
        <w:lastRenderedPageBreak/>
        <w:t>Q</w:t>
      </w:r>
      <w:r>
        <w:rPr>
          <w:sz w:val="20"/>
        </w:rPr>
        <w:t>4</w:t>
      </w:r>
      <w:r w:rsidR="005E0448" w:rsidRPr="00230E2A">
        <w:rPr>
          <w:sz w:val="20"/>
        </w:rPr>
        <w:t>: If there are any other issues, please provide them below.</w:t>
      </w:r>
    </w:p>
    <w:tbl>
      <w:tblPr>
        <w:tblStyle w:val="TableGrid"/>
        <w:tblW w:w="0" w:type="auto"/>
        <w:tblLook w:val="04A0" w:firstRow="1" w:lastRow="0" w:firstColumn="1" w:lastColumn="0" w:noHBand="0" w:noVBand="1"/>
      </w:tblPr>
      <w:tblGrid>
        <w:gridCol w:w="4815"/>
        <w:gridCol w:w="4816"/>
      </w:tblGrid>
      <w:tr w:rsidR="005E0448" w:rsidRPr="003F5FDC" w14:paraId="78B26E55" w14:textId="77777777" w:rsidTr="004F5D20">
        <w:tc>
          <w:tcPr>
            <w:tcW w:w="4815" w:type="dxa"/>
          </w:tcPr>
          <w:p w14:paraId="7EFB9B70" w14:textId="77777777" w:rsidR="005E0448" w:rsidRPr="003F5FDC" w:rsidRDefault="005E0448" w:rsidP="004F5D20">
            <w:r w:rsidRPr="003F5FDC">
              <w:t>Company</w:t>
            </w:r>
          </w:p>
        </w:tc>
        <w:tc>
          <w:tcPr>
            <w:tcW w:w="4816" w:type="dxa"/>
          </w:tcPr>
          <w:p w14:paraId="15870AB5" w14:textId="77777777" w:rsidR="005E0448" w:rsidRPr="003F5FDC" w:rsidRDefault="005E0448" w:rsidP="004F5D20">
            <w:r w:rsidRPr="003F5FDC">
              <w:t>Comments</w:t>
            </w:r>
          </w:p>
        </w:tc>
      </w:tr>
      <w:tr w:rsidR="005E0448" w:rsidRPr="003F5FDC" w14:paraId="51798AEA" w14:textId="77777777" w:rsidTr="004F5D20">
        <w:tc>
          <w:tcPr>
            <w:tcW w:w="4815" w:type="dxa"/>
          </w:tcPr>
          <w:p w14:paraId="703FB600" w14:textId="77777777" w:rsidR="005E0448" w:rsidRPr="003F5FDC" w:rsidRDefault="005E0448" w:rsidP="004F5D20"/>
        </w:tc>
        <w:tc>
          <w:tcPr>
            <w:tcW w:w="4816" w:type="dxa"/>
          </w:tcPr>
          <w:p w14:paraId="57361968" w14:textId="77777777" w:rsidR="005E0448" w:rsidRPr="003F5FDC" w:rsidRDefault="005E0448" w:rsidP="004F5D20"/>
        </w:tc>
      </w:tr>
      <w:tr w:rsidR="005E0448" w:rsidRPr="003F5FDC" w14:paraId="35405BBD" w14:textId="77777777" w:rsidTr="004F5D20">
        <w:tc>
          <w:tcPr>
            <w:tcW w:w="4815" w:type="dxa"/>
          </w:tcPr>
          <w:p w14:paraId="3ED30E92" w14:textId="77777777" w:rsidR="005E0448" w:rsidRPr="003F5FDC" w:rsidRDefault="005E0448" w:rsidP="004F5D20"/>
        </w:tc>
        <w:tc>
          <w:tcPr>
            <w:tcW w:w="4816" w:type="dxa"/>
          </w:tcPr>
          <w:p w14:paraId="41E2CF88" w14:textId="77777777" w:rsidR="005E0448" w:rsidRPr="003F5FDC" w:rsidRDefault="005E0448" w:rsidP="004F5D20"/>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76072449"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2"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2"/>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ListParagraph"/>
        <w:numPr>
          <w:ilvl w:val="0"/>
          <w:numId w:val="7"/>
        </w:numPr>
        <w:jc w:val="both"/>
      </w:pPr>
      <w:bookmarkStart w:id="3"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3"/>
    </w:p>
    <w:p w14:paraId="4DCA9BFB" w14:textId="70CEBBAE" w:rsidR="00741F2A" w:rsidRPr="003F5FDC" w:rsidRDefault="00741F2A" w:rsidP="000A0C6D">
      <w:pPr>
        <w:pStyle w:val="ListParagraph"/>
        <w:numPr>
          <w:ilvl w:val="0"/>
          <w:numId w:val="7"/>
        </w:numPr>
        <w:jc w:val="both"/>
      </w:pPr>
      <w:r w:rsidRPr="00A67EDF">
        <w:rPr>
          <w:rFonts w:ascii="Times New Roman" w:eastAsia="SimSun" w:hAnsi="Times New Roman"/>
          <w:szCs w:val="20"/>
        </w:rPr>
        <w:t>3GPP TS 23.501</w:t>
      </w:r>
      <w:r>
        <w:rPr>
          <w:rFonts w:ascii="Times New Roman" w:eastAsia="SimSun" w:hAnsi="Times New Roman"/>
          <w:szCs w:val="20"/>
        </w:rPr>
        <w:t xml:space="preserve">, </w:t>
      </w:r>
      <w:r w:rsidRPr="00A67EDF">
        <w:rPr>
          <w:rFonts w:ascii="Times New Roman" w:eastAsia="SimSun" w:hAnsi="Times New Roman"/>
          <w:szCs w:val="20"/>
        </w:rPr>
        <w:t>System architecture for the 5G System (5GS);</w:t>
      </w:r>
      <w:r>
        <w:rPr>
          <w:rFonts w:ascii="Times New Roman" w:eastAsia="SimSun" w:hAnsi="Times New Roman" w:hint="eastAsia"/>
          <w:szCs w:val="20"/>
        </w:rPr>
        <w:t xml:space="preserve"> </w:t>
      </w:r>
      <w:r w:rsidRPr="00A67EDF">
        <w:rPr>
          <w:rFonts w:ascii="Times New Roman" w:eastAsia="SimSun" w:hAnsi="Times New Roman"/>
          <w:szCs w:val="20"/>
        </w:rPr>
        <w:t>Stage 2</w:t>
      </w:r>
      <w:r>
        <w:rPr>
          <w:rFonts w:ascii="Times New Roman" w:eastAsia="SimSun" w:hAnsi="Times New Roman"/>
          <w:szCs w:val="20"/>
        </w:rPr>
        <w:t xml:space="preserve"> </w:t>
      </w:r>
      <w:r w:rsidRPr="00577014">
        <w:rPr>
          <w:rFonts w:ascii="Times New Roman" w:eastAsia="SimSun" w:hAnsi="Times New Roman"/>
          <w:szCs w:val="20"/>
        </w:rPr>
        <w:t>(Release 19</w:t>
      </w:r>
      <w:r>
        <w:rPr>
          <w:rFonts w:ascii="Times New Roman" w:eastAsia="SimSun" w:hAnsi="Times New Roman"/>
          <w:szCs w:val="20"/>
        </w:rPr>
        <w:t>).</w:t>
      </w:r>
    </w:p>
    <w:p w14:paraId="25EB712C" w14:textId="1680EAB9" w:rsidR="00C54F31" w:rsidRDefault="00C54F31">
      <w:pPr>
        <w:pStyle w:val="Heading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SimSun" w:cs="Arial"/>
                <w:color w:val="000000"/>
                <w:sz w:val="18"/>
                <w:szCs w:val="18"/>
                <w:highlight w:val="yellow"/>
                <w:lang w:eastAsia="zh-CN"/>
              </w:rPr>
            </w:pPr>
            <w:r w:rsidRPr="00B57208">
              <w:rPr>
                <w:rFonts w:eastAsia="SimSun"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B57208">
              <w:rPr>
                <w:rFonts w:eastAsia="SimSun" w:cs="Arial"/>
                <w:color w:val="000000"/>
                <w:sz w:val="18"/>
                <w:szCs w:val="18"/>
                <w:highlight w:val="yellow"/>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SimSun"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SimSun" w:cs="Arial"/>
                <w:color w:val="000000"/>
                <w:sz w:val="18"/>
                <w:szCs w:val="18"/>
              </w:rPr>
            </w:pPr>
          </w:p>
          <w:p w14:paraId="1F7A7407" w14:textId="77777777" w:rsidR="00B52D4C" w:rsidRPr="00B57208" w:rsidRDefault="00B52D4C" w:rsidP="00C3602C">
            <w:pPr>
              <w:keepNext/>
              <w:keepLines/>
              <w:spacing w:after="0" w:line="240" w:lineRule="auto"/>
              <w:rPr>
                <w:rFonts w:eastAsia="SimSun" w:cs="Arial"/>
                <w:strike/>
                <w:color w:val="000000"/>
                <w:sz w:val="18"/>
                <w:szCs w:val="18"/>
              </w:rPr>
            </w:pPr>
            <w:r w:rsidRPr="00B57208">
              <w:rPr>
                <w:rFonts w:eastAsia="SimSun"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SimSun"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SimSun"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SimSun"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SimSun" w:cs="Arial"/>
                <w:color w:val="000000"/>
                <w:sz w:val="18"/>
                <w:szCs w:val="18"/>
                <w:lang w:eastAsia="zh-CN"/>
              </w:rPr>
              <w:t xml:space="preserve">LP-WUS frequency resource outside active DL BWP </w:t>
            </w:r>
            <w:r w:rsidRPr="0042742D">
              <w:rPr>
                <w:rFonts w:eastAsia="SimSun" w:cs="Arial"/>
                <w:strike/>
                <w:color w:val="FF0000"/>
                <w:sz w:val="18"/>
                <w:szCs w:val="18"/>
                <w:lang w:eastAsia="zh-CN"/>
              </w:rPr>
              <w:t>in addition to the one within active DL BWP</w:t>
            </w:r>
            <w:r w:rsidRPr="00B57208">
              <w:rPr>
                <w:rFonts w:eastAsia="SimSun"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SimSun"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SimSun"/>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SimSun"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SimSun" w:cs="Arial"/>
                <w:color w:val="000000"/>
                <w:sz w:val="18"/>
                <w:szCs w:val="18"/>
                <w:highlight w:val="yellow"/>
              </w:rPr>
            </w:pPr>
            <w:r w:rsidRPr="00B57208">
              <w:rPr>
                <w:rFonts w:eastAsia="SimSun"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SimSun" w:cs="Arial"/>
                <w:strike/>
                <w:color w:val="FF0000"/>
                <w:sz w:val="18"/>
                <w:szCs w:val="18"/>
              </w:rPr>
            </w:pPr>
            <w:r>
              <w:rPr>
                <w:rFonts w:eastAsia="Yu Mincho" w:cs="Arial" w:hint="eastAsia"/>
                <w:strike/>
                <w:color w:val="FF0000"/>
                <w:sz w:val="18"/>
                <w:szCs w:val="18"/>
                <w:lang w:eastAsia="ja-JP"/>
              </w:rPr>
              <w:t>[</w:t>
            </w: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sidRPr="00D01C26">
              <w:rPr>
                <w:rFonts w:eastAsia="SimSun" w:cs="Arial"/>
                <w:color w:val="FF0000"/>
                <w:sz w:val="18"/>
                <w:szCs w:val="18"/>
                <w:lang w:eastAsia="zh-CN"/>
              </w:rPr>
              <w:t>overlaid</w:t>
            </w:r>
            <w:r w:rsidRPr="00B57208">
              <w:rPr>
                <w:rFonts w:eastAsia="SimSun"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SimSun" w:cs="Arial"/>
                <w:color w:val="000000"/>
                <w:sz w:val="18"/>
                <w:szCs w:val="18"/>
                <w:lang w:eastAsia="zh-CN"/>
              </w:rPr>
            </w:pPr>
            <w:r w:rsidRPr="00B57208">
              <w:rPr>
                <w:rFonts w:eastAsia="SimSun"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SimSun"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SimSun"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SimSun" w:cs="Arial"/>
                <w:color w:val="000000"/>
                <w:sz w:val="18"/>
                <w:szCs w:val="18"/>
              </w:rPr>
            </w:pPr>
            <w:r w:rsidRPr="00B57208">
              <w:rPr>
                <w:rFonts w:eastAsia="SimSun"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SimSun" w:cs="Arial"/>
                <w:color w:val="000000"/>
                <w:sz w:val="18"/>
                <w:szCs w:val="18"/>
              </w:rPr>
            </w:pPr>
          </w:p>
          <w:p w14:paraId="20B145B8" w14:textId="77777777" w:rsidR="00B52D4C" w:rsidRPr="00D01C26" w:rsidRDefault="00B52D4C" w:rsidP="00C3602C">
            <w:pPr>
              <w:keepNext/>
              <w:keepLines/>
              <w:spacing w:after="0" w:line="240" w:lineRule="auto"/>
              <w:rPr>
                <w:rFonts w:eastAsia="SimSun" w:cs="Arial"/>
                <w:strike/>
                <w:color w:val="FF0000"/>
                <w:sz w:val="18"/>
                <w:szCs w:val="18"/>
              </w:rPr>
            </w:pPr>
            <w:r w:rsidRPr="00D01C26">
              <w:rPr>
                <w:rFonts w:eastAsia="SimSun"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SimSun" w:cs="Arial"/>
                <w:color w:val="000000"/>
                <w:sz w:val="18"/>
                <w:szCs w:val="18"/>
                <w:lang w:eastAsia="ja-JP"/>
              </w:rPr>
            </w:pPr>
            <w:r w:rsidRPr="00B57208">
              <w:rPr>
                <w:rFonts w:eastAsia="SimSun"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0C50" w14:textId="77777777" w:rsidR="00867A53" w:rsidRDefault="00867A53">
      <w:pPr>
        <w:spacing w:after="0" w:line="240" w:lineRule="auto"/>
      </w:pPr>
      <w:r>
        <w:separator/>
      </w:r>
    </w:p>
  </w:endnote>
  <w:endnote w:type="continuationSeparator" w:id="0">
    <w:p w14:paraId="50C32042" w14:textId="77777777" w:rsidR="00867A53" w:rsidRDefault="0086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B13FBD" w:rsidRDefault="00B13FBD">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D1A17" w14:textId="77777777" w:rsidR="00867A53" w:rsidRDefault="00867A53">
      <w:pPr>
        <w:spacing w:after="0" w:line="240" w:lineRule="auto"/>
      </w:pPr>
      <w:r>
        <w:separator/>
      </w:r>
    </w:p>
  </w:footnote>
  <w:footnote w:type="continuationSeparator" w:id="0">
    <w:p w14:paraId="6E80F87E" w14:textId="77777777" w:rsidR="00867A53" w:rsidRDefault="0086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8"/>
  </w:num>
  <w:num w:numId="3">
    <w:abstractNumId w:val="5"/>
  </w:num>
  <w:num w:numId="4">
    <w:abstractNumId w:val="2"/>
  </w:num>
  <w:num w:numId="5">
    <w:abstractNumId w:val="7"/>
  </w:num>
  <w:num w:numId="6">
    <w:abstractNumId w:val="9"/>
  </w:num>
  <w:num w:numId="7">
    <w:abstractNumId w:val="0"/>
  </w:num>
  <w:num w:numId="8">
    <w:abstractNumId w:val="3"/>
  </w:num>
  <w:num w:numId="9">
    <w:abstractNumId w:val="1"/>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9580E-2DF7-4366-BF35-1C6A9A16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10</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HW-Rama Kumar</cp:lastModifiedBy>
  <cp:revision>45</cp:revision>
  <cp:lastPrinted>2020-09-15T00:04:00Z</cp:lastPrinted>
  <dcterms:created xsi:type="dcterms:W3CDTF">2025-04-16T10:17:00Z</dcterms:created>
  <dcterms:modified xsi:type="dcterms:W3CDTF">2025-04-22T11:58:00Z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ies>
</file>