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70"/>
        <w:gridCol w:w="3982"/>
        <w:gridCol w:w="4781"/>
        <w:gridCol w:w="3815"/>
      </w:tblGrid>
      <w:tr w:rsidR="00F93BC7" w:rsidRPr="00A644F2" w14:paraId="137D5423" w14:textId="77777777" w:rsidTr="00A47D0D">
        <w:tc>
          <w:tcPr>
            <w:tcW w:w="137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98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4781"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381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A47D0D">
        <w:tc>
          <w:tcPr>
            <w:tcW w:w="137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982"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4781"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3815"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A47D0D">
        <w:tc>
          <w:tcPr>
            <w:tcW w:w="137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98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4781"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381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2FAA2619" w:rsidR="00CE4CCB" w:rsidRPr="00A644F2" w:rsidRDefault="00CE4CCB">
            <w:pPr>
              <w:rPr>
                <w:rFonts w:ascii="Calibri" w:hAnsi="Calibri" w:cs="Calibri"/>
                <w:sz w:val="20"/>
                <w:szCs w:val="21"/>
              </w:rPr>
            </w:pPr>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A47D0D">
        <w:tc>
          <w:tcPr>
            <w:tcW w:w="137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98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4781"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381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A47D0D">
        <w:tc>
          <w:tcPr>
            <w:tcW w:w="137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98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4781"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381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A47D0D">
        <w:tc>
          <w:tcPr>
            <w:tcW w:w="137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98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4781"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381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A47D0D">
        <w:tc>
          <w:tcPr>
            <w:tcW w:w="137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98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4781"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381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C0294F" w:rsidRPr="00A644F2" w14:paraId="2D79776E" w14:textId="77777777" w:rsidTr="00A47D0D">
        <w:tc>
          <w:tcPr>
            <w:tcW w:w="137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98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t>
            </w:r>
            <w:r>
              <w:rPr>
                <w:rFonts w:ascii="Calibri" w:hAnsi="Calibri" w:cs="Calibri"/>
                <w:sz w:val="20"/>
                <w:szCs w:val="21"/>
              </w:rPr>
              <w:lastRenderedPageBreak/>
              <w:t xml:space="preserve">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4781"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R</w:t>
            </w:r>
            <w:r>
              <w:rPr>
                <w:rFonts w:ascii="Calibri" w:hAnsi="Calibri" w:cs="Calibri"/>
                <w:sz w:val="20"/>
                <w:szCs w:val="21"/>
              </w:rPr>
              <w:t>emove comma before “]]”.</w:t>
            </w:r>
          </w:p>
        </w:tc>
        <w:tc>
          <w:tcPr>
            <w:tcW w:w="381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spotting this. Two such cases with </w:t>
            </w:r>
            <w:r>
              <w:rPr>
                <w:rFonts w:ascii="Calibri" w:eastAsia="Times New Roman" w:hAnsi="Calibri" w:cs="Calibri"/>
                <w:kern w:val="0"/>
                <w:sz w:val="20"/>
                <w:szCs w:val="20"/>
                <w:lang w:eastAsia="en-US"/>
              </w:rPr>
              <w:lastRenderedPageBreak/>
              <w:t>“</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A47D0D">
        <w:tc>
          <w:tcPr>
            <w:tcW w:w="137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98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4781"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381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A47D0D">
        <w:tc>
          <w:tcPr>
            <w:tcW w:w="137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98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4781"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381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A47D0D">
        <w:tc>
          <w:tcPr>
            <w:tcW w:w="137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98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4781"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381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A47D0D">
        <w:tc>
          <w:tcPr>
            <w:tcW w:w="1370"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LGE001</w:t>
            </w:r>
          </w:p>
        </w:tc>
        <w:tc>
          <w:tcPr>
            <w:tcW w:w="3982"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4781"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381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A47D0D">
        <w:tc>
          <w:tcPr>
            <w:tcW w:w="1370"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398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4781"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3815" w:type="dxa"/>
          </w:tcPr>
          <w:p w14:paraId="461B1A04" w14:textId="6A47908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paramters, shall be listed together with the legacy thresholds. To be revised in the next version. </w:t>
            </w:r>
          </w:p>
        </w:tc>
      </w:tr>
      <w:tr w:rsidR="007024BC" w:rsidRPr="00A644F2" w14:paraId="0DD3BD16" w14:textId="77777777" w:rsidTr="00A47D0D">
        <w:tc>
          <w:tcPr>
            <w:tcW w:w="1370"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982"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4781"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w:t>
            </w:r>
            <w:r>
              <w:rPr>
                <w:rFonts w:ascii="Calibri" w:eastAsia="Malgun Gothic" w:hAnsi="Calibri" w:cs="Calibri" w:hint="eastAsia"/>
                <w:sz w:val="20"/>
                <w:szCs w:val="21"/>
                <w:lang w:eastAsia="ko-KR"/>
              </w:rPr>
              <w:lastRenderedPageBreak/>
              <w:t>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381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A47D0D">
        <w:tc>
          <w:tcPr>
            <w:tcW w:w="1370"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982"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4781"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381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A47D0D">
        <w:tc>
          <w:tcPr>
            <w:tcW w:w="1370"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982"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4781"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TwoStep IE) is included in the BFR config. In this case, even though the RA is initiated for Beam failure recovery, CBRA is performed due to no CFRA resource in BFR config. Note that it is different fallback from CFRA to CBRA, which is </w:t>
            </w:r>
            <w:r>
              <w:rPr>
                <w:rFonts w:ascii="Calibri" w:eastAsia="Malgun Gothic" w:hAnsi="Calibri" w:cs="Calibri" w:hint="eastAsia"/>
                <w:sz w:val="20"/>
                <w:szCs w:val="21"/>
                <w:lang w:val="en-GB" w:eastAsia="ko-KR"/>
              </w:rPr>
              <w:lastRenderedPageBreak/>
              <w:t>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381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A47D0D">
        <w:tc>
          <w:tcPr>
            <w:tcW w:w="1370"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982"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4781"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381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A47D0D">
        <w:tc>
          <w:tcPr>
            <w:tcW w:w="1370"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98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4781"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381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A47D0D">
        <w:tc>
          <w:tcPr>
            <w:tcW w:w="1370"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98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4781"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w:t>
            </w:r>
            <w:r>
              <w:rPr>
                <w:rFonts w:ascii="Calibri" w:eastAsia="Malgun Gothic" w:hAnsi="Calibri" w:cs="Calibri" w:hint="eastAsia"/>
                <w:sz w:val="20"/>
                <w:szCs w:val="21"/>
                <w:lang w:eastAsia="ko-KR"/>
              </w:rPr>
              <w:lastRenderedPageBreak/>
              <w:t xml:space="preserve">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381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Add one line with a new field </w:t>
            </w:r>
            <w:r w:rsidRPr="00EB24CB">
              <w:rPr>
                <w:rFonts w:ascii="Calibri" w:eastAsia="Times New Roman" w:hAnsi="Calibri" w:cs="Calibri"/>
                <w:kern w:val="0"/>
                <w:sz w:val="20"/>
                <w:szCs w:val="20"/>
                <w:lang w:eastAsia="en-US"/>
              </w:rPr>
              <w:t>pucch-CSI-</w:t>
            </w:r>
            <w:r w:rsidRPr="00EB24CB">
              <w:rPr>
                <w:rFonts w:ascii="Calibri" w:eastAsia="Times New Roman" w:hAnsi="Calibri" w:cs="Calibri"/>
                <w:kern w:val="0"/>
                <w:sz w:val="20"/>
                <w:szCs w:val="20"/>
                <w:lang w:eastAsia="en-US"/>
              </w:rPr>
              <w:lastRenderedPageBreak/>
              <w:t>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7024BC" w:rsidRPr="00A644F2" w14:paraId="45E598A9" w14:textId="77777777" w:rsidTr="00A47D0D">
        <w:tc>
          <w:tcPr>
            <w:tcW w:w="1370"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398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4781"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381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A47D0D">
        <w:tc>
          <w:tcPr>
            <w:tcW w:w="137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98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4781"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381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A47D0D">
        <w:tc>
          <w:tcPr>
            <w:tcW w:w="1370"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982"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4781"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3815"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40E96EC"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RAN1 explictly states “If not enabled…” in their FD. Will keep both for clarity (also the need code is Need S now, so specification is needed when this field is not configured/enabled. )</w:t>
            </w:r>
          </w:p>
        </w:tc>
      </w:tr>
      <w:tr w:rsidR="0006480C" w14:paraId="2F5D717B" w14:textId="77777777" w:rsidTr="00A47D0D">
        <w:tc>
          <w:tcPr>
            <w:tcW w:w="1370"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982" w:type="dxa"/>
          </w:tcPr>
          <w:p w14:paraId="0711B2D1"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4781"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the second sentence that this is only </w:t>
            </w:r>
            <w:r w:rsidRPr="00741C6E">
              <w:rPr>
                <w:rFonts w:ascii="Calibri" w:eastAsia="Times New Roman" w:hAnsi="Calibri" w:cs="Calibri"/>
                <w:kern w:val="0"/>
                <w:sz w:val="20"/>
                <w:szCs w:val="20"/>
                <w:lang w:eastAsia="en-US"/>
              </w:rPr>
              <w:lastRenderedPageBreak/>
              <w:t>configured when Configuration 2 is not enabled.  </w:t>
            </w:r>
          </w:p>
        </w:tc>
        <w:tc>
          <w:tcPr>
            <w:tcW w:w="3815" w:type="dxa"/>
          </w:tcPr>
          <w:p w14:paraId="6E96EF0B" w14:textId="11D5AE08" w:rsidR="0006480C" w:rsidRPr="007F4094" w:rsidRDefault="007F4094" w:rsidP="00C84AD9">
            <w:pPr>
              <w:rPr>
                <w:rFonts w:ascii="Calibri" w:hAnsi="Calibri" w:cs="Calibri"/>
                <w:kern w:val="0"/>
                <w:sz w:val="20"/>
                <w:szCs w:val="20"/>
                <w:lang w:val="sv-SE"/>
              </w:rPr>
            </w:pPr>
            <w:r>
              <w:rPr>
                <w:rFonts w:ascii="Calibri" w:eastAsia="Times New Roman" w:hAnsi="Calibri" w:cs="Calibri"/>
                <w:kern w:val="0"/>
                <w:sz w:val="20"/>
                <w:szCs w:val="20"/>
                <w:lang w:eastAsia="en-US"/>
              </w:rPr>
              <w:lastRenderedPageBreak/>
              <w:t xml:space="preserve">Unless there is strong motivation to remove </w:t>
            </w:r>
            <w:r>
              <w:rPr>
                <w:rFonts w:ascii="Calibri" w:eastAsia="Times New Roman" w:hAnsi="Calibri" w:cs="Calibri"/>
                <w:kern w:val="0"/>
                <w:sz w:val="20"/>
                <w:szCs w:val="20"/>
                <w:lang w:val="sv-SE" w:eastAsia="en-US"/>
              </w:rPr>
              <w:t xml:space="preserve">(error, dupicated texts etc.), Rapp prefers to follow RAN1 FD in their list at least for now. </w:t>
            </w:r>
          </w:p>
        </w:tc>
      </w:tr>
      <w:tr w:rsidR="007024BC" w:rsidRPr="00A644F2" w14:paraId="346E0E4A" w14:textId="77777777" w:rsidTr="00A47D0D">
        <w:tc>
          <w:tcPr>
            <w:tcW w:w="137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982"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4781"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3815" w:type="dxa"/>
          </w:tcPr>
          <w:p w14:paraId="05915B73" w14:textId="77777777" w:rsidR="007024BC" w:rsidRPr="00C24EB4" w:rsidRDefault="007024BC" w:rsidP="007024BC">
            <w:pPr>
              <w:rPr>
                <w:rFonts w:ascii="Calibri" w:eastAsia="Times New Roman" w:hAnsi="Calibri" w:cs="Calibri"/>
                <w:kern w:val="0"/>
                <w:sz w:val="20"/>
                <w:szCs w:val="20"/>
                <w:lang w:eastAsia="en-US"/>
              </w:rPr>
            </w:pPr>
          </w:p>
        </w:tc>
      </w:tr>
      <w:tr w:rsidR="00AB2040" w:rsidRPr="00A644F2" w14:paraId="0AA61029" w14:textId="77777777" w:rsidTr="00A47D0D">
        <w:tc>
          <w:tcPr>
            <w:tcW w:w="137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3982"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4781"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3815" w:type="dxa"/>
          </w:tcPr>
          <w:p w14:paraId="1328432F" w14:textId="77777777" w:rsidR="00AB2040" w:rsidRPr="00A47D0D" w:rsidRDefault="00AB2040" w:rsidP="007024BC">
            <w:pPr>
              <w:rPr>
                <w:rFonts w:ascii="Calibri" w:eastAsia="Times New Roman" w:hAnsi="Calibri" w:cs="Calibri"/>
                <w:kern w:val="0"/>
                <w:sz w:val="20"/>
                <w:szCs w:val="20"/>
                <w:lang w:eastAsia="en-US"/>
              </w:rPr>
            </w:pPr>
          </w:p>
        </w:tc>
      </w:tr>
      <w:tr w:rsidR="00AB2040" w:rsidRPr="00A644F2" w14:paraId="5C685EB0" w14:textId="77777777" w:rsidTr="00A47D0D">
        <w:tc>
          <w:tcPr>
            <w:tcW w:w="137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98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4781"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3815" w:type="dxa"/>
          </w:tcPr>
          <w:p w14:paraId="2493FD47"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53C54125" w14:textId="77777777" w:rsidTr="00A47D0D">
        <w:tc>
          <w:tcPr>
            <w:tcW w:w="137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398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4781"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similar to “</w:t>
            </w:r>
            <w:r w:rsidRPr="000E32E6">
              <w:rPr>
                <w:rFonts w:ascii="Calibri" w:hAnsi="Calibri" w:cs="Calibri"/>
                <w:sz w:val="20"/>
                <w:szCs w:val="21"/>
              </w:rPr>
              <w:t xml:space="preserve">The network does not configure this field if SBFD Configuration 2 is enabled for the UL BWP. (see TS 38.214 </w:t>
            </w:r>
            <w:r w:rsidRPr="000E32E6">
              <w:rPr>
                <w:rFonts w:ascii="Calibri" w:hAnsi="Calibri" w:cs="Calibri"/>
                <w:sz w:val="20"/>
                <w:szCs w:val="21"/>
              </w:rPr>
              <w:lastRenderedPageBreak/>
              <w:t>[19],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3815" w:type="dxa"/>
          </w:tcPr>
          <w:p w14:paraId="5829B9AF"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199C7264" w14:textId="77777777" w:rsidTr="00A47D0D">
        <w:tc>
          <w:tcPr>
            <w:tcW w:w="137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982"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4781"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if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3815" w:type="dxa"/>
          </w:tcPr>
          <w:p w14:paraId="79179AD9"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64762C8A" w14:textId="77777777" w:rsidTr="00A47D0D">
        <w:tc>
          <w:tcPr>
            <w:tcW w:w="137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98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4781"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3815" w:type="dxa"/>
          </w:tcPr>
          <w:p w14:paraId="6B923E8A" w14:textId="77777777" w:rsidR="00AB2040" w:rsidRPr="00C24EB4" w:rsidRDefault="00AB2040" w:rsidP="007024BC">
            <w:pPr>
              <w:rPr>
                <w:rFonts w:ascii="Calibri" w:eastAsia="Times New Roman" w:hAnsi="Calibri" w:cs="Calibri"/>
                <w:kern w:val="0"/>
                <w:sz w:val="20"/>
                <w:szCs w:val="20"/>
                <w:lang w:eastAsia="en-US"/>
              </w:rPr>
            </w:pPr>
          </w:p>
        </w:tc>
      </w:tr>
      <w:tr w:rsidR="00200E28" w:rsidRPr="00A644F2" w14:paraId="6B103B63" w14:textId="77777777" w:rsidTr="00A47D0D">
        <w:tc>
          <w:tcPr>
            <w:tcW w:w="137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98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4781"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3815" w:type="dxa"/>
          </w:tcPr>
          <w:p w14:paraId="5091239E" w14:textId="77777777" w:rsidR="00200E28" w:rsidRPr="00C24EB4" w:rsidRDefault="00200E28" w:rsidP="007024BC">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C60" w14:textId="77777777" w:rsidR="009C532C" w:rsidRDefault="009C532C" w:rsidP="00F21D7D">
      <w:r>
        <w:separator/>
      </w:r>
    </w:p>
  </w:endnote>
  <w:endnote w:type="continuationSeparator" w:id="0">
    <w:p w14:paraId="55127E52" w14:textId="77777777" w:rsidR="009C532C" w:rsidRDefault="009C532C"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6B23" w14:textId="77777777" w:rsidR="009C532C" w:rsidRDefault="009C532C" w:rsidP="00F21D7D">
      <w:r>
        <w:separator/>
      </w:r>
    </w:p>
  </w:footnote>
  <w:footnote w:type="continuationSeparator" w:id="0">
    <w:p w14:paraId="12B63EE2" w14:textId="77777777" w:rsidR="009C532C" w:rsidRDefault="009C532C"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43722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44A32"/>
    <w:rsid w:val="0006480C"/>
    <w:rsid w:val="000E32E6"/>
    <w:rsid w:val="001A261E"/>
    <w:rsid w:val="00200E28"/>
    <w:rsid w:val="002901D8"/>
    <w:rsid w:val="002B2CB2"/>
    <w:rsid w:val="00377C08"/>
    <w:rsid w:val="00391898"/>
    <w:rsid w:val="003946AF"/>
    <w:rsid w:val="003E6E97"/>
    <w:rsid w:val="00401307"/>
    <w:rsid w:val="004A53A9"/>
    <w:rsid w:val="004C6389"/>
    <w:rsid w:val="00574F52"/>
    <w:rsid w:val="005D5C46"/>
    <w:rsid w:val="00633890"/>
    <w:rsid w:val="006C53AC"/>
    <w:rsid w:val="007024BC"/>
    <w:rsid w:val="00720DBD"/>
    <w:rsid w:val="00790BD8"/>
    <w:rsid w:val="007F0DDD"/>
    <w:rsid w:val="007F4094"/>
    <w:rsid w:val="00906207"/>
    <w:rsid w:val="00925933"/>
    <w:rsid w:val="00963F9E"/>
    <w:rsid w:val="009C532C"/>
    <w:rsid w:val="009F0846"/>
    <w:rsid w:val="00A24F25"/>
    <w:rsid w:val="00A47D0D"/>
    <w:rsid w:val="00A533A0"/>
    <w:rsid w:val="00A644F2"/>
    <w:rsid w:val="00A64EAE"/>
    <w:rsid w:val="00AB2040"/>
    <w:rsid w:val="00AD73E5"/>
    <w:rsid w:val="00AE62F7"/>
    <w:rsid w:val="00AF3AF7"/>
    <w:rsid w:val="00B80F12"/>
    <w:rsid w:val="00BA5364"/>
    <w:rsid w:val="00BF04C6"/>
    <w:rsid w:val="00C0294F"/>
    <w:rsid w:val="00C24EB4"/>
    <w:rsid w:val="00C464CE"/>
    <w:rsid w:val="00CE4CCB"/>
    <w:rsid w:val="00D14512"/>
    <w:rsid w:val="00D754B6"/>
    <w:rsid w:val="00D84F4C"/>
    <w:rsid w:val="00D90D69"/>
    <w:rsid w:val="00E0373B"/>
    <w:rsid w:val="00E150E8"/>
    <w:rsid w:val="00E15D28"/>
    <w:rsid w:val="00E639EB"/>
    <w:rsid w:val="00E653D5"/>
    <w:rsid w:val="00EB24CB"/>
    <w:rsid w:val="00F21D7D"/>
    <w:rsid w:val="00F80980"/>
    <w:rsid w:val="00F93BC7"/>
    <w:rsid w:val="00FC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file>

<file path=customXml/itemProps2.xml><?xml version="1.0" encoding="utf-8"?>
<ds:datastoreItem xmlns:ds="http://schemas.openxmlformats.org/officeDocument/2006/customXml" ds:itemID="{D1C3B4B9-6111-4E56-8CC9-ACE03AAFC59C}"/>
</file>

<file path=customXml/itemProps3.xml><?xml version="1.0" encoding="utf-8"?>
<ds:datastoreItem xmlns:ds="http://schemas.openxmlformats.org/officeDocument/2006/customXml" ds:itemID="{908BD67E-3B0B-413C-A5BC-3C9FD1F2775A}"/>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45</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Håkan</cp:lastModifiedBy>
  <cp:revision>3</cp:revision>
  <dcterms:created xsi:type="dcterms:W3CDTF">2025-05-01T08:28:00Z</dcterms:created>
  <dcterms:modified xsi:type="dcterms:W3CDTF">2025-05-01T10:03:00Z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ies>
</file>