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013"/>
        <w:gridCol w:w="5235"/>
        <w:gridCol w:w="3523"/>
      </w:tblGrid>
      <w:tr w14:paraId="137D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046E47E">
            <w:pPr>
              <w:jc w:val="left"/>
              <w:rPr>
                <w:rFonts w:ascii="Calibri" w:hAnsi="Calibri" w:cs="Calibri"/>
                <w:b/>
                <w:bCs/>
                <w:sz w:val="20"/>
                <w:szCs w:val="21"/>
              </w:rPr>
            </w:pPr>
            <w:r>
              <w:rPr>
                <w:rFonts w:ascii="Calibri" w:hAnsi="Calibri" w:cs="Calibri"/>
                <w:b/>
                <w:bCs/>
                <w:sz w:val="20"/>
                <w:szCs w:val="21"/>
              </w:rPr>
              <w:t>Company</w:t>
            </w:r>
          </w:p>
        </w:tc>
        <w:tc>
          <w:tcPr>
            <w:tcW w:w="2484" w:type="dxa"/>
          </w:tcPr>
          <w:p w14:paraId="2AB87C6F">
            <w:pPr>
              <w:jc w:val="left"/>
              <w:rPr>
                <w:rFonts w:ascii="Calibri" w:hAnsi="Calibri" w:cs="Calibri"/>
                <w:b/>
                <w:bCs/>
                <w:sz w:val="20"/>
                <w:szCs w:val="21"/>
              </w:rPr>
            </w:pPr>
            <w:r>
              <w:rPr>
                <w:rFonts w:ascii="Calibri" w:hAnsi="Calibri" w:cs="Calibri"/>
                <w:b/>
                <w:bCs/>
                <w:sz w:val="20"/>
                <w:szCs w:val="21"/>
              </w:rPr>
              <w:t>Section/c</w:t>
            </w:r>
            <w:r>
              <w:rPr>
                <w:rFonts w:hint="eastAsia" w:ascii="Calibri" w:hAnsi="Calibri" w:cs="Calibri"/>
                <w:b/>
                <w:bCs/>
                <w:sz w:val="20"/>
                <w:szCs w:val="21"/>
              </w:rPr>
              <w:t>lause</w:t>
            </w:r>
            <w:r>
              <w:rPr>
                <w:rFonts w:ascii="Calibri" w:hAnsi="Calibri" w:cs="Calibri"/>
                <w:b/>
                <w:bCs/>
                <w:sz w:val="20"/>
                <w:szCs w:val="21"/>
              </w:rPr>
              <w:t>/IE</w:t>
            </w:r>
          </w:p>
        </w:tc>
        <w:tc>
          <w:tcPr>
            <w:tcW w:w="4797" w:type="dxa"/>
          </w:tcPr>
          <w:p w14:paraId="044EA35E">
            <w:pPr>
              <w:jc w:val="left"/>
              <w:rPr>
                <w:rFonts w:ascii="Calibri" w:hAnsi="Calibri" w:cs="Calibri"/>
                <w:b/>
                <w:bCs/>
                <w:sz w:val="20"/>
                <w:szCs w:val="21"/>
              </w:rPr>
            </w:pPr>
            <w:r>
              <w:rPr>
                <w:rFonts w:ascii="Calibri" w:hAnsi="Calibri" w:cs="Calibri"/>
                <w:b/>
                <w:bCs/>
                <w:sz w:val="20"/>
                <w:szCs w:val="21"/>
              </w:rPr>
              <w:t>Comments/</w:t>
            </w:r>
            <w:r>
              <w:rPr>
                <w:rFonts w:hint="eastAsia" w:ascii="Calibri" w:hAnsi="Calibri" w:cs="Calibri"/>
                <w:b/>
                <w:bCs/>
                <w:sz w:val="20"/>
                <w:szCs w:val="21"/>
              </w:rPr>
              <w:t>S</w:t>
            </w:r>
            <w:r>
              <w:rPr>
                <w:rFonts w:ascii="Calibri" w:hAnsi="Calibri" w:cs="Calibri"/>
                <w:b/>
                <w:bCs/>
                <w:sz w:val="20"/>
                <w:szCs w:val="21"/>
              </w:rPr>
              <w:t>uggested Change</w:t>
            </w:r>
          </w:p>
        </w:tc>
        <w:tc>
          <w:tcPr>
            <w:tcW w:w="5022" w:type="dxa"/>
          </w:tcPr>
          <w:p w14:paraId="028A6CD2">
            <w:pPr>
              <w:jc w:val="left"/>
              <w:rPr>
                <w:rFonts w:ascii="Calibri" w:hAnsi="Calibri" w:cs="Calibri"/>
                <w:b/>
                <w:bCs/>
                <w:sz w:val="20"/>
                <w:szCs w:val="21"/>
              </w:rPr>
            </w:pPr>
            <w:r>
              <w:rPr>
                <w:rFonts w:ascii="Calibri" w:hAnsi="Calibri" w:cs="Calibri"/>
                <w:b/>
                <w:bCs/>
                <w:sz w:val="20"/>
                <w:szCs w:val="21"/>
              </w:rPr>
              <w:t>Rapp Response</w:t>
            </w:r>
          </w:p>
        </w:tc>
      </w:tr>
      <w:tr w14:paraId="2ECA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A117DC3">
            <w:pPr>
              <w:rPr>
                <w:rFonts w:ascii="Calibri" w:hAnsi="Calibri" w:cs="Calibri"/>
                <w:sz w:val="20"/>
                <w:szCs w:val="21"/>
              </w:rPr>
            </w:pPr>
            <w:r>
              <w:rPr>
                <w:rFonts w:hint="eastAsia" w:ascii="Calibri" w:hAnsi="Calibri" w:cs="Calibri"/>
                <w:sz w:val="20"/>
                <w:szCs w:val="21"/>
              </w:rPr>
              <w:t>ZTE</w:t>
            </w:r>
          </w:p>
        </w:tc>
        <w:tc>
          <w:tcPr>
            <w:tcW w:w="2484" w:type="dxa"/>
          </w:tcPr>
          <w:p w14:paraId="1C12716B">
            <w:pPr>
              <w:rPr>
                <w:rFonts w:ascii="Calibri" w:hAnsi="Calibri" w:cs="Calibri"/>
                <w:sz w:val="20"/>
                <w:szCs w:val="21"/>
              </w:rPr>
            </w:pPr>
            <w:r>
              <w:rPr>
                <w:rFonts w:ascii="Calibri" w:hAnsi="Calibri" w:cs="Calibri"/>
                <w:sz w:val="20"/>
                <w:szCs w:val="21"/>
              </w:rPr>
              <w:t>BeamFailureRecoveryConfig</w:t>
            </w:r>
          </w:p>
        </w:tc>
        <w:tc>
          <w:tcPr>
            <w:tcW w:w="4797" w:type="dxa"/>
          </w:tcPr>
          <w:p w14:paraId="784408E4">
            <w:pPr>
              <w:rPr>
                <w:rFonts w:ascii="Calibri" w:hAnsi="Calibri" w:cs="Calibri"/>
                <w:sz w:val="20"/>
                <w:szCs w:val="21"/>
              </w:rPr>
            </w:pPr>
            <w:r>
              <w:rPr>
                <w:rFonts w:ascii="Calibri" w:hAnsi="Calibri" w:cs="Calibri"/>
                <w:sz w:val="20"/>
                <w:szCs w:val="21"/>
              </w:rPr>
              <w:t>ra-OccasionType-r19 can only indicate SBFD. If gNB indicates non-SBFD RO, gNB can make the field absent.</w:t>
            </w:r>
          </w:p>
        </w:tc>
        <w:tc>
          <w:tcPr>
            <w:tcW w:w="5022" w:type="dxa"/>
          </w:tcPr>
          <w:p w14:paraId="0A95C59B">
            <w:pPr>
              <w:rPr>
                <w:rFonts w:ascii="Calibri" w:hAnsi="Calibri" w:cs="Calibri"/>
                <w:sz w:val="20"/>
                <w:szCs w:val="21"/>
              </w:rPr>
            </w:pPr>
          </w:p>
        </w:tc>
      </w:tr>
      <w:tr w14:paraId="7969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27BCAA39">
            <w:pPr>
              <w:rPr>
                <w:rFonts w:ascii="Calibri" w:hAnsi="Calibri" w:cs="Calibri"/>
                <w:sz w:val="20"/>
                <w:szCs w:val="21"/>
              </w:rPr>
            </w:pPr>
            <w:r>
              <w:rPr>
                <w:rFonts w:hint="eastAsia" w:ascii="Calibri" w:hAnsi="Calibri" w:cs="Calibri"/>
                <w:sz w:val="20"/>
                <w:szCs w:val="21"/>
              </w:rPr>
              <w:t>ZTE</w:t>
            </w:r>
          </w:p>
        </w:tc>
        <w:tc>
          <w:tcPr>
            <w:tcW w:w="2484" w:type="dxa"/>
          </w:tcPr>
          <w:p w14:paraId="0BDB0834">
            <w:pPr>
              <w:rPr>
                <w:rFonts w:ascii="Calibri" w:hAnsi="Calibri" w:cs="Calibri"/>
                <w:sz w:val="20"/>
                <w:szCs w:val="21"/>
              </w:rPr>
            </w:pPr>
            <w:r>
              <w:rPr>
                <w:rFonts w:ascii="Calibri" w:hAnsi="Calibri" w:cs="Calibri"/>
                <w:sz w:val="20"/>
                <w:szCs w:val="21"/>
              </w:rPr>
              <w:t>sbfd-RACH-SingleConfig-r19</w:t>
            </w:r>
          </w:p>
        </w:tc>
        <w:tc>
          <w:tcPr>
            <w:tcW w:w="4797" w:type="dxa"/>
          </w:tcPr>
          <w:p w14:paraId="72BD2A02">
            <w:pPr>
              <w:rPr>
                <w:rFonts w:ascii="Calibri" w:hAnsi="Calibri" w:cs="Calibri"/>
                <w:sz w:val="20"/>
                <w:szCs w:val="21"/>
              </w:rPr>
            </w:pPr>
            <w:r>
              <w:rPr>
                <w:rFonts w:ascii="Calibri" w:hAnsi="Calibri" w:cs="Calibri"/>
                <w:sz w:val="20"/>
                <w:szCs w:val="21"/>
              </w:rPr>
              <w:t>Option 1 should be indicated per RACH-ConfigCommon?</w:t>
            </w:r>
          </w:p>
          <w:p w14:paraId="1823EAA4">
            <w:pPr>
              <w:rPr>
                <w:rFonts w:ascii="Calibri" w:hAnsi="Calibri" w:cs="Calibri"/>
                <w:sz w:val="20"/>
                <w:szCs w:val="21"/>
              </w:rPr>
            </w:pPr>
          </w:p>
          <w:p w14:paraId="1BCDC11B">
            <w:pPr>
              <w:rPr>
                <w:rFonts w:ascii="Calibri" w:hAnsi="Calibri" w:cs="Calibri"/>
                <w:sz w:val="20"/>
                <w:szCs w:val="21"/>
              </w:rPr>
            </w:pPr>
            <w:r>
              <w:rPr>
                <w:rFonts w:ascii="Calibri" w:hAnsi="Calibri" w:cs="Calibri"/>
                <w:sz w:val="20"/>
                <w:szCs w:val="21"/>
              </w:rPr>
              <w:t>Option 1 and option 2 cannot be configured together for all the RACH-ConfigCommon (including those in the AdditionalRACH-ConfigList-r17), this condition should be added.</w:t>
            </w:r>
          </w:p>
        </w:tc>
        <w:tc>
          <w:tcPr>
            <w:tcW w:w="5022" w:type="dxa"/>
          </w:tcPr>
          <w:p w14:paraId="6CD66EE8">
            <w:pPr>
              <w:rPr>
                <w:rFonts w:ascii="Calibri" w:hAnsi="Calibri" w:cs="Calibri"/>
                <w:sz w:val="20"/>
                <w:szCs w:val="21"/>
              </w:rPr>
            </w:pPr>
          </w:p>
        </w:tc>
      </w:tr>
      <w:tr w14:paraId="30B9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53B7A36">
            <w:pPr>
              <w:rPr>
                <w:rFonts w:ascii="Calibri" w:hAnsi="Calibri" w:cs="Calibri"/>
                <w:sz w:val="20"/>
                <w:szCs w:val="21"/>
              </w:rPr>
            </w:pPr>
            <w:r>
              <w:rPr>
                <w:rFonts w:ascii="Calibri" w:hAnsi="Calibri" w:cs="Calibri"/>
                <w:sz w:val="20"/>
                <w:szCs w:val="21"/>
              </w:rPr>
              <w:t>Nokia</w:t>
            </w:r>
          </w:p>
        </w:tc>
        <w:tc>
          <w:tcPr>
            <w:tcW w:w="2484" w:type="dxa"/>
          </w:tcPr>
          <w:p w14:paraId="35CC62A1">
            <w:pPr>
              <w:rPr>
                <w:rFonts w:ascii="Calibri" w:hAnsi="Calibri" w:cs="Calibri"/>
                <w:sz w:val="20"/>
                <w:szCs w:val="21"/>
              </w:rPr>
            </w:pPr>
            <w:r>
              <w:rPr>
                <w:rFonts w:ascii="Calibri" w:hAnsi="Calibri" w:cs="Calibri"/>
                <w:sz w:val="20"/>
                <w:szCs w:val="21"/>
              </w:rPr>
              <w:t>sbfd-RACH-SingleConfig-r19</w:t>
            </w:r>
          </w:p>
        </w:tc>
        <w:tc>
          <w:tcPr>
            <w:tcW w:w="4797" w:type="dxa"/>
          </w:tcPr>
          <w:p w14:paraId="29373B2F">
            <w:pPr>
              <w:rPr>
                <w:rFonts w:ascii="Calibri" w:hAnsi="Calibri" w:cs="Calibri"/>
                <w:sz w:val="20"/>
                <w:szCs w:val="21"/>
              </w:rPr>
            </w:pPr>
            <w:r>
              <w:rPr>
                <w:rFonts w:ascii="Calibri" w:hAnsi="Calibri" w:cs="Calibri"/>
                <w:sz w:val="20"/>
                <w:szCs w:val="21"/>
              </w:rPr>
              <w:t>Same understanding as ZTE</w:t>
            </w:r>
          </w:p>
        </w:tc>
        <w:tc>
          <w:tcPr>
            <w:tcW w:w="5022" w:type="dxa"/>
          </w:tcPr>
          <w:p w14:paraId="7CF07B5F">
            <w:pPr>
              <w:rPr>
                <w:rFonts w:ascii="Calibri" w:hAnsi="Calibri" w:cs="Calibri"/>
                <w:sz w:val="20"/>
                <w:szCs w:val="21"/>
              </w:rPr>
            </w:pPr>
          </w:p>
        </w:tc>
      </w:tr>
      <w:tr w14:paraId="3062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94F494F">
            <w:pPr>
              <w:rPr>
                <w:rFonts w:ascii="Calibri" w:hAnsi="Calibri" w:cs="Calibri"/>
                <w:sz w:val="20"/>
                <w:szCs w:val="21"/>
              </w:rPr>
            </w:pPr>
            <w:r>
              <w:rPr>
                <w:rFonts w:ascii="Calibri" w:hAnsi="Calibri" w:eastAsia="Times New Roman" w:cs="Calibri"/>
                <w:kern w:val="0"/>
                <w:sz w:val="20"/>
                <w:szCs w:val="20"/>
                <w:lang w:eastAsia="en-US"/>
              </w:rPr>
              <w:t>Nokia </w:t>
            </w:r>
          </w:p>
        </w:tc>
        <w:tc>
          <w:tcPr>
            <w:tcW w:w="2484" w:type="dxa"/>
          </w:tcPr>
          <w:p w14:paraId="21BC4D98">
            <w:pPr>
              <w:rPr>
                <w:rFonts w:ascii="Calibri" w:hAnsi="Calibri" w:cs="Calibri"/>
                <w:sz w:val="20"/>
                <w:szCs w:val="21"/>
              </w:rPr>
            </w:pPr>
            <w:r>
              <w:rPr>
                <w:rFonts w:ascii="Calibri" w:hAnsi="Calibri" w:eastAsia="Times New Roman" w:cs="Calibri"/>
                <w:kern w:val="0"/>
                <w:sz w:val="20"/>
                <w:szCs w:val="20"/>
                <w:lang w:eastAsia="en-US"/>
              </w:rPr>
              <w:t>CSI-ReportConfig </w:t>
            </w:r>
          </w:p>
        </w:tc>
        <w:tc>
          <w:tcPr>
            <w:tcW w:w="4797" w:type="dxa"/>
          </w:tcPr>
          <w:p w14:paraId="08909ED6">
            <w:pPr>
              <w:rPr>
                <w:rFonts w:ascii="Calibri" w:hAnsi="Calibri" w:cs="Calibri"/>
                <w:sz w:val="20"/>
                <w:szCs w:val="21"/>
              </w:rPr>
            </w:pPr>
            <w:r>
              <w:rPr>
                <w:rFonts w:ascii="Calibri" w:hAnsi="Calibri" w:eastAsia="Times New Roman" w:cs="Calibri"/>
                <w:kern w:val="0"/>
                <w:sz w:val="20"/>
                <w:szCs w:val="20"/>
                <w:lang w:eastAsia="en-US"/>
              </w:rPr>
              <w:t xml:space="preserve">The metrics cli-RSSI and cli-SRS-RSRP are not included as part of new reporting metrics within </w:t>
            </w:r>
            <w:r>
              <w:rPr>
                <w:rFonts w:ascii="Calibri" w:hAnsi="Calibri" w:eastAsia="Times New Roman" w:cs="Calibri"/>
                <w:i/>
                <w:iCs/>
                <w:kern w:val="0"/>
                <w:sz w:val="20"/>
                <w:szCs w:val="20"/>
                <w:lang w:eastAsia="en-US"/>
              </w:rPr>
              <w:t>CSI-ReportConfig</w:t>
            </w:r>
            <w:r>
              <w:rPr>
                <w:rFonts w:ascii="Calibri" w:hAnsi="Calibri" w:eastAsia="Times New Roman" w:cs="Calibri"/>
                <w:kern w:val="0"/>
                <w:sz w:val="20"/>
                <w:szCs w:val="20"/>
                <w:lang w:eastAsia="en-US"/>
              </w:rPr>
              <w:t xml:space="preserve"> IE. </w:t>
            </w:r>
          </w:p>
        </w:tc>
        <w:tc>
          <w:tcPr>
            <w:tcW w:w="5022" w:type="dxa"/>
          </w:tcPr>
          <w:p w14:paraId="4FF9774A">
            <w:pPr>
              <w:rPr>
                <w:rFonts w:ascii="Calibri" w:hAnsi="Calibri" w:cs="Calibri"/>
                <w:sz w:val="20"/>
                <w:szCs w:val="21"/>
              </w:rPr>
            </w:pPr>
            <w:r>
              <w:rPr>
                <w:rFonts w:ascii="Calibri" w:hAnsi="Calibri" w:eastAsia="Times New Roman" w:cs="Calibri"/>
                <w:kern w:val="0"/>
                <w:sz w:val="20"/>
                <w:szCs w:val="20"/>
                <w:lang w:eastAsia="en-US"/>
              </w:rPr>
              <w:t> </w:t>
            </w:r>
          </w:p>
        </w:tc>
      </w:tr>
      <w:tr w14:paraId="006B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41CA862">
            <w:pPr>
              <w:rPr>
                <w:rFonts w:ascii="Calibri" w:hAnsi="Calibri" w:cs="Calibri"/>
                <w:sz w:val="20"/>
                <w:szCs w:val="21"/>
              </w:rPr>
            </w:pPr>
            <w:r>
              <w:rPr>
                <w:rFonts w:ascii="Calibri" w:hAnsi="Calibri" w:eastAsia="Times New Roman" w:cs="Calibri"/>
                <w:kern w:val="0"/>
                <w:sz w:val="20"/>
                <w:szCs w:val="20"/>
                <w:lang w:eastAsia="en-US"/>
              </w:rPr>
              <w:t>Nokia </w:t>
            </w:r>
          </w:p>
        </w:tc>
        <w:tc>
          <w:tcPr>
            <w:tcW w:w="2484" w:type="dxa"/>
          </w:tcPr>
          <w:p w14:paraId="1A7497D0">
            <w:pPr>
              <w:rPr>
                <w:rFonts w:ascii="Calibri" w:hAnsi="Calibri" w:cs="Calibri"/>
                <w:sz w:val="20"/>
                <w:szCs w:val="21"/>
              </w:rPr>
            </w:pPr>
            <w:r>
              <w:rPr>
                <w:rFonts w:ascii="Calibri" w:hAnsi="Calibri" w:eastAsia="Times New Roman" w:cs="Calibri"/>
                <w:kern w:val="0"/>
                <w:sz w:val="20"/>
                <w:szCs w:val="20"/>
                <w:lang w:eastAsia="en-US"/>
              </w:rPr>
              <w:t>CSI-ResourceConfig </w:t>
            </w:r>
          </w:p>
        </w:tc>
        <w:tc>
          <w:tcPr>
            <w:tcW w:w="4797" w:type="dxa"/>
          </w:tcPr>
          <w:p w14:paraId="0094EBD6">
            <w:pPr>
              <w:rPr>
                <w:rFonts w:ascii="Calibri" w:hAnsi="Calibri" w:cs="Calibri"/>
                <w:sz w:val="20"/>
                <w:szCs w:val="21"/>
              </w:rPr>
            </w:pPr>
            <w:r>
              <w:rPr>
                <w:rFonts w:ascii="Calibri" w:hAnsi="Calibri" w:eastAsia="Times New Roman" w:cs="Calibri"/>
                <w:kern w:val="0"/>
                <w:sz w:val="20"/>
                <w:szCs w:val="20"/>
                <w:lang w:eastAsia="en-US"/>
              </w:rPr>
              <w:t xml:space="preserve">The definition of the </w:t>
            </w:r>
            <w:r>
              <w:rPr>
                <w:rFonts w:ascii="Calibri" w:hAnsi="Calibri" w:eastAsia="Times New Roman" w:cs="Calibri"/>
                <w:i/>
                <w:iCs/>
                <w:kern w:val="0"/>
                <w:sz w:val="20"/>
                <w:szCs w:val="20"/>
                <w:lang w:eastAsia="en-US"/>
              </w:rPr>
              <w:t xml:space="preserve">CSI-ResourceConfig </w:t>
            </w:r>
            <w:r>
              <w:rPr>
                <w:rFonts w:ascii="Calibri" w:hAnsi="Calibri" w:eastAsia="Times New Roman" w:cs="Calibri"/>
                <w:kern w:val="0"/>
                <w:sz w:val="20"/>
                <w:szCs w:val="20"/>
                <w:lang w:eastAsia="en-US"/>
              </w:rPr>
              <w:t>IE should be updated to indicate that it is also used to define a group of CLI-RSSI or SRS-RSRP resource sets. </w:t>
            </w:r>
          </w:p>
        </w:tc>
        <w:tc>
          <w:tcPr>
            <w:tcW w:w="5022" w:type="dxa"/>
          </w:tcPr>
          <w:p w14:paraId="05F0C2BC">
            <w:pPr>
              <w:rPr>
                <w:rFonts w:ascii="Calibri" w:hAnsi="Calibri" w:cs="Calibri"/>
                <w:sz w:val="20"/>
                <w:szCs w:val="21"/>
              </w:rPr>
            </w:pPr>
            <w:r>
              <w:rPr>
                <w:rFonts w:ascii="Calibri" w:hAnsi="Calibri" w:eastAsia="Times New Roman" w:cs="Calibri"/>
                <w:kern w:val="0"/>
                <w:sz w:val="20"/>
                <w:szCs w:val="20"/>
                <w:lang w:eastAsia="en-US"/>
              </w:rPr>
              <w:t> </w:t>
            </w:r>
          </w:p>
        </w:tc>
      </w:tr>
      <w:tr w14:paraId="72B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08DFC0B">
            <w:pPr>
              <w:rPr>
                <w:rFonts w:ascii="Calibri" w:hAnsi="Calibri" w:cs="Calibri"/>
                <w:sz w:val="20"/>
                <w:szCs w:val="21"/>
              </w:rPr>
            </w:pPr>
            <w:r>
              <w:rPr>
                <w:rFonts w:ascii="Calibri" w:hAnsi="Calibri" w:eastAsia="Times New Roman" w:cs="Calibri"/>
                <w:kern w:val="0"/>
                <w:sz w:val="20"/>
                <w:szCs w:val="20"/>
                <w:lang w:eastAsia="en-US"/>
              </w:rPr>
              <w:t>Nokia </w:t>
            </w:r>
          </w:p>
        </w:tc>
        <w:tc>
          <w:tcPr>
            <w:tcW w:w="2484" w:type="dxa"/>
          </w:tcPr>
          <w:p w14:paraId="520B0551">
            <w:pPr>
              <w:rPr>
                <w:rFonts w:ascii="Calibri" w:hAnsi="Calibri" w:cs="Calibri"/>
                <w:sz w:val="20"/>
                <w:szCs w:val="21"/>
              </w:rPr>
            </w:pPr>
            <w:r>
              <w:rPr>
                <w:rFonts w:ascii="Calibri" w:hAnsi="Calibri" w:eastAsia="Times New Roman" w:cs="Calibri"/>
                <w:kern w:val="0"/>
                <w:sz w:val="20"/>
                <w:szCs w:val="20"/>
                <w:lang w:eastAsia="en-US"/>
              </w:rPr>
              <w:t>CSI-ReportConfig </w:t>
            </w:r>
          </w:p>
        </w:tc>
        <w:tc>
          <w:tcPr>
            <w:tcW w:w="4797" w:type="dxa"/>
          </w:tcPr>
          <w:p w14:paraId="5D161217">
            <w:pPr>
              <w:rPr>
                <w:rFonts w:ascii="Calibri" w:hAnsi="Calibri" w:cs="Calibri"/>
                <w:sz w:val="20"/>
                <w:szCs w:val="21"/>
              </w:rPr>
            </w:pPr>
            <w:r>
              <w:rPr>
                <w:rFonts w:ascii="Calibri" w:hAnsi="Calibri" w:eastAsia="Times New Roman" w:cs="Calibri"/>
                <w:kern w:val="0"/>
                <w:sz w:val="20"/>
                <w:szCs w:val="20"/>
                <w:lang w:eastAsia="en-US"/>
              </w:rPr>
              <w:t xml:space="preserve">The definition of </w:t>
            </w:r>
            <w:r>
              <w:rPr>
                <w:rFonts w:ascii="Calibri" w:hAnsi="Calibri" w:eastAsia="Times New Roman" w:cs="Calibri"/>
                <w:i/>
                <w:iCs/>
                <w:kern w:val="0"/>
                <w:sz w:val="20"/>
                <w:szCs w:val="20"/>
                <w:lang w:eastAsia="en-US"/>
              </w:rPr>
              <w:t>resourcesForChannelMeasurement</w:t>
            </w:r>
            <w:r>
              <w:rPr>
                <w:rFonts w:ascii="Calibri" w:hAnsi="Calibri" w:eastAsia="Times New Roman" w:cs="Calibri"/>
                <w:kern w:val="0"/>
                <w:sz w:val="20"/>
                <w:szCs w:val="20"/>
                <w:lang w:eastAsia="en-US"/>
              </w:rPr>
              <w:t xml:space="preserve"> should be extended to cover CLI-RSSI and SRS-RSRP resources </w:t>
            </w:r>
          </w:p>
        </w:tc>
        <w:tc>
          <w:tcPr>
            <w:tcW w:w="5022" w:type="dxa"/>
          </w:tcPr>
          <w:p w14:paraId="0BD7D92C">
            <w:pPr>
              <w:rPr>
                <w:rFonts w:ascii="Calibri" w:hAnsi="Calibri" w:cs="Calibri"/>
                <w:sz w:val="20"/>
                <w:szCs w:val="21"/>
              </w:rPr>
            </w:pPr>
            <w:r>
              <w:rPr>
                <w:rFonts w:ascii="Calibri" w:hAnsi="Calibri" w:eastAsia="Times New Roman" w:cs="Calibri"/>
                <w:kern w:val="0"/>
                <w:sz w:val="20"/>
                <w:szCs w:val="20"/>
                <w:lang w:eastAsia="en-US"/>
              </w:rPr>
              <w:t> </w:t>
            </w:r>
          </w:p>
        </w:tc>
      </w:tr>
      <w:tr w14:paraId="2D79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1F34A778">
            <w:pPr>
              <w:rPr>
                <w:rFonts w:ascii="Calibri" w:hAnsi="Calibri" w:eastAsia="Times New Roman" w:cs="Calibri"/>
                <w:kern w:val="0"/>
                <w:sz w:val="20"/>
                <w:szCs w:val="20"/>
                <w:lang w:eastAsia="en-US"/>
              </w:rPr>
            </w:pPr>
            <w:r>
              <w:rPr>
                <w:rFonts w:hint="eastAsia" w:ascii="Calibri" w:hAnsi="Calibri" w:cs="Calibri"/>
                <w:sz w:val="20"/>
                <w:szCs w:val="21"/>
              </w:rPr>
              <w:t>X</w:t>
            </w:r>
            <w:r>
              <w:rPr>
                <w:rFonts w:ascii="Calibri" w:hAnsi="Calibri" w:cs="Calibri"/>
                <w:sz w:val="20"/>
                <w:szCs w:val="21"/>
              </w:rPr>
              <w:t>iaomi</w:t>
            </w:r>
          </w:p>
        </w:tc>
        <w:tc>
          <w:tcPr>
            <w:tcW w:w="2484" w:type="dxa"/>
          </w:tcPr>
          <w:p w14:paraId="7D1D7D6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pPr>
              <w:rPr>
                <w:rFonts w:ascii="Calibri" w:hAnsi="Calibri" w:cs="Calibri"/>
                <w:sz w:val="20"/>
                <w:szCs w:val="21"/>
              </w:rPr>
            </w:pPr>
          </w:p>
          <w:p w14:paraId="1EB1B3C2">
            <w:pPr>
              <w:pStyle w:val="12"/>
            </w:pPr>
            <w:r>
              <w:t>OPTIONAL</w:t>
            </w:r>
            <w:r>
              <w:rPr>
                <w:highlight w:val="red"/>
              </w:rPr>
              <w:t>,</w:t>
            </w:r>
            <w:r>
              <w:t xml:space="preserve">   -- Need M</w:t>
            </w:r>
          </w:p>
          <w:p w14:paraId="42097532">
            <w:pPr>
              <w:rPr>
                <w:rFonts w:ascii="Calibri" w:hAnsi="Calibri" w:eastAsia="Times New Roman" w:cs="Calibri"/>
                <w:kern w:val="0"/>
                <w:sz w:val="20"/>
                <w:szCs w:val="20"/>
                <w:lang w:eastAsia="en-US"/>
              </w:rPr>
            </w:pPr>
            <w:r>
              <w:t xml:space="preserve">    ]]</w:t>
            </w:r>
          </w:p>
        </w:tc>
        <w:tc>
          <w:tcPr>
            <w:tcW w:w="4797" w:type="dxa"/>
          </w:tcPr>
          <w:p w14:paraId="7FE1C764">
            <w:pPr>
              <w:rPr>
                <w:rFonts w:ascii="Calibri" w:hAnsi="Calibri" w:eastAsia="Times New Roman" w:cs="Calibri"/>
                <w:kern w:val="0"/>
                <w:sz w:val="20"/>
                <w:szCs w:val="20"/>
                <w:lang w:eastAsia="en-US"/>
              </w:rPr>
            </w:pPr>
            <w:r>
              <w:rPr>
                <w:rFonts w:hint="eastAsia" w:ascii="Calibri" w:hAnsi="Calibri" w:cs="Calibri"/>
                <w:sz w:val="20"/>
                <w:szCs w:val="21"/>
              </w:rPr>
              <w:t>R</w:t>
            </w:r>
            <w:r>
              <w:rPr>
                <w:rFonts w:ascii="Calibri" w:hAnsi="Calibri" w:cs="Calibri"/>
                <w:sz w:val="20"/>
                <w:szCs w:val="21"/>
              </w:rPr>
              <w:t>emove comma before “]]”.</w:t>
            </w:r>
          </w:p>
        </w:tc>
        <w:tc>
          <w:tcPr>
            <w:tcW w:w="5022" w:type="dxa"/>
          </w:tcPr>
          <w:p w14:paraId="13AB4B6E">
            <w:pPr>
              <w:rPr>
                <w:rFonts w:ascii="Calibri" w:hAnsi="Calibri" w:eastAsia="Times New Roman" w:cs="Calibri"/>
                <w:kern w:val="0"/>
                <w:sz w:val="20"/>
                <w:szCs w:val="20"/>
                <w:lang w:eastAsia="en-US"/>
              </w:rPr>
            </w:pPr>
          </w:p>
        </w:tc>
      </w:tr>
      <w:tr w14:paraId="4DD3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13F0CF78">
            <w:pPr>
              <w:rPr>
                <w:rFonts w:ascii="Calibri" w:hAnsi="Calibri" w:eastAsia="Times New Roman" w:cs="Calibri"/>
                <w:kern w:val="0"/>
                <w:sz w:val="20"/>
                <w:szCs w:val="20"/>
                <w:lang w:eastAsia="en-US"/>
              </w:rPr>
            </w:pPr>
            <w:r>
              <w:rPr>
                <w:rFonts w:hint="eastAsia" w:ascii="Calibri" w:hAnsi="Calibri" w:cs="Calibri"/>
                <w:sz w:val="20"/>
                <w:szCs w:val="21"/>
              </w:rPr>
              <w:t>X</w:t>
            </w:r>
            <w:r>
              <w:rPr>
                <w:rFonts w:ascii="Calibri" w:hAnsi="Calibri" w:cs="Calibri"/>
                <w:sz w:val="20"/>
                <w:szCs w:val="21"/>
              </w:rPr>
              <w:t>iaomi</w:t>
            </w:r>
          </w:p>
        </w:tc>
        <w:tc>
          <w:tcPr>
            <w:tcW w:w="2484" w:type="dxa"/>
          </w:tcPr>
          <w:p w14:paraId="1853E3B8">
            <w:pPr>
              <w:rPr>
                <w:rFonts w:ascii="Calibri" w:hAnsi="Calibri" w:eastAsia="Times New Roman" w:cs="Calibri"/>
                <w:kern w:val="0"/>
                <w:sz w:val="20"/>
                <w:szCs w:val="20"/>
                <w:lang w:eastAsia="en-US"/>
              </w:rPr>
            </w:pPr>
            <w:r>
              <w:rPr>
                <w:rFonts w:hint="eastAsia" w:ascii="Calibri" w:hAnsi="Calibri" w:cs="Calibri"/>
                <w:sz w:val="20"/>
                <w:szCs w:val="21"/>
              </w:rPr>
              <w:t>N</w:t>
            </w:r>
            <w:r>
              <w:rPr>
                <w:rFonts w:ascii="Calibri" w:hAnsi="Calibri" w:cs="Calibri"/>
                <w:sz w:val="20"/>
                <w:szCs w:val="21"/>
              </w:rPr>
              <w:t xml:space="preserve">aming convention is not followed for several field or IE names. </w:t>
            </w:r>
          </w:p>
        </w:tc>
        <w:tc>
          <w:tcPr>
            <w:tcW w:w="4797" w:type="dxa"/>
          </w:tcPr>
          <w:p w14:paraId="75289713">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pPr>
              <w:rPr>
                <w:rFonts w:ascii="Calibri" w:hAnsi="Calibri" w:cs="Calibri"/>
                <w:sz w:val="20"/>
                <w:szCs w:val="21"/>
              </w:rPr>
            </w:pPr>
          </w:p>
          <w:p w14:paraId="0A626C31">
            <w:pPr>
              <w:rPr>
                <w:rFonts w:ascii="Calibri" w:hAnsi="Calibri" w:cs="Calibri"/>
                <w:sz w:val="20"/>
                <w:szCs w:val="21"/>
              </w:rPr>
            </w:pPr>
            <w:r>
              <w:rPr>
                <w:rFonts w:ascii="Calibri" w:hAnsi="Calibri" w:cs="Calibri"/>
                <w:sz w:val="20"/>
                <w:szCs w:val="21"/>
              </w:rPr>
              <w:t>The examples of name corrections:</w:t>
            </w:r>
          </w:p>
          <w:p w14:paraId="7CDD5762">
            <w:pPr>
              <w:rPr>
                <w:rFonts w:ascii="Calibri" w:hAnsi="Calibri" w:cs="Calibri"/>
                <w:sz w:val="20"/>
                <w:szCs w:val="21"/>
              </w:rPr>
            </w:pPr>
            <w:r>
              <w:rPr>
                <w:rFonts w:ascii="Calibri" w:hAnsi="Calibri" w:cs="Calibri"/>
                <w:sz w:val="20"/>
                <w:szCs w:val="21"/>
              </w:rPr>
              <w:t xml:space="preserve">RACH-configConmonSBFD-r19 </w:t>
            </w:r>
            <w:r>
              <w:rPr>
                <w:rFonts w:ascii="Calibri" w:hAnsi="Calibri" w:cs="Calibri"/>
                <w:sz w:val="20"/>
                <w:szCs w:val="21"/>
              </w:rPr>
              <w:sym w:font="Wingdings" w:char="F0E0"/>
            </w:r>
            <w:r>
              <w:rPr>
                <w:rFonts w:ascii="Calibri" w:hAnsi="Calibri" w:cs="Calibri"/>
                <w:sz w:val="20"/>
                <w:szCs w:val="21"/>
              </w:rPr>
              <w:t xml:space="preserve"> RACH-</w:t>
            </w:r>
            <w:r>
              <w:rPr>
                <w:rFonts w:ascii="Calibri" w:hAnsi="Calibri" w:cs="Calibri"/>
                <w:sz w:val="20"/>
                <w:szCs w:val="21"/>
                <w:highlight w:val="cyan"/>
              </w:rPr>
              <w:t>C</w:t>
            </w:r>
            <w:r>
              <w:rPr>
                <w:rFonts w:ascii="Calibri" w:hAnsi="Calibri" w:cs="Calibri"/>
                <w:sz w:val="20"/>
                <w:szCs w:val="21"/>
              </w:rPr>
              <w:t>onfigConmonSBFD-r19</w:t>
            </w:r>
          </w:p>
          <w:p w14:paraId="526E44A9">
            <w:pPr>
              <w:rPr>
                <w:rFonts w:ascii="Calibri" w:hAnsi="Calibri" w:cs="Calibri"/>
                <w:sz w:val="20"/>
                <w:szCs w:val="21"/>
              </w:rPr>
            </w:pPr>
            <w:r>
              <w:rPr>
                <w:rFonts w:ascii="Calibri" w:hAnsi="Calibri" w:cs="Calibri"/>
                <w:sz w:val="20"/>
                <w:szCs w:val="21"/>
              </w:rPr>
              <w:t xml:space="preserve">sbfd-rsrp-ThresholdRO-Type-r19 </w:t>
            </w:r>
            <w:r>
              <w:rPr>
                <w:rFonts w:ascii="Calibri" w:hAnsi="Calibri" w:cs="Calibri"/>
                <w:sz w:val="20"/>
                <w:szCs w:val="21"/>
              </w:rPr>
              <w:sym w:font="Wingdings" w:char="F0E0"/>
            </w:r>
            <w:r>
              <w:rPr>
                <w:rFonts w:ascii="Calibri" w:hAnsi="Calibri" w:cs="Calibri"/>
                <w:sz w:val="20"/>
                <w:szCs w:val="21"/>
              </w:rPr>
              <w:t xml:space="preserve"> sbfd-</w:t>
            </w:r>
            <w:r>
              <w:rPr>
                <w:rFonts w:ascii="Calibri" w:hAnsi="Calibri" w:cs="Calibri"/>
                <w:sz w:val="20"/>
                <w:szCs w:val="21"/>
                <w:highlight w:val="cyan"/>
              </w:rPr>
              <w:t>RSRP</w:t>
            </w:r>
            <w:r>
              <w:rPr>
                <w:rFonts w:ascii="Calibri" w:hAnsi="Calibri" w:cs="Calibri"/>
                <w:sz w:val="20"/>
                <w:szCs w:val="21"/>
              </w:rPr>
              <w:t>-ThresholdRO-Type-r19</w:t>
            </w:r>
          </w:p>
          <w:p w14:paraId="6553DB5D">
            <w:pPr>
              <w:rPr>
                <w:rFonts w:ascii="Calibri" w:hAnsi="Calibri" w:eastAsia="Times New Roman" w:cs="Calibri"/>
                <w:kern w:val="0"/>
                <w:sz w:val="20"/>
                <w:szCs w:val="20"/>
                <w:lang w:eastAsia="en-US"/>
              </w:rPr>
            </w:pPr>
            <w:r>
              <w:rPr>
                <w:rFonts w:ascii="Calibri" w:hAnsi="Calibri" w:cs="Calibri"/>
                <w:sz w:val="20"/>
                <w:szCs w:val="21"/>
              </w:rPr>
              <w:t>…</w:t>
            </w:r>
          </w:p>
        </w:tc>
        <w:tc>
          <w:tcPr>
            <w:tcW w:w="5022" w:type="dxa"/>
          </w:tcPr>
          <w:p w14:paraId="5D13709A">
            <w:pPr>
              <w:rPr>
                <w:rFonts w:ascii="Calibri" w:hAnsi="Calibri" w:eastAsia="Times New Roman" w:cs="Calibri"/>
                <w:kern w:val="0"/>
                <w:sz w:val="20"/>
                <w:szCs w:val="20"/>
                <w:lang w:eastAsia="en-US"/>
              </w:rPr>
            </w:pPr>
          </w:p>
        </w:tc>
      </w:tr>
      <w:tr w14:paraId="2E48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5FCBC12A">
            <w:pPr>
              <w:rPr>
                <w:rFonts w:ascii="Calibri" w:hAnsi="Calibri" w:eastAsia="Times New Roman" w:cs="Calibri"/>
                <w:kern w:val="0"/>
                <w:sz w:val="20"/>
                <w:szCs w:val="20"/>
                <w:lang w:eastAsia="en-US"/>
              </w:rPr>
            </w:pPr>
            <w:r>
              <w:rPr>
                <w:rFonts w:hint="eastAsia" w:ascii="Calibri" w:hAnsi="Calibri" w:cs="Calibri"/>
                <w:sz w:val="20"/>
                <w:szCs w:val="21"/>
              </w:rPr>
              <w:t>X</w:t>
            </w:r>
            <w:r>
              <w:rPr>
                <w:rFonts w:ascii="Calibri" w:hAnsi="Calibri" w:cs="Calibri"/>
                <w:sz w:val="20"/>
                <w:szCs w:val="21"/>
              </w:rPr>
              <w:t xml:space="preserve">iaomi </w:t>
            </w:r>
          </w:p>
        </w:tc>
        <w:tc>
          <w:tcPr>
            <w:tcW w:w="2484" w:type="dxa"/>
          </w:tcPr>
          <w:p w14:paraId="26BE63D1">
            <w:pPr>
              <w:rPr>
                <w:rFonts w:ascii="Calibri" w:hAnsi="Calibri" w:eastAsia="Times New Roman" w:cs="Calibri"/>
                <w:kern w:val="0"/>
                <w:sz w:val="20"/>
                <w:szCs w:val="20"/>
                <w:lang w:eastAsia="en-US"/>
              </w:rPr>
            </w:pPr>
            <w:r>
              <w:rPr>
                <w:rFonts w:ascii="Calibri" w:hAnsi="Calibri" w:cs="Calibri"/>
                <w:sz w:val="20"/>
                <w:szCs w:val="21"/>
              </w:rPr>
              <w:t xml:space="preserve">sbfd-RACH-SingleConfig-r19 </w:t>
            </w:r>
          </w:p>
        </w:tc>
        <w:tc>
          <w:tcPr>
            <w:tcW w:w="4797" w:type="dxa"/>
          </w:tcPr>
          <w:p w14:paraId="7108108E">
            <w:pPr>
              <w:rPr>
                <w:rFonts w:ascii="Calibri" w:hAnsi="Calibri" w:eastAsia="Times New Roman" w:cs="Calibri"/>
                <w:kern w:val="0"/>
                <w:sz w:val="20"/>
                <w:szCs w:val="20"/>
                <w:lang w:eastAsia="en-US"/>
              </w:rPr>
            </w:pPr>
            <w:r>
              <w:rPr>
                <w:rFonts w:ascii="Calibri" w:hAnsi="Calibri" w:cs="Calibri"/>
                <w:sz w:val="20"/>
                <w:szCs w:val="21"/>
              </w:rPr>
              <w:t xml:space="preserve">In RAN1 parameter list R1-2503155, the IE location (column “Per (UE, cell, TRP, …)”) is empty with </w:t>
            </w:r>
            <w:r>
              <w:rPr>
                <w:rFonts w:ascii="Calibri" w:hAnsi="Calibri" w:cs="Calibri"/>
                <w:sz w:val="20"/>
                <w:szCs w:val="21"/>
                <w:highlight w:val="yellow"/>
              </w:rPr>
              <w:t>yellow</w:t>
            </w:r>
            <w:r>
              <w:rPr>
                <w:rFonts w:ascii="Calibri" w:hAnsi="Calibri" w:cs="Calibri"/>
                <w:sz w:val="20"/>
                <w:szCs w:val="21"/>
              </w:rPr>
              <w:t xml:space="preserve"> background. Not sure whether RAN1 will further update it. Maybe we can have an Editor’s note about the IE location.</w:t>
            </w:r>
          </w:p>
        </w:tc>
        <w:tc>
          <w:tcPr>
            <w:tcW w:w="5022" w:type="dxa"/>
          </w:tcPr>
          <w:p w14:paraId="5D700A4D">
            <w:pPr>
              <w:rPr>
                <w:rFonts w:ascii="Calibri" w:hAnsi="Calibri" w:eastAsia="Times New Roman" w:cs="Calibri"/>
                <w:kern w:val="0"/>
                <w:sz w:val="20"/>
                <w:szCs w:val="20"/>
                <w:lang w:eastAsia="en-US"/>
              </w:rPr>
            </w:pPr>
          </w:p>
        </w:tc>
      </w:tr>
      <w:tr w14:paraId="58B9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2F805F37">
            <w:pPr>
              <w:rPr>
                <w:rFonts w:ascii="Calibri" w:hAnsi="Calibri" w:cs="Calibri"/>
                <w:sz w:val="20"/>
                <w:szCs w:val="21"/>
              </w:rPr>
            </w:pPr>
            <w:r>
              <w:rPr>
                <w:rFonts w:hint="eastAsia" w:ascii="Calibri" w:hAnsi="Calibri" w:cs="Calibri"/>
                <w:sz w:val="20"/>
                <w:szCs w:val="21"/>
              </w:rPr>
              <w:t>X</w:t>
            </w:r>
            <w:r>
              <w:rPr>
                <w:rFonts w:ascii="Calibri" w:hAnsi="Calibri" w:cs="Calibri"/>
                <w:sz w:val="20"/>
                <w:szCs w:val="21"/>
              </w:rPr>
              <w:t>iaomi</w:t>
            </w:r>
          </w:p>
        </w:tc>
        <w:tc>
          <w:tcPr>
            <w:tcW w:w="2484" w:type="dxa"/>
          </w:tcPr>
          <w:p w14:paraId="6AD17F05">
            <w:pPr>
              <w:rPr>
                <w:rFonts w:ascii="Calibri" w:hAnsi="Calibri" w:cs="Calibri"/>
                <w:sz w:val="20"/>
                <w:szCs w:val="21"/>
              </w:rPr>
            </w:pPr>
            <w:r>
              <w:rPr>
                <w:rFonts w:hint="eastAsia" w:ascii="Calibri" w:hAnsi="Calibri" w:cs="Calibri"/>
                <w:sz w:val="20"/>
                <w:szCs w:val="21"/>
              </w:rPr>
              <w:t>R</w:t>
            </w:r>
            <w:r>
              <w:rPr>
                <w:rFonts w:ascii="Calibri" w:hAnsi="Calibri" w:cs="Calibri"/>
                <w:sz w:val="20"/>
                <w:szCs w:val="21"/>
              </w:rPr>
              <w:t xml:space="preserve">elationship between sbfd-RACH-SingleConfig-r19 and sbfd-RACH-DualConfig-r19 </w:t>
            </w:r>
          </w:p>
        </w:tc>
        <w:tc>
          <w:tcPr>
            <w:tcW w:w="4797" w:type="dxa"/>
          </w:tcPr>
          <w:p w14:paraId="2A285210">
            <w:pPr>
              <w:rPr>
                <w:rFonts w:ascii="Calibri" w:hAnsi="Calibri" w:cs="Calibri"/>
                <w:sz w:val="20"/>
                <w:szCs w:val="21"/>
              </w:rPr>
            </w:pPr>
            <w:r>
              <w:rPr>
                <w:rFonts w:hint="eastAsia" w:ascii="Calibri" w:hAnsi="Calibri" w:cs="Calibri"/>
                <w:sz w:val="20"/>
                <w:szCs w:val="21"/>
              </w:rPr>
              <w:t>S</w:t>
            </w:r>
            <w:r>
              <w:rPr>
                <w:rFonts w:ascii="Calibri" w:hAnsi="Calibri" w:cs="Calibri"/>
                <w:sz w:val="20"/>
                <w:szCs w:val="21"/>
              </w:rPr>
              <w:t>imilar comment as ZTE for sbfd-RACH-SingleConfig-r19.</w:t>
            </w:r>
          </w:p>
          <w:p w14:paraId="67E0F532">
            <w:pPr>
              <w:rPr>
                <w:rFonts w:ascii="Calibri" w:hAnsi="Calibri" w:cs="Calibri"/>
                <w:sz w:val="20"/>
                <w:szCs w:val="21"/>
              </w:rPr>
            </w:pPr>
          </w:p>
          <w:p w14:paraId="0202CBF2">
            <w:pPr>
              <w:rPr>
                <w:rFonts w:ascii="Calibri" w:hAnsi="Calibri" w:cs="Calibri"/>
                <w:sz w:val="20"/>
                <w:szCs w:val="21"/>
              </w:rPr>
            </w:pPr>
            <w:r>
              <w:rPr>
                <w:rFonts w:hint="eastAsia" w:ascii="Calibri" w:hAnsi="Calibri" w:cs="Calibri"/>
                <w:sz w:val="20"/>
                <w:szCs w:val="21"/>
              </w:rPr>
              <w:t>I</w:t>
            </w:r>
            <w:r>
              <w:rPr>
                <w:rFonts w:ascii="Calibri" w:hAnsi="Calibri" w:cs="Calibri"/>
                <w:sz w:val="20"/>
                <w:szCs w:val="21"/>
              </w:rPr>
              <w:t>n RAN1#117 meeting, RAN1 agreed that “Enabling both options at the same time for a UE is not supported”. Suggest to capture the restriction in field description or condition.</w:t>
            </w:r>
          </w:p>
        </w:tc>
        <w:tc>
          <w:tcPr>
            <w:tcW w:w="5022" w:type="dxa"/>
          </w:tcPr>
          <w:p w14:paraId="4056B065">
            <w:pPr>
              <w:rPr>
                <w:rFonts w:ascii="Calibri" w:hAnsi="Calibri" w:eastAsia="Times New Roman" w:cs="Calibri"/>
                <w:kern w:val="0"/>
                <w:sz w:val="20"/>
                <w:szCs w:val="20"/>
                <w:lang w:eastAsia="en-US"/>
              </w:rPr>
            </w:pPr>
          </w:p>
        </w:tc>
      </w:tr>
      <w:tr w14:paraId="16EF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C9F0785">
            <w:pPr>
              <w:rPr>
                <w:rFonts w:hint="eastAsia" w:ascii="Calibri" w:hAnsi="Calibri" w:cs="Calibri"/>
                <w:sz w:val="20"/>
                <w:szCs w:val="21"/>
              </w:rPr>
            </w:pPr>
            <w:r>
              <w:rPr>
                <w:rFonts w:hint="eastAsia" w:ascii="Calibri" w:hAnsi="Calibri" w:eastAsia="Malgun Gothic" w:cs="Calibri"/>
                <w:sz w:val="20"/>
                <w:szCs w:val="21"/>
                <w:lang w:eastAsia="ko-KR"/>
              </w:rPr>
              <w:t>LGE001</w:t>
            </w:r>
          </w:p>
        </w:tc>
        <w:tc>
          <w:tcPr>
            <w:tcW w:w="2484" w:type="dxa"/>
          </w:tcPr>
          <w:p w14:paraId="0BF06990">
            <w:pPr>
              <w:rPr>
                <w:rFonts w:hint="eastAsia" w:ascii="Calibri" w:hAnsi="Calibri" w:cs="Calibri"/>
                <w:sz w:val="20"/>
                <w:szCs w:val="21"/>
              </w:rPr>
            </w:pPr>
            <w:r>
              <w:rPr>
                <w:rFonts w:hint="eastAsia" w:ascii="Calibri" w:hAnsi="Calibri" w:eastAsia="Malgun Gothic" w:cs="Calibri"/>
                <w:sz w:val="20"/>
                <w:szCs w:val="21"/>
                <w:lang w:eastAsia="ko-KR"/>
              </w:rPr>
              <w:t>-</w:t>
            </w:r>
          </w:p>
        </w:tc>
        <w:tc>
          <w:tcPr>
            <w:tcW w:w="4797" w:type="dxa"/>
          </w:tcPr>
          <w:p w14:paraId="2229A02E">
            <w:pPr>
              <w:rPr>
                <w:rFonts w:ascii="Calibri" w:hAnsi="Calibri" w:eastAsia="Malgun Gothic" w:cs="Calibri"/>
                <w:sz w:val="20"/>
                <w:szCs w:val="21"/>
                <w:lang w:eastAsia="ko-KR"/>
              </w:rPr>
            </w:pPr>
            <w:r>
              <w:rPr>
                <w:rFonts w:hint="eastAsia" w:ascii="Calibri" w:hAnsi="Calibri" w:eastAsia="Malgun Gothic" w:cs="Calibri"/>
                <w:sz w:val="20"/>
                <w:szCs w:val="21"/>
                <w:lang w:eastAsia="ko-KR"/>
              </w:rPr>
              <w:t xml:space="preserve">Remove unchanged IE and clauses. </w:t>
            </w:r>
          </w:p>
          <w:p w14:paraId="210E7089">
            <w:pPr>
              <w:rPr>
                <w:rFonts w:hint="eastAsia" w:ascii="Calibri" w:hAnsi="Calibri" w:cs="Calibri"/>
                <w:sz w:val="20"/>
                <w:szCs w:val="21"/>
              </w:rPr>
            </w:pPr>
            <w:r>
              <w:rPr>
                <w:rFonts w:hint="eastAsia" w:ascii="Calibri" w:hAnsi="Calibri" w:eastAsia="Malgun Gothic" w:cs="Calibri"/>
                <w:sz w:val="20"/>
                <w:szCs w:val="21"/>
                <w:lang w:eastAsia="ko-KR"/>
              </w:rPr>
              <w:t xml:space="preserve">Given </w:t>
            </w:r>
            <w:r>
              <w:rPr>
                <w:rFonts w:ascii="Calibri" w:hAnsi="Calibri" w:eastAsia="Malgun Gothic" w:cs="Calibri"/>
                <w:sz w:val="20"/>
                <w:szCs w:val="21"/>
                <w:lang w:eastAsia="ko-KR"/>
              </w:rPr>
              <w:t>that</w:t>
            </w:r>
            <w:r>
              <w:rPr>
                <w:rFonts w:hint="eastAsia" w:ascii="Calibri" w:hAnsi="Calibri" w:eastAsia="Malgun Gothic" w:cs="Calibri"/>
                <w:sz w:val="20"/>
                <w:szCs w:val="21"/>
                <w:lang w:eastAsia="ko-KR"/>
              </w:rPr>
              <w:t xml:space="preserve"> RRC spec is large-sized, it is really hard to review unless the running RRC CR only includes essential part.</w:t>
            </w:r>
          </w:p>
        </w:tc>
        <w:tc>
          <w:tcPr>
            <w:tcW w:w="5022" w:type="dxa"/>
          </w:tcPr>
          <w:p w14:paraId="42000C97">
            <w:pPr>
              <w:rPr>
                <w:rFonts w:ascii="Calibri" w:hAnsi="Calibri" w:eastAsia="Times New Roman" w:cs="Calibri"/>
                <w:kern w:val="0"/>
                <w:sz w:val="20"/>
                <w:szCs w:val="20"/>
                <w:lang w:eastAsia="en-US"/>
              </w:rPr>
            </w:pPr>
          </w:p>
        </w:tc>
      </w:tr>
      <w:tr w14:paraId="18C1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BC13634">
            <w:pPr>
              <w:rPr>
                <w:rFonts w:hint="eastAsia" w:ascii="Calibri" w:hAnsi="Calibri" w:cs="Calibri"/>
                <w:sz w:val="20"/>
                <w:szCs w:val="21"/>
              </w:rPr>
            </w:pPr>
            <w:r>
              <w:rPr>
                <w:rFonts w:hint="eastAsia" w:ascii="Calibri" w:hAnsi="Calibri" w:eastAsia="Malgun Gothic" w:cs="Calibri"/>
                <w:sz w:val="20"/>
                <w:szCs w:val="21"/>
                <w:lang w:eastAsia="ko-KR"/>
              </w:rPr>
              <w:t>LGE002</w:t>
            </w:r>
          </w:p>
        </w:tc>
        <w:tc>
          <w:tcPr>
            <w:tcW w:w="2484" w:type="dxa"/>
          </w:tcPr>
          <w:p w14:paraId="6E496139">
            <w:pPr>
              <w:rPr>
                <w:rFonts w:hint="eastAsia" w:ascii="Calibri" w:hAnsi="Calibri" w:cs="Calibri"/>
                <w:sz w:val="20"/>
                <w:szCs w:val="21"/>
              </w:rPr>
            </w:pPr>
            <w:r>
              <w:rPr>
                <w:rFonts w:ascii="Calibri" w:hAnsi="Calibri" w:cs="Calibri"/>
                <w:sz w:val="20"/>
                <w:szCs w:val="21"/>
              </w:rPr>
              <w:t>sbfd-rsrp-ThresholdMsg1-RepetitionNum2</w:t>
            </w:r>
            <w:r>
              <w:rPr>
                <w:rFonts w:hint="eastAsia" w:ascii="Calibri" w:hAnsi="Calibri" w:eastAsia="Malgun Gothic" w:cs="Calibri"/>
                <w:sz w:val="20"/>
                <w:szCs w:val="21"/>
                <w:lang w:eastAsia="ko-KR"/>
              </w:rPr>
              <w:t xml:space="preserve">/4/8 IE in </w:t>
            </w:r>
            <w:r>
              <w:rPr>
                <w:rFonts w:ascii="Calibri" w:hAnsi="Calibri" w:eastAsia="Malgun Gothic" w:cs="Calibri"/>
                <w:sz w:val="20"/>
                <w:szCs w:val="21"/>
                <w:lang w:eastAsia="ko-KR"/>
              </w:rPr>
              <w:t>RACH-configConmonSBFD</w:t>
            </w:r>
          </w:p>
        </w:tc>
        <w:tc>
          <w:tcPr>
            <w:tcW w:w="4797" w:type="dxa"/>
          </w:tcPr>
          <w:p w14:paraId="22DC5633">
            <w:pPr>
              <w:rPr>
                <w:rFonts w:ascii="Calibri" w:hAnsi="Calibri" w:eastAsia="Malgun Gothic" w:cs="Calibri"/>
                <w:sz w:val="20"/>
                <w:szCs w:val="21"/>
                <w:lang w:eastAsia="ko-KR"/>
              </w:rPr>
            </w:pPr>
            <w:r>
              <w:rPr>
                <w:rFonts w:ascii="Calibri" w:hAnsi="Calibri" w:eastAsia="Malgun Gothic" w:cs="Calibri"/>
                <w:sz w:val="20"/>
                <w:szCs w:val="21"/>
                <w:lang w:eastAsia="ko-KR"/>
              </w:rPr>
              <w:t>According</w:t>
            </w:r>
            <w:r>
              <w:rPr>
                <w:rFonts w:hint="eastAsia" w:ascii="Calibri" w:hAnsi="Calibri" w:eastAsia="Malgun Gothic" w:cs="Calibri"/>
                <w:sz w:val="20"/>
                <w:szCs w:val="21"/>
                <w:lang w:eastAsia="ko-KR"/>
              </w:rPr>
              <w:t xml:space="preserve"> to RAN1 parameter list, the separated RSRP threshold to determine Msg1 repetition number for SBFD RO is </w:t>
            </w:r>
            <w:r>
              <w:rPr>
                <w:rFonts w:ascii="Calibri" w:hAnsi="Calibri" w:eastAsia="Malgun Gothic" w:cs="Calibri"/>
                <w:sz w:val="20"/>
                <w:szCs w:val="21"/>
                <w:lang w:eastAsia="ko-KR"/>
              </w:rPr>
              <w:t>configured</w:t>
            </w:r>
            <w:r>
              <w:rPr>
                <w:rFonts w:hint="eastAsia" w:ascii="Calibri" w:hAnsi="Calibri" w:eastAsia="Malgun Gothic" w:cs="Calibri"/>
                <w:sz w:val="20"/>
                <w:szCs w:val="21"/>
                <w:lang w:eastAsia="ko-KR"/>
              </w:rPr>
              <w:t xml:space="preserve"> for each BWP, not for each RACH partition.</w:t>
            </w:r>
          </w:p>
          <w:p w14:paraId="79E3A523">
            <w:pPr>
              <w:rPr>
                <w:rFonts w:ascii="Calibri" w:hAnsi="Calibri" w:eastAsia="Malgun Gothic" w:cs="Calibri"/>
                <w:sz w:val="20"/>
                <w:szCs w:val="21"/>
                <w:lang w:eastAsia="ko-KR"/>
              </w:rPr>
            </w:pPr>
            <w:r>
              <w:rPr>
                <w:rFonts w:hint="eastAsia" w:ascii="Calibri" w:hAnsi="Calibri" w:eastAsia="Malgun Gothic" w:cs="Calibri"/>
                <w:sz w:val="20"/>
                <w:szCs w:val="21"/>
                <w:lang w:eastAsia="ko-KR"/>
              </w:rPr>
              <w:t xml:space="preserve">Given that legacy RSRP threshold to determine Msg1 repetition number in legacy RO is configured within BWP-UplinkCommon IE, this separated RSRP </w:t>
            </w:r>
            <w:r>
              <w:rPr>
                <w:rFonts w:ascii="Calibri" w:hAnsi="Calibri" w:eastAsia="Malgun Gothic" w:cs="Calibri"/>
                <w:sz w:val="20"/>
                <w:szCs w:val="21"/>
                <w:lang w:eastAsia="ko-KR"/>
              </w:rPr>
              <w:t>threshold</w:t>
            </w:r>
            <w:r>
              <w:rPr>
                <w:rFonts w:hint="eastAsia" w:ascii="Calibri" w:hAnsi="Calibri" w:eastAsia="Malgun Gothic" w:cs="Calibri"/>
                <w:sz w:val="20"/>
                <w:szCs w:val="21"/>
                <w:lang w:eastAsia="ko-KR"/>
              </w:rPr>
              <w:t xml:space="preserve"> should be configured in the same place, i.e., directly within BWP-UplinkCommon IE. There is no need to further configure these thresholds in AdditionalRACH-Config IE.</w:t>
            </w:r>
          </w:p>
          <w:p w14:paraId="1023BD1F">
            <w:pPr>
              <w:rPr>
                <w:rFonts w:hint="eastAsia" w:ascii="Calibri" w:hAnsi="Calibri" w:cs="Calibri"/>
                <w:sz w:val="20"/>
                <w:szCs w:val="21"/>
              </w:rPr>
            </w:pPr>
            <w:r>
              <w:rPr>
                <w:rFonts w:hint="eastAsia" w:ascii="Calibri" w:hAnsi="Calibri" w:eastAsia="Malgun Gothic" w:cs="Calibri"/>
                <w:sz w:val="20"/>
                <w:szCs w:val="21"/>
                <w:lang w:eastAsia="ko-KR"/>
              </w:rPr>
              <w:t xml:space="preserve">Suggestion: move </w:t>
            </w:r>
            <w:r>
              <w:rPr>
                <w:rFonts w:ascii="Calibri" w:hAnsi="Calibri" w:cs="Calibri"/>
                <w:sz w:val="20"/>
                <w:szCs w:val="21"/>
              </w:rPr>
              <w:t>sbfd-rsrp-ThresholdMsg1-RepetitionNum2</w:t>
            </w:r>
            <w:r>
              <w:rPr>
                <w:rFonts w:hint="eastAsia" w:ascii="Calibri" w:hAnsi="Calibri" w:eastAsia="Malgun Gothic" w:cs="Calibri"/>
                <w:sz w:val="20"/>
                <w:szCs w:val="21"/>
                <w:lang w:eastAsia="ko-KR"/>
              </w:rPr>
              <w:t>/4/8 to directly in BWP-UplinkCommon IE and remove these from RACH-ConfigCommonSBFD IE.</w:t>
            </w:r>
          </w:p>
        </w:tc>
        <w:tc>
          <w:tcPr>
            <w:tcW w:w="5022" w:type="dxa"/>
          </w:tcPr>
          <w:p w14:paraId="461B1A04">
            <w:pPr>
              <w:rPr>
                <w:rFonts w:ascii="Calibri" w:hAnsi="Calibri" w:eastAsia="Times New Roman" w:cs="Calibri"/>
                <w:kern w:val="0"/>
                <w:sz w:val="20"/>
                <w:szCs w:val="20"/>
                <w:lang w:eastAsia="en-US"/>
              </w:rPr>
            </w:pPr>
          </w:p>
        </w:tc>
      </w:tr>
      <w:tr w14:paraId="0DD3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F53F5E6">
            <w:pPr>
              <w:rPr>
                <w:rFonts w:hint="eastAsia" w:ascii="Calibri" w:hAnsi="Calibri" w:cs="Calibri"/>
                <w:sz w:val="20"/>
                <w:szCs w:val="21"/>
              </w:rPr>
            </w:pPr>
            <w:r>
              <w:rPr>
                <w:rFonts w:hint="eastAsia" w:ascii="Calibri" w:hAnsi="Calibri" w:eastAsia="Malgun Gothic" w:cs="Calibri"/>
                <w:sz w:val="20"/>
                <w:szCs w:val="21"/>
                <w:lang w:eastAsia="ko-KR"/>
              </w:rPr>
              <w:t>LGE003</w:t>
            </w:r>
          </w:p>
        </w:tc>
        <w:tc>
          <w:tcPr>
            <w:tcW w:w="2484" w:type="dxa"/>
          </w:tcPr>
          <w:p w14:paraId="130D3FBD">
            <w:pPr>
              <w:rPr>
                <w:rFonts w:hint="eastAsia" w:ascii="Calibri" w:hAnsi="Calibri" w:cs="Calibri"/>
                <w:sz w:val="20"/>
                <w:szCs w:val="21"/>
              </w:rPr>
            </w:pPr>
            <w:r>
              <w:rPr>
                <w:rFonts w:ascii="Calibri" w:hAnsi="Calibri" w:cs="Calibri"/>
                <w:i/>
                <w:sz w:val="20"/>
                <w:szCs w:val="21"/>
                <w:lang w:val="en-GB"/>
              </w:rPr>
              <w:t>sbfd-RACH-SingleConfig</w:t>
            </w:r>
          </w:p>
        </w:tc>
        <w:tc>
          <w:tcPr>
            <w:tcW w:w="4797" w:type="dxa"/>
          </w:tcPr>
          <w:p w14:paraId="48061D0E">
            <w:pPr>
              <w:rPr>
                <w:rFonts w:ascii="Calibri" w:hAnsi="Calibri" w:eastAsia="Malgun Gothic" w:cs="Calibri"/>
                <w:sz w:val="20"/>
                <w:szCs w:val="21"/>
                <w:lang w:eastAsia="ko-KR"/>
              </w:rPr>
            </w:pPr>
            <w:r>
              <w:rPr>
                <w:rFonts w:hint="eastAsia" w:ascii="Calibri" w:hAnsi="Calibri" w:eastAsia="Malgun Gothic" w:cs="Calibri"/>
                <w:sz w:val="20"/>
                <w:szCs w:val="21"/>
                <w:lang w:eastAsia="ko-KR"/>
              </w:rPr>
              <w:t>We may need to further discuss whether the this indication (i.e., indicating</w:t>
            </w:r>
            <w:r>
              <w:rPr>
                <w:rFonts w:ascii="Calibri" w:hAnsi="Calibri" w:eastAsia="Malgun Gothic" w:cs="Calibri"/>
                <w:sz w:val="20"/>
                <w:szCs w:val="21"/>
                <w:lang w:eastAsia="ko-KR"/>
              </w:rPr>
              <w:t xml:space="preserve"> whether RACH configuration Option 1 for SBFD random access operation is enabled or not from network side</w:t>
            </w:r>
            <w:r>
              <w:rPr>
                <w:rFonts w:hint="eastAsia" w:ascii="Calibri" w:hAnsi="Calibri" w:eastAsia="Malgun Gothic" w:cs="Calibri"/>
                <w:sz w:val="20"/>
                <w:szCs w:val="21"/>
                <w:lang w:eastAsia="ko-KR"/>
              </w:rPr>
              <w:t xml:space="preserve">) </w:t>
            </w:r>
            <w:r>
              <w:rPr>
                <w:rFonts w:ascii="Calibri" w:hAnsi="Calibri" w:eastAsia="Malgun Gothic" w:cs="Calibri"/>
                <w:sz w:val="20"/>
                <w:szCs w:val="21"/>
                <w:lang w:eastAsia="ko-KR"/>
              </w:rPr>
              <w:t>should</w:t>
            </w:r>
            <w:r>
              <w:rPr>
                <w:rFonts w:hint="eastAsia" w:ascii="Calibri" w:hAnsi="Calibri" w:eastAsia="Malgun Gothic" w:cs="Calibri"/>
                <w:sz w:val="20"/>
                <w:szCs w:val="21"/>
                <w:lang w:eastAsia="ko-KR"/>
              </w:rPr>
              <w:t xml:space="preserve"> be </w:t>
            </w:r>
            <w:r>
              <w:rPr>
                <w:rFonts w:ascii="Calibri" w:hAnsi="Calibri" w:eastAsia="Malgun Gothic" w:cs="Calibri"/>
                <w:sz w:val="20"/>
                <w:szCs w:val="21"/>
                <w:lang w:eastAsia="ko-KR"/>
              </w:rPr>
              <w:t>configured</w:t>
            </w:r>
            <w:r>
              <w:rPr>
                <w:rFonts w:hint="eastAsia" w:ascii="Calibri" w:hAnsi="Calibri" w:eastAsia="Malgun Gothic" w:cs="Calibri"/>
                <w:sz w:val="20"/>
                <w:szCs w:val="21"/>
                <w:lang w:eastAsia="ko-KR"/>
              </w:rPr>
              <w:t xml:space="preserve"> for each Cell/BWP or for each RACH configuration). We are okay for companies</w:t>
            </w:r>
            <w:r>
              <w:rPr>
                <w:rFonts w:ascii="Calibri" w:hAnsi="Calibri" w:eastAsia="Malgun Gothic" w:cs="Calibri"/>
                <w:sz w:val="20"/>
                <w:szCs w:val="21"/>
                <w:lang w:eastAsia="ko-KR"/>
              </w:rPr>
              <w:t>’</w:t>
            </w:r>
            <w:r>
              <w:rPr>
                <w:rFonts w:hint="eastAsia" w:ascii="Calibri" w:hAnsi="Calibri" w:eastAsia="Malgun Gothic" w:cs="Calibri"/>
                <w:sz w:val="20"/>
                <w:szCs w:val="21"/>
                <w:lang w:eastAsia="ko-KR"/>
              </w:rPr>
              <w:t xml:space="preserve"> view but given that there is no explicit discussion on this, propose to add an EN to further discuss.</w:t>
            </w:r>
          </w:p>
          <w:p w14:paraId="7E52FE90">
            <w:pPr>
              <w:rPr>
                <w:rFonts w:hint="eastAsia" w:ascii="Calibri" w:hAnsi="Calibri" w:cs="Calibri"/>
                <w:sz w:val="20"/>
                <w:szCs w:val="21"/>
              </w:rPr>
            </w:pPr>
          </w:p>
        </w:tc>
        <w:tc>
          <w:tcPr>
            <w:tcW w:w="5022" w:type="dxa"/>
          </w:tcPr>
          <w:p w14:paraId="50FCD066">
            <w:pPr>
              <w:rPr>
                <w:rFonts w:ascii="Calibri" w:hAnsi="Calibri" w:eastAsia="Times New Roman" w:cs="Calibri"/>
                <w:kern w:val="0"/>
                <w:sz w:val="20"/>
                <w:szCs w:val="20"/>
                <w:lang w:eastAsia="en-US"/>
              </w:rPr>
            </w:pPr>
          </w:p>
        </w:tc>
      </w:tr>
      <w:tr w14:paraId="0CB1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54B24A5C">
            <w:pPr>
              <w:rPr>
                <w:rFonts w:hint="eastAsia" w:ascii="Calibri" w:hAnsi="Calibri" w:cs="Calibri"/>
                <w:sz w:val="20"/>
                <w:szCs w:val="21"/>
              </w:rPr>
            </w:pPr>
            <w:r>
              <w:rPr>
                <w:rFonts w:hint="eastAsia" w:ascii="Calibri" w:hAnsi="Calibri" w:eastAsia="Malgun Gothic" w:cs="Calibri"/>
                <w:sz w:val="20"/>
                <w:szCs w:val="21"/>
                <w:lang w:eastAsia="ko-KR"/>
              </w:rPr>
              <w:t>LGE004</w:t>
            </w:r>
          </w:p>
        </w:tc>
        <w:tc>
          <w:tcPr>
            <w:tcW w:w="2484" w:type="dxa"/>
          </w:tcPr>
          <w:p w14:paraId="56DB857C">
            <w:pPr>
              <w:rPr>
                <w:rFonts w:hint="eastAsia" w:ascii="Calibri" w:hAnsi="Calibri" w:cs="Calibri"/>
                <w:sz w:val="20"/>
                <w:szCs w:val="21"/>
              </w:rPr>
            </w:pPr>
            <w:r>
              <w:rPr>
                <w:rFonts w:ascii="Calibri" w:hAnsi="Calibri" w:cs="Calibri"/>
                <w:i/>
                <w:sz w:val="20"/>
                <w:szCs w:val="21"/>
                <w:lang w:val="en-GB"/>
              </w:rPr>
              <w:t>sbfd-RACH-SingleConfig</w:t>
            </w:r>
            <w:r>
              <w:rPr>
                <w:rFonts w:hint="eastAsia" w:ascii="Calibri" w:hAnsi="Calibri" w:eastAsia="Malgun Gothic" w:cs="Calibri"/>
                <w:i/>
                <w:sz w:val="20"/>
                <w:szCs w:val="21"/>
                <w:lang w:val="en-GB" w:eastAsia="ko-KR"/>
              </w:rPr>
              <w:t xml:space="preserve"> </w:t>
            </w:r>
            <w:r>
              <w:rPr>
                <w:rFonts w:hint="eastAsia" w:ascii="Calibri" w:hAnsi="Calibri" w:eastAsia="Malgun Gothic" w:cs="Calibri"/>
                <w:iCs/>
                <w:sz w:val="20"/>
                <w:szCs w:val="21"/>
                <w:lang w:val="en-GB" w:eastAsia="ko-KR"/>
              </w:rPr>
              <w:t>and</w:t>
            </w:r>
            <w:r>
              <w:rPr>
                <w:rFonts w:hint="eastAsia" w:ascii="Calibri" w:hAnsi="Calibri" w:eastAsia="Malgun Gothic" w:cs="Calibri"/>
                <w:i/>
                <w:sz w:val="20"/>
                <w:szCs w:val="21"/>
                <w:lang w:val="en-GB" w:eastAsia="ko-KR"/>
              </w:rPr>
              <w:t xml:space="preserve"> </w:t>
            </w:r>
            <w:r>
              <w:rPr>
                <w:rFonts w:ascii="Calibri" w:hAnsi="Calibri" w:eastAsia="Malgun Gothic" w:cs="Calibri"/>
                <w:i/>
                <w:sz w:val="20"/>
                <w:szCs w:val="21"/>
                <w:lang w:val="en-GB" w:eastAsia="ko-KR"/>
              </w:rPr>
              <w:t>sbfd-RACH-DualConfig</w:t>
            </w:r>
            <w:r>
              <w:rPr>
                <w:rFonts w:hint="eastAsia" w:ascii="Calibri" w:hAnsi="Calibri" w:eastAsia="Malgun Gothic" w:cs="Calibri"/>
                <w:iCs/>
                <w:sz w:val="20"/>
                <w:szCs w:val="21"/>
                <w:lang w:val="en-GB" w:eastAsia="ko-KR"/>
              </w:rPr>
              <w:t xml:space="preserve"> in </w:t>
            </w:r>
            <w:r>
              <w:rPr>
                <w:rFonts w:ascii="Calibri" w:hAnsi="Calibri" w:cs="Calibri"/>
                <w:iCs/>
                <w:sz w:val="20"/>
                <w:szCs w:val="21"/>
                <w:lang w:val="en-GB"/>
              </w:rPr>
              <w:t>BWP</w:t>
            </w:r>
            <w:r>
              <w:rPr>
                <w:rFonts w:ascii="Calibri" w:hAnsi="Calibri" w:cs="Calibri"/>
                <w:i/>
                <w:sz w:val="20"/>
                <w:szCs w:val="21"/>
                <w:lang w:val="en-GB"/>
              </w:rPr>
              <w:t>-UplinkCommon</w:t>
            </w:r>
            <w:r>
              <w:rPr>
                <w:rFonts w:hint="eastAsia" w:ascii="Calibri" w:hAnsi="Calibri" w:eastAsia="Malgun Gothic" w:cs="Calibri"/>
                <w:i/>
                <w:sz w:val="20"/>
                <w:szCs w:val="21"/>
                <w:lang w:val="en-GB" w:eastAsia="ko-KR"/>
              </w:rPr>
              <w:t xml:space="preserve"> </w:t>
            </w:r>
            <w:r>
              <w:rPr>
                <w:rFonts w:hint="eastAsia" w:ascii="Calibri" w:hAnsi="Calibri" w:eastAsia="Malgun Gothic" w:cs="Calibri"/>
                <w:iCs/>
                <w:sz w:val="20"/>
                <w:szCs w:val="21"/>
                <w:lang w:val="en-GB" w:eastAsia="ko-KR"/>
              </w:rPr>
              <w:t>IE</w:t>
            </w:r>
          </w:p>
        </w:tc>
        <w:tc>
          <w:tcPr>
            <w:tcW w:w="4797" w:type="dxa"/>
          </w:tcPr>
          <w:p w14:paraId="4F8F2F60">
            <w:pPr>
              <w:rPr>
                <w:rFonts w:hint="eastAsia" w:ascii="Calibri" w:hAnsi="Calibri" w:eastAsia="Malgun Gothic" w:cs="Calibri"/>
                <w:sz w:val="20"/>
                <w:szCs w:val="21"/>
                <w:lang w:eastAsia="ko-KR"/>
              </w:rPr>
            </w:pPr>
            <w:r>
              <w:rPr>
                <w:rFonts w:hint="eastAsia" w:ascii="Calibri" w:hAnsi="Calibri" w:cs="Calibri"/>
                <w:sz w:val="20"/>
                <w:szCs w:val="21"/>
              </w:rPr>
              <w:t>S</w:t>
            </w:r>
            <w:r>
              <w:rPr>
                <w:rFonts w:ascii="Calibri" w:hAnsi="Calibri" w:cs="Calibri"/>
                <w:sz w:val="20"/>
                <w:szCs w:val="21"/>
              </w:rPr>
              <w:t>imilar comment as ZTE</w:t>
            </w:r>
            <w:r>
              <w:rPr>
                <w:rFonts w:hint="eastAsia" w:ascii="Calibri" w:hAnsi="Calibri" w:eastAsia="Malgun Gothic" w:cs="Calibri"/>
                <w:sz w:val="20"/>
                <w:szCs w:val="21"/>
                <w:lang w:eastAsia="ko-KR"/>
              </w:rPr>
              <w:t>.</w:t>
            </w:r>
          </w:p>
          <w:p w14:paraId="37353964">
            <w:pPr>
              <w:rPr>
                <w:rFonts w:ascii="Calibri" w:hAnsi="Calibri" w:eastAsia="Malgun Gothic" w:cs="Calibri"/>
                <w:sz w:val="20"/>
                <w:szCs w:val="21"/>
                <w:lang w:eastAsia="ko-KR"/>
              </w:rPr>
            </w:pPr>
            <w:r>
              <w:rPr>
                <w:rFonts w:hint="eastAsia" w:ascii="Calibri" w:hAnsi="Calibri" w:eastAsia="Malgun Gothic" w:cs="Calibri"/>
                <w:sz w:val="20"/>
                <w:szCs w:val="21"/>
                <w:lang w:eastAsia="ko-KR"/>
              </w:rPr>
              <w:t>In RAN2#128 meeting, it is agreed that only one RACH configuration option is supported in a cell:</w:t>
            </w:r>
          </w:p>
          <w:p w14:paraId="0FE77478">
            <w:pPr>
              <w:pStyle w:val="14"/>
              <w:numPr>
                <w:ilvl w:val="0"/>
                <w:numId w:val="1"/>
              </w:numPr>
              <w:ind w:leftChars="0"/>
              <w:rPr>
                <w:rFonts w:ascii="Calibri" w:hAnsi="Calibri" w:eastAsia="Malgun Gothic" w:cs="Calibri"/>
                <w:sz w:val="20"/>
                <w:szCs w:val="21"/>
                <w:lang w:eastAsia="ko-KR"/>
              </w:rPr>
            </w:pPr>
            <w:r>
              <w:t>Only one RACH configuration option (i.e., either RACH configuration Option 1 with Alt 1-1 or RACH configuration Option 2) is supported in a cell.</w:t>
            </w:r>
          </w:p>
          <w:p w14:paraId="3E9CCCA0">
            <w:pPr>
              <w:rPr>
                <w:rFonts w:hint="eastAsia" w:ascii="Calibri" w:hAnsi="Calibri" w:cs="Calibri"/>
                <w:sz w:val="20"/>
                <w:szCs w:val="21"/>
              </w:rPr>
            </w:pPr>
            <w:r>
              <w:rPr>
                <w:rFonts w:hint="eastAsia" w:ascii="Calibri" w:hAnsi="Calibri" w:eastAsia="Malgun Gothic" w:cs="Calibri"/>
                <w:sz w:val="20"/>
                <w:szCs w:val="21"/>
                <w:lang w:eastAsia="ko-KR"/>
              </w:rPr>
              <w:t>Therefore, some network restriction to allow only one RACH configuration option in a cell should be specified, e.g., in field description or in conditional presence.</w:t>
            </w:r>
          </w:p>
        </w:tc>
        <w:tc>
          <w:tcPr>
            <w:tcW w:w="5022" w:type="dxa"/>
          </w:tcPr>
          <w:p w14:paraId="2062E327">
            <w:pPr>
              <w:rPr>
                <w:rFonts w:ascii="Calibri" w:hAnsi="Calibri" w:eastAsia="Times New Roman" w:cs="Calibri"/>
                <w:kern w:val="0"/>
                <w:sz w:val="20"/>
                <w:szCs w:val="20"/>
                <w:lang w:eastAsia="en-US"/>
              </w:rPr>
            </w:pPr>
          </w:p>
        </w:tc>
      </w:tr>
      <w:tr w14:paraId="0CFB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612520">
            <w:pPr>
              <w:rPr>
                <w:rFonts w:hint="eastAsia" w:ascii="Calibri" w:hAnsi="Calibri" w:cs="Calibri"/>
                <w:sz w:val="20"/>
                <w:szCs w:val="21"/>
              </w:rPr>
            </w:pPr>
            <w:r>
              <w:rPr>
                <w:rFonts w:hint="eastAsia" w:ascii="Calibri" w:hAnsi="Calibri" w:eastAsia="Malgun Gothic" w:cs="Calibri"/>
                <w:sz w:val="20"/>
                <w:szCs w:val="21"/>
                <w:lang w:eastAsia="ko-KR"/>
              </w:rPr>
              <w:t>LGE005</w:t>
            </w:r>
          </w:p>
        </w:tc>
        <w:tc>
          <w:tcPr>
            <w:tcW w:w="2484" w:type="dxa"/>
          </w:tcPr>
          <w:p w14:paraId="1DD9FA4B">
            <w:pPr>
              <w:rPr>
                <w:rFonts w:hint="eastAsia" w:ascii="Calibri" w:hAnsi="Calibri" w:cs="Calibri"/>
                <w:sz w:val="20"/>
                <w:szCs w:val="21"/>
              </w:rPr>
            </w:pPr>
            <w:r>
              <w:rPr>
                <w:rFonts w:ascii="Calibri" w:hAnsi="Calibri" w:cs="Calibri"/>
                <w:sz w:val="20"/>
                <w:szCs w:val="21"/>
              </w:rPr>
              <w:t>ra-OccasionType</w:t>
            </w:r>
            <w:r>
              <w:rPr>
                <w:rFonts w:hint="eastAsia" w:ascii="Calibri" w:hAnsi="Calibri" w:eastAsia="Malgun Gothic" w:cs="Calibri"/>
                <w:sz w:val="20"/>
                <w:szCs w:val="21"/>
                <w:lang w:eastAsia="ko-KR"/>
              </w:rPr>
              <w:t xml:space="preserve"> in </w:t>
            </w:r>
            <w:r>
              <w:rPr>
                <w:rFonts w:ascii="Calibri" w:hAnsi="Calibri" w:eastAsia="Malgun Gothic" w:cs="Calibri"/>
                <w:i/>
                <w:sz w:val="20"/>
                <w:szCs w:val="21"/>
                <w:lang w:val="en-GB" w:eastAsia="ko-KR"/>
              </w:rPr>
              <w:t>BeamFailureRecoveryConfig</w:t>
            </w:r>
          </w:p>
        </w:tc>
        <w:tc>
          <w:tcPr>
            <w:tcW w:w="4797" w:type="dxa"/>
          </w:tcPr>
          <w:p w14:paraId="6FDC5112">
            <w:pPr>
              <w:rPr>
                <w:rFonts w:ascii="Calibri" w:hAnsi="Calibri" w:eastAsia="Malgun Gothic" w:cs="Calibri"/>
                <w:sz w:val="20"/>
                <w:szCs w:val="21"/>
                <w:lang w:eastAsia="ko-KR"/>
              </w:rPr>
            </w:pPr>
            <w:r>
              <w:rPr>
                <w:rFonts w:hint="eastAsia" w:ascii="Calibri" w:hAnsi="Calibri" w:eastAsia="Malgun Gothic" w:cs="Calibri"/>
                <w:sz w:val="20"/>
                <w:szCs w:val="21"/>
                <w:lang w:eastAsia="ko-KR"/>
              </w:rPr>
              <w:t xml:space="preserve">In our understanding, this indication is </w:t>
            </w:r>
            <w:r>
              <w:rPr>
                <w:rFonts w:ascii="Calibri" w:hAnsi="Calibri" w:eastAsia="Malgun Gothic" w:cs="Calibri"/>
                <w:sz w:val="20"/>
                <w:szCs w:val="21"/>
                <w:lang w:eastAsia="ko-KR"/>
              </w:rPr>
              <w:t>intended</w:t>
            </w:r>
            <w:r>
              <w:rPr>
                <w:rFonts w:hint="eastAsia" w:ascii="Calibri" w:hAnsi="Calibri" w:eastAsia="Malgun Gothic" w:cs="Calibri"/>
                <w:sz w:val="20"/>
                <w:szCs w:val="21"/>
                <w:lang w:eastAsia="ko-KR"/>
              </w:rPr>
              <w:t xml:space="preserve"> to indicate RO type in </w:t>
            </w:r>
            <w:r>
              <w:rPr>
                <w:rFonts w:hint="eastAsia" w:ascii="Calibri" w:hAnsi="Calibri" w:eastAsia="Malgun Gothic" w:cs="Calibri"/>
                <w:b/>
                <w:bCs/>
                <w:sz w:val="20"/>
                <w:szCs w:val="21"/>
                <w:u w:val="single"/>
                <w:lang w:eastAsia="ko-KR"/>
              </w:rPr>
              <w:t>CFRA</w:t>
            </w:r>
            <w:r>
              <w:rPr>
                <w:rFonts w:hint="eastAsia" w:ascii="Calibri" w:hAnsi="Calibri" w:eastAsia="Malgun Gothic" w:cs="Calibri"/>
                <w:sz w:val="20"/>
                <w:szCs w:val="21"/>
                <w:lang w:eastAsia="ko-KR"/>
              </w:rPr>
              <w:t xml:space="preserve"> case:</w:t>
            </w:r>
          </w:p>
          <w:p w14:paraId="721F0F08">
            <w:pPr>
              <w:pStyle w:val="14"/>
              <w:numPr>
                <w:ilvl w:val="0"/>
                <w:numId w:val="1"/>
              </w:numPr>
              <w:ind w:leftChars="0"/>
              <w:rPr>
                <w:rFonts w:ascii="Calibri" w:hAnsi="Calibri" w:eastAsia="Malgun Gothic" w:cs="Calibri"/>
                <w:sz w:val="20"/>
                <w:szCs w:val="21"/>
                <w:lang w:eastAsia="ko-KR"/>
              </w:rPr>
            </w:pPr>
            <w:r>
              <w:rPr>
                <w:b/>
                <w:bCs/>
              </w:rPr>
              <w:t>For CFRA</w:t>
            </w:r>
            <w:r>
              <w:t xml:space="preserve"> triggered by BFR, the RO type is indicated in BeamFailureRecoveryConfig.</w:t>
            </w:r>
          </w:p>
          <w:p w14:paraId="2C908A89">
            <w:pPr>
              <w:rPr>
                <w:rFonts w:ascii="Calibri" w:hAnsi="Calibri" w:eastAsia="Malgun Gothic" w:cs="Calibri"/>
                <w:sz w:val="20"/>
                <w:szCs w:val="21"/>
                <w:lang w:val="en-GB" w:eastAsia="ko-KR"/>
              </w:rPr>
            </w:pPr>
            <w:r>
              <w:rPr>
                <w:rFonts w:hint="eastAsia" w:ascii="Calibri" w:hAnsi="Calibri" w:eastAsia="Malgun Gothic" w:cs="Calibri"/>
                <w:sz w:val="20"/>
                <w:szCs w:val="21"/>
                <w:lang w:eastAsia="ko-KR"/>
              </w:rPr>
              <w:t xml:space="preserve">However, in BFR config, it is possible that CFRA resource is not included, while RA prioritization parameter (e.g., </w:t>
            </w:r>
            <w:r>
              <w:rPr>
                <w:rFonts w:ascii="Calibri" w:hAnsi="Calibri" w:eastAsia="Malgun Gothic" w:cs="Calibri"/>
                <w:sz w:val="20"/>
                <w:szCs w:val="21"/>
                <w:lang w:val="en-GB" w:eastAsia="ko-KR"/>
              </w:rPr>
              <w:t>ra-Prioritization</w:t>
            </w:r>
            <w:r>
              <w:rPr>
                <w:rFonts w:hint="eastAsia" w:ascii="Calibri" w:hAnsi="Calibri" w:eastAsia="Malgun Gothic" w:cs="Calibri"/>
                <w:sz w:val="20"/>
                <w:szCs w:val="21"/>
                <w:lang w:val="en-GB" w:eastAsia="ko-KR"/>
              </w:rPr>
              <w:t xml:space="preserve"> IE or </w:t>
            </w:r>
            <w:r>
              <w:rPr>
                <w:rFonts w:ascii="Calibri" w:hAnsi="Calibri" w:eastAsia="Malgun Gothic" w:cs="Calibri"/>
                <w:sz w:val="20"/>
                <w:szCs w:val="21"/>
                <w:lang w:val="en-GB" w:eastAsia="ko-KR"/>
              </w:rPr>
              <w:t>ra-Prioritization</w:t>
            </w:r>
            <w:r>
              <w:rPr>
                <w:rFonts w:hint="eastAsia" w:ascii="Calibri" w:hAnsi="Calibri" w:eastAsia="Malgun Gothic" w:cs="Calibri"/>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pPr>
              <w:rPr>
                <w:rFonts w:ascii="Calibri" w:hAnsi="Calibri" w:eastAsia="Malgun Gothic" w:cs="Calibri"/>
                <w:sz w:val="20"/>
                <w:szCs w:val="21"/>
                <w:lang w:eastAsia="ko-KR"/>
              </w:rPr>
            </w:pPr>
            <w:r>
              <w:rPr>
                <w:rFonts w:hint="eastAsia" w:ascii="Calibri" w:hAnsi="Calibri" w:eastAsia="Malgun Gothic" w:cs="Calibri"/>
                <w:sz w:val="20"/>
                <w:szCs w:val="21"/>
                <w:lang w:eastAsia="ko-KR"/>
              </w:rPr>
              <w:t xml:space="preserve">In this sense, in order to avoid any confusion on whether the RO type can indicated without CFRA resource configuration, suggest to change the field description of </w:t>
            </w:r>
            <w:r>
              <w:rPr>
                <w:rFonts w:ascii="Calibri" w:hAnsi="Calibri" w:eastAsia="Malgun Gothic" w:cs="Calibri"/>
                <w:sz w:val="20"/>
                <w:szCs w:val="21"/>
                <w:lang w:eastAsia="ko-KR"/>
              </w:rPr>
              <w:t>ra-OccasionType-</w:t>
            </w:r>
            <w:r>
              <w:rPr>
                <w:rFonts w:hint="eastAsia" w:ascii="Calibri" w:hAnsi="Calibri" w:eastAsia="Malgun Gothic" w:cs="Calibri"/>
                <w:sz w:val="20"/>
                <w:szCs w:val="21"/>
                <w:lang w:eastAsia="ko-KR"/>
              </w:rPr>
              <w:t>19 as follows:</w:t>
            </w:r>
          </w:p>
          <w:p w14:paraId="4E63D587">
            <w:pPr>
              <w:rPr>
                <w:rFonts w:hint="eastAsia" w:ascii="Calibri" w:hAnsi="Calibri" w:cs="Calibri"/>
                <w:sz w:val="20"/>
                <w:szCs w:val="21"/>
              </w:rPr>
            </w:pPr>
            <w:r>
              <w:rPr>
                <w:rFonts w:ascii="Calibri" w:hAnsi="Calibri" w:eastAsia="Malgun Gothic" w:cs="Calibri"/>
                <w:sz w:val="20"/>
                <w:szCs w:val="21"/>
                <w:lang w:eastAsia="ko-KR"/>
              </w:rPr>
              <w:t>Indicates the RACH occasion type</w:t>
            </w:r>
            <w:r>
              <w:rPr>
                <w:rFonts w:hint="eastAsia" w:ascii="Calibri" w:hAnsi="Calibri" w:eastAsia="Malgun Gothic" w:cs="Calibri"/>
                <w:sz w:val="20"/>
                <w:szCs w:val="21"/>
                <w:lang w:eastAsia="ko-KR"/>
              </w:rPr>
              <w:t xml:space="preserve"> </w:t>
            </w:r>
            <w:r>
              <w:rPr>
                <w:rFonts w:hint="eastAsia" w:ascii="Calibri" w:hAnsi="Calibri" w:eastAsia="Malgun Gothic" w:cs="Calibri"/>
                <w:color w:val="FF0000"/>
                <w:sz w:val="20"/>
                <w:szCs w:val="21"/>
                <w:u w:val="single"/>
                <w:lang w:eastAsia="ko-KR"/>
              </w:rPr>
              <w:t>for CFRA</w:t>
            </w:r>
            <w:r>
              <w:rPr>
                <w:rFonts w:ascii="Calibri" w:hAnsi="Calibri" w:eastAsia="Malgun Gothic" w:cs="Calibri"/>
                <w:sz w:val="20"/>
                <w:szCs w:val="21"/>
                <w:lang w:eastAsia="ko-KR"/>
              </w:rPr>
              <w:t>, SBFD or non-SBFD, to be used a SBFD capable UE.</w:t>
            </w:r>
          </w:p>
        </w:tc>
        <w:tc>
          <w:tcPr>
            <w:tcW w:w="5022" w:type="dxa"/>
          </w:tcPr>
          <w:p w14:paraId="6703846B">
            <w:pPr>
              <w:rPr>
                <w:rFonts w:ascii="Calibri" w:hAnsi="Calibri" w:eastAsia="Times New Roman" w:cs="Calibri"/>
                <w:kern w:val="0"/>
                <w:sz w:val="20"/>
                <w:szCs w:val="20"/>
                <w:lang w:eastAsia="en-US"/>
              </w:rPr>
            </w:pPr>
          </w:p>
        </w:tc>
      </w:tr>
      <w:tr w14:paraId="1B91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2714C949">
            <w:pPr>
              <w:rPr>
                <w:rFonts w:hint="eastAsia" w:ascii="Calibri" w:hAnsi="Calibri" w:cs="Calibri"/>
                <w:sz w:val="20"/>
                <w:szCs w:val="21"/>
              </w:rPr>
            </w:pPr>
            <w:r>
              <w:rPr>
                <w:rFonts w:hint="eastAsia" w:ascii="Calibri" w:hAnsi="Calibri" w:eastAsia="Malgun Gothic" w:cs="Calibri"/>
                <w:sz w:val="20"/>
                <w:szCs w:val="21"/>
                <w:lang w:eastAsia="ko-KR"/>
              </w:rPr>
              <w:t>LGE006</w:t>
            </w:r>
          </w:p>
        </w:tc>
        <w:tc>
          <w:tcPr>
            <w:tcW w:w="2484" w:type="dxa"/>
          </w:tcPr>
          <w:p w14:paraId="637AB907">
            <w:pPr>
              <w:rPr>
                <w:rFonts w:hint="eastAsia" w:ascii="Calibri" w:hAnsi="Calibri" w:cs="Calibri"/>
                <w:sz w:val="20"/>
                <w:szCs w:val="21"/>
              </w:rPr>
            </w:pPr>
            <w:r>
              <w:rPr>
                <w:rFonts w:ascii="Calibri" w:hAnsi="Calibri" w:cs="Calibri"/>
                <w:sz w:val="20"/>
                <w:szCs w:val="21"/>
              </w:rPr>
              <w:t>ra-OccasionType</w:t>
            </w:r>
            <w:r>
              <w:rPr>
                <w:rFonts w:hint="eastAsia" w:ascii="Calibri" w:hAnsi="Calibri" w:eastAsia="Malgun Gothic" w:cs="Calibri"/>
                <w:sz w:val="20"/>
                <w:szCs w:val="21"/>
                <w:lang w:eastAsia="ko-KR"/>
              </w:rPr>
              <w:t xml:space="preserve"> in </w:t>
            </w:r>
            <w:r>
              <w:rPr>
                <w:rFonts w:hint="eastAsia" w:ascii="Calibri" w:hAnsi="Calibri" w:eastAsia="Malgun Gothic" w:cs="Calibri"/>
                <w:i/>
                <w:sz w:val="20"/>
                <w:szCs w:val="21"/>
                <w:lang w:val="en-GB" w:eastAsia="ko-KR"/>
              </w:rPr>
              <w:t>RACH-ConfigDedicated</w:t>
            </w:r>
          </w:p>
        </w:tc>
        <w:tc>
          <w:tcPr>
            <w:tcW w:w="4797" w:type="dxa"/>
          </w:tcPr>
          <w:p w14:paraId="4FEAF6BA">
            <w:pPr>
              <w:rPr>
                <w:rFonts w:ascii="Calibri" w:hAnsi="Calibri" w:eastAsia="Malgun Gothic" w:cs="Calibri"/>
                <w:sz w:val="20"/>
                <w:szCs w:val="21"/>
                <w:lang w:eastAsia="ko-KR"/>
              </w:rPr>
            </w:pPr>
            <w:r>
              <w:rPr>
                <w:rFonts w:hint="eastAsia" w:ascii="Calibri" w:hAnsi="Calibri" w:eastAsia="Malgun Gothic" w:cs="Calibri"/>
                <w:sz w:val="20"/>
                <w:szCs w:val="21"/>
                <w:lang w:eastAsia="ko-KR"/>
              </w:rPr>
              <w:t xml:space="preserve">Similar comment in LGE005. </w:t>
            </w:r>
            <w:r>
              <w:rPr>
                <w:rFonts w:ascii="Calibri" w:hAnsi="Calibri" w:eastAsia="Malgun Gothic" w:cs="Calibri"/>
                <w:sz w:val="20"/>
                <w:szCs w:val="21"/>
                <w:lang w:eastAsia="ko-KR"/>
              </w:rPr>
              <w:t>I</w:t>
            </w:r>
            <w:r>
              <w:rPr>
                <w:rFonts w:hint="eastAsia" w:ascii="Calibri" w:hAnsi="Calibri" w:eastAsia="Malgun Gothic" w:cs="Calibri"/>
                <w:sz w:val="20"/>
                <w:szCs w:val="21"/>
                <w:lang w:eastAsia="ko-KR"/>
              </w:rPr>
              <w:t xml:space="preserve">t should be clarified that this field indicates RO type for </w:t>
            </w:r>
            <w:r>
              <w:rPr>
                <w:rFonts w:hint="eastAsia" w:ascii="Calibri" w:hAnsi="Calibri" w:eastAsia="Malgun Gothic" w:cs="Calibri"/>
                <w:b/>
                <w:bCs/>
                <w:sz w:val="20"/>
                <w:szCs w:val="21"/>
                <w:u w:val="single"/>
                <w:lang w:eastAsia="ko-KR"/>
              </w:rPr>
              <w:t>CFRA</w:t>
            </w:r>
            <w:r>
              <w:rPr>
                <w:rFonts w:hint="eastAsia" w:ascii="Calibri" w:hAnsi="Calibri" w:eastAsia="Malgun Gothic" w:cs="Calibri"/>
                <w:sz w:val="20"/>
                <w:szCs w:val="21"/>
                <w:lang w:eastAsia="ko-KR"/>
              </w:rPr>
              <w:t xml:space="preserve"> cases. Suggest to change the field description of </w:t>
            </w:r>
            <w:r>
              <w:rPr>
                <w:rFonts w:ascii="Calibri" w:hAnsi="Calibri" w:eastAsia="Malgun Gothic" w:cs="Calibri"/>
                <w:sz w:val="20"/>
                <w:szCs w:val="21"/>
                <w:lang w:eastAsia="ko-KR"/>
              </w:rPr>
              <w:t>ra-OccasionType-</w:t>
            </w:r>
            <w:r>
              <w:rPr>
                <w:rFonts w:hint="eastAsia" w:ascii="Calibri" w:hAnsi="Calibri" w:eastAsia="Malgun Gothic" w:cs="Calibri"/>
                <w:sz w:val="20"/>
                <w:szCs w:val="21"/>
                <w:lang w:eastAsia="ko-KR"/>
              </w:rPr>
              <w:t>19 as follows:</w:t>
            </w:r>
          </w:p>
          <w:p w14:paraId="761934A1">
            <w:pPr>
              <w:rPr>
                <w:rFonts w:hint="eastAsia" w:ascii="Calibri" w:hAnsi="Calibri" w:cs="Calibri"/>
                <w:sz w:val="20"/>
                <w:szCs w:val="21"/>
              </w:rPr>
            </w:pPr>
            <w:r>
              <w:rPr>
                <w:rFonts w:ascii="Calibri" w:hAnsi="Calibri" w:eastAsia="Malgun Gothic" w:cs="Calibri"/>
                <w:sz w:val="20"/>
                <w:szCs w:val="21"/>
                <w:lang w:eastAsia="ko-KR"/>
              </w:rPr>
              <w:t>Indicates the RACH occasion type</w:t>
            </w:r>
            <w:r>
              <w:rPr>
                <w:rFonts w:hint="eastAsia" w:ascii="Calibri" w:hAnsi="Calibri" w:eastAsia="Malgun Gothic" w:cs="Calibri"/>
                <w:sz w:val="20"/>
                <w:szCs w:val="21"/>
                <w:lang w:eastAsia="ko-KR"/>
              </w:rPr>
              <w:t xml:space="preserve"> </w:t>
            </w:r>
            <w:r>
              <w:rPr>
                <w:rFonts w:hint="eastAsia" w:ascii="Calibri" w:hAnsi="Calibri" w:eastAsia="Malgun Gothic" w:cs="Calibri"/>
                <w:color w:val="FF0000"/>
                <w:sz w:val="20"/>
                <w:szCs w:val="21"/>
                <w:u w:val="single"/>
                <w:lang w:eastAsia="ko-KR"/>
              </w:rPr>
              <w:t>for CFRA</w:t>
            </w:r>
            <w:r>
              <w:rPr>
                <w:rFonts w:ascii="Calibri" w:hAnsi="Calibri" w:eastAsia="Malgun Gothic" w:cs="Calibri"/>
                <w:sz w:val="20"/>
                <w:szCs w:val="21"/>
                <w:lang w:eastAsia="ko-KR"/>
              </w:rPr>
              <w:t>, SBFD or non-SBFD, to be used a SBFD capable UE.</w:t>
            </w:r>
          </w:p>
        </w:tc>
        <w:tc>
          <w:tcPr>
            <w:tcW w:w="5022" w:type="dxa"/>
          </w:tcPr>
          <w:p w14:paraId="400504B1">
            <w:pPr>
              <w:rPr>
                <w:rFonts w:ascii="Calibri" w:hAnsi="Calibri" w:eastAsia="Times New Roman" w:cs="Calibri"/>
                <w:kern w:val="0"/>
                <w:sz w:val="20"/>
                <w:szCs w:val="20"/>
                <w:lang w:eastAsia="en-US"/>
              </w:rPr>
            </w:pPr>
          </w:p>
        </w:tc>
      </w:tr>
      <w:tr w14:paraId="6007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47B9083">
            <w:pPr>
              <w:rPr>
                <w:rFonts w:hint="eastAsia" w:ascii="Calibri" w:hAnsi="Calibri" w:cs="Calibri"/>
                <w:sz w:val="20"/>
                <w:szCs w:val="21"/>
              </w:rPr>
            </w:pPr>
            <w:r>
              <w:rPr>
                <w:rFonts w:hint="eastAsia" w:ascii="Calibri" w:hAnsi="Calibri" w:eastAsia="Malgun Gothic" w:cs="Calibri"/>
                <w:sz w:val="20"/>
                <w:szCs w:val="21"/>
                <w:lang w:eastAsia="ko-KR"/>
              </w:rPr>
              <w:t>LGE007</w:t>
            </w:r>
          </w:p>
        </w:tc>
        <w:tc>
          <w:tcPr>
            <w:tcW w:w="2484" w:type="dxa"/>
          </w:tcPr>
          <w:p w14:paraId="5363CF06">
            <w:pPr>
              <w:rPr>
                <w:rFonts w:hint="eastAsia" w:ascii="Calibri" w:hAnsi="Calibri" w:cs="Calibri"/>
                <w:sz w:val="20"/>
                <w:szCs w:val="21"/>
              </w:rPr>
            </w:pPr>
            <w:r>
              <w:rPr>
                <w:rFonts w:ascii="Calibri" w:hAnsi="Calibri" w:cs="Calibri"/>
                <w:sz w:val="20"/>
                <w:szCs w:val="21"/>
              </w:rPr>
              <w:t>SchedulingRequestResourceConfigExt-v19xy</w:t>
            </w:r>
          </w:p>
        </w:tc>
        <w:tc>
          <w:tcPr>
            <w:tcW w:w="4797" w:type="dxa"/>
          </w:tcPr>
          <w:p w14:paraId="53FB0732">
            <w:pPr>
              <w:rPr>
                <w:rFonts w:ascii="Calibri" w:hAnsi="Calibri" w:eastAsia="Malgun Gothic" w:cs="Calibri"/>
                <w:sz w:val="20"/>
                <w:szCs w:val="21"/>
                <w:lang w:eastAsia="ko-KR"/>
              </w:rPr>
            </w:pPr>
            <w:r>
              <w:rPr>
                <w:rFonts w:ascii="Calibri" w:hAnsi="Calibri" w:cs="Calibri"/>
                <w:sz w:val="20"/>
                <w:szCs w:val="21"/>
              </w:rPr>
              <w:t>SchedulingRequestResourceConfigExt-v19xy</w:t>
            </w:r>
            <w:r>
              <w:rPr>
                <w:rFonts w:hint="eastAsia" w:ascii="Calibri" w:hAnsi="Calibri" w:eastAsia="Malgun Gothic" w:cs="Calibri"/>
                <w:sz w:val="20"/>
                <w:szCs w:val="21"/>
                <w:lang w:eastAsia="ko-KR"/>
              </w:rPr>
              <w:t xml:space="preserve"> is defined, but it is never be used. Similar to other SchedulingRequestResourceConfigExt-v1610/v1700, following </w:t>
            </w:r>
            <w:r>
              <w:rPr>
                <w:rFonts w:ascii="Calibri" w:hAnsi="Calibri" w:eastAsia="Malgun Gothic" w:cs="Calibri"/>
                <w:sz w:val="20"/>
                <w:szCs w:val="21"/>
                <w:lang w:eastAsia="ko-KR"/>
              </w:rPr>
              <w:t>configuration</w:t>
            </w:r>
            <w:r>
              <w:rPr>
                <w:rFonts w:hint="eastAsia" w:ascii="Calibri" w:hAnsi="Calibri" w:eastAsia="Malgun Gothic" w:cs="Calibri"/>
                <w:sz w:val="20"/>
                <w:szCs w:val="21"/>
                <w:lang w:eastAsia="ko-KR"/>
              </w:rPr>
              <w:t xml:space="preserve"> may be needed under PUCCH-Config IE, as an optional field:</w:t>
            </w:r>
          </w:p>
          <w:p w14:paraId="604FDA89">
            <w:pPr>
              <w:pStyle w:val="14"/>
              <w:numPr>
                <w:ilvl w:val="0"/>
                <w:numId w:val="1"/>
              </w:numPr>
              <w:ind w:leftChars="0"/>
              <w:rPr>
                <w:rFonts w:ascii="Calibri" w:hAnsi="Calibri" w:eastAsia="Malgun Gothic" w:cs="Calibri"/>
                <w:sz w:val="20"/>
                <w:szCs w:val="21"/>
                <w:lang w:eastAsia="ko-KR"/>
              </w:rPr>
            </w:pPr>
            <w:r>
              <w:rPr>
                <w:rFonts w:ascii="Calibri" w:hAnsi="Calibri" w:eastAsia="Malgun Gothic" w:cs="Calibri"/>
                <w:sz w:val="20"/>
                <w:szCs w:val="21"/>
                <w:lang w:val="en-GB" w:eastAsia="ko-KR"/>
              </w:rPr>
              <w:t>schedulingRequestResourceToAddModListExt-v19xy SEQUENCE (SIZE (1..maxNrofSR-Resources)) OF SchedulingRequestResourceConfigExt-v19xy</w:t>
            </w:r>
          </w:p>
          <w:p w14:paraId="727F9DA5">
            <w:pPr>
              <w:rPr>
                <w:rFonts w:ascii="Calibri" w:hAnsi="Calibri" w:eastAsia="Malgun Gothic" w:cs="Calibri"/>
                <w:sz w:val="20"/>
                <w:szCs w:val="21"/>
                <w:lang w:eastAsia="ko-KR"/>
              </w:rPr>
            </w:pPr>
          </w:p>
          <w:p w14:paraId="370A066D">
            <w:pPr>
              <w:rPr>
                <w:rFonts w:hint="eastAsia" w:ascii="Calibri" w:hAnsi="Calibri" w:cs="Calibri"/>
                <w:sz w:val="20"/>
                <w:szCs w:val="21"/>
              </w:rPr>
            </w:pPr>
          </w:p>
        </w:tc>
        <w:tc>
          <w:tcPr>
            <w:tcW w:w="5022" w:type="dxa"/>
          </w:tcPr>
          <w:p w14:paraId="16A556FF">
            <w:pPr>
              <w:rPr>
                <w:rFonts w:ascii="Calibri" w:hAnsi="Calibri" w:eastAsia="Times New Roman" w:cs="Calibri"/>
                <w:kern w:val="0"/>
                <w:sz w:val="20"/>
                <w:szCs w:val="20"/>
                <w:lang w:eastAsia="en-US"/>
              </w:rPr>
            </w:pPr>
          </w:p>
        </w:tc>
      </w:tr>
      <w:tr w14:paraId="7D68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01B9AE7">
            <w:pPr>
              <w:rPr>
                <w:rFonts w:hint="eastAsia" w:ascii="Calibri" w:hAnsi="Calibri" w:cs="Calibri"/>
                <w:sz w:val="20"/>
                <w:szCs w:val="21"/>
              </w:rPr>
            </w:pPr>
            <w:r>
              <w:rPr>
                <w:rFonts w:hint="eastAsia" w:ascii="Calibri" w:hAnsi="Calibri" w:eastAsia="Malgun Gothic" w:cs="Calibri"/>
                <w:sz w:val="20"/>
                <w:szCs w:val="21"/>
                <w:lang w:eastAsia="ko-KR"/>
              </w:rPr>
              <w:t>LGE008</w:t>
            </w:r>
          </w:p>
        </w:tc>
        <w:tc>
          <w:tcPr>
            <w:tcW w:w="2484" w:type="dxa"/>
          </w:tcPr>
          <w:p w14:paraId="2E125035">
            <w:pPr>
              <w:rPr>
                <w:rFonts w:hint="eastAsia" w:ascii="Calibri" w:hAnsi="Calibri" w:cs="Calibri"/>
                <w:sz w:val="20"/>
                <w:szCs w:val="21"/>
              </w:rPr>
            </w:pPr>
            <w:r>
              <w:rPr>
                <w:rFonts w:ascii="Calibri" w:hAnsi="Calibri" w:cs="Calibri"/>
                <w:sz w:val="20"/>
                <w:szCs w:val="21"/>
              </w:rPr>
              <w:t>PUCCH-CSI-ResourceExt-v19xy</w:t>
            </w:r>
          </w:p>
        </w:tc>
        <w:tc>
          <w:tcPr>
            <w:tcW w:w="4797" w:type="dxa"/>
          </w:tcPr>
          <w:p w14:paraId="0F9BD540">
            <w:pPr>
              <w:rPr>
                <w:rFonts w:hint="eastAsia" w:ascii="Calibri" w:hAnsi="Calibri" w:cs="Calibri"/>
                <w:sz w:val="20"/>
                <w:szCs w:val="21"/>
              </w:rPr>
            </w:pPr>
            <w:r>
              <w:rPr>
                <w:rFonts w:hint="eastAsia" w:ascii="Calibri" w:hAnsi="Calibri" w:eastAsia="Malgun Gothic" w:cs="Calibri"/>
                <w:sz w:val="20"/>
                <w:szCs w:val="21"/>
                <w:lang w:eastAsia="ko-KR"/>
              </w:rPr>
              <w:t xml:space="preserve">Similar as LGE007, </w:t>
            </w:r>
            <w:r>
              <w:rPr>
                <w:rFonts w:ascii="Calibri" w:hAnsi="Calibri" w:eastAsia="Malgun Gothic" w:cs="Calibri"/>
                <w:sz w:val="20"/>
                <w:szCs w:val="21"/>
                <w:lang w:eastAsia="ko-KR"/>
              </w:rPr>
              <w:t>PUCCH-CSI-ResourceExt-v19xy</w:t>
            </w:r>
            <w:r>
              <w:rPr>
                <w:rFonts w:hint="eastAsia" w:ascii="Calibri" w:hAnsi="Calibri" w:eastAsia="Malgun Gothic" w:cs="Calibri"/>
                <w:sz w:val="20"/>
                <w:szCs w:val="21"/>
                <w:lang w:eastAsia="ko-KR"/>
              </w:rPr>
              <w:t xml:space="preserve"> is never used. Further discussion may be needed on how to </w:t>
            </w:r>
            <w:r>
              <w:rPr>
                <w:rFonts w:ascii="Calibri" w:hAnsi="Calibri" w:eastAsia="Malgun Gothic" w:cs="Calibri"/>
                <w:sz w:val="20"/>
                <w:szCs w:val="21"/>
                <w:lang w:eastAsia="ko-KR"/>
              </w:rPr>
              <w:t>configure</w:t>
            </w:r>
            <w:r>
              <w:rPr>
                <w:rFonts w:hint="eastAsia" w:ascii="Calibri" w:hAnsi="Calibri" w:eastAsia="Malgun Gothic" w:cs="Calibri"/>
                <w:sz w:val="20"/>
                <w:szCs w:val="21"/>
                <w:lang w:eastAsia="ko-KR"/>
              </w:rPr>
              <w:t xml:space="preserve"> symbol type for each </w:t>
            </w:r>
            <w:r>
              <w:rPr>
                <w:rFonts w:ascii="Calibri" w:hAnsi="Calibri" w:eastAsia="Malgun Gothic" w:cs="Calibri"/>
                <w:sz w:val="20"/>
                <w:szCs w:val="21"/>
                <w:lang w:eastAsia="ko-KR"/>
              </w:rPr>
              <w:t>PUCCH-CSI-Resource</w:t>
            </w:r>
            <w:r>
              <w:rPr>
                <w:rFonts w:hint="eastAsia" w:ascii="Calibri" w:hAnsi="Calibri" w:eastAsia="Malgun Gothic" w:cs="Calibri"/>
                <w:sz w:val="20"/>
                <w:szCs w:val="21"/>
                <w:lang w:eastAsia="ko-KR"/>
              </w:rPr>
              <w:t>, based on RAN1 parameter list.</w:t>
            </w:r>
          </w:p>
        </w:tc>
        <w:tc>
          <w:tcPr>
            <w:tcW w:w="5022" w:type="dxa"/>
          </w:tcPr>
          <w:p w14:paraId="6850C37A">
            <w:pPr>
              <w:rPr>
                <w:rFonts w:ascii="Calibri" w:hAnsi="Calibri" w:eastAsia="Times New Roman" w:cs="Calibri"/>
                <w:kern w:val="0"/>
                <w:sz w:val="20"/>
                <w:szCs w:val="20"/>
                <w:lang w:eastAsia="en-US"/>
              </w:rPr>
            </w:pPr>
          </w:p>
        </w:tc>
      </w:tr>
      <w:tr w14:paraId="45E5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6277EC7">
            <w:pPr>
              <w:rPr>
                <w:rFonts w:hint="eastAsia" w:ascii="Calibri" w:hAnsi="Calibri" w:cs="Calibri"/>
                <w:sz w:val="20"/>
                <w:szCs w:val="21"/>
              </w:rPr>
            </w:pPr>
            <w:r>
              <w:rPr>
                <w:rFonts w:hint="eastAsia" w:ascii="Calibri" w:hAnsi="Calibri" w:eastAsia="Malgun Gothic" w:cs="Calibri"/>
                <w:sz w:val="20"/>
                <w:szCs w:val="21"/>
                <w:lang w:eastAsia="ko-KR"/>
              </w:rPr>
              <w:t>LGE009</w:t>
            </w:r>
          </w:p>
        </w:tc>
        <w:tc>
          <w:tcPr>
            <w:tcW w:w="2484" w:type="dxa"/>
          </w:tcPr>
          <w:p w14:paraId="74377906">
            <w:pPr>
              <w:rPr>
                <w:rFonts w:hint="eastAsia" w:ascii="Calibri" w:hAnsi="Calibri" w:cs="Calibri"/>
                <w:sz w:val="20"/>
                <w:szCs w:val="21"/>
              </w:rPr>
            </w:pPr>
            <w:r>
              <w:rPr>
                <w:rFonts w:ascii="Calibri" w:hAnsi="Calibri" w:cs="Calibri"/>
                <w:sz w:val="20"/>
                <w:szCs w:val="21"/>
              </w:rPr>
              <w:t>SCS-SpecificCarrier</w:t>
            </w:r>
          </w:p>
        </w:tc>
        <w:tc>
          <w:tcPr>
            <w:tcW w:w="4797" w:type="dxa"/>
          </w:tcPr>
          <w:p w14:paraId="0F2AC821">
            <w:pPr>
              <w:rPr>
                <w:rFonts w:hint="eastAsia" w:ascii="Calibri" w:hAnsi="Calibri" w:cs="Calibri"/>
                <w:sz w:val="20"/>
                <w:szCs w:val="21"/>
              </w:rPr>
            </w:pPr>
            <w:r>
              <w:rPr>
                <w:rFonts w:hint="eastAsia" w:ascii="Calibri" w:hAnsi="Calibri" w:eastAsia="Malgun Gothic" w:cs="Calibri"/>
                <w:sz w:val="20"/>
                <w:szCs w:val="21"/>
                <w:lang w:eastAsia="ko-KR"/>
              </w:rPr>
              <w:t xml:space="preserve">Typo: close the square bracket, i.e., </w:t>
            </w:r>
            <w:r>
              <w:rPr>
                <w:rFonts w:ascii="Calibri" w:hAnsi="Calibri" w:eastAsia="Malgun Gothic" w:cs="Calibri"/>
                <w:sz w:val="20"/>
                <w:szCs w:val="21"/>
                <w:lang w:eastAsia="ko-KR"/>
              </w:rPr>
              <w:t>‘</w:t>
            </w:r>
            <w:r>
              <w:rPr>
                <w:rFonts w:hint="eastAsia" w:ascii="Calibri" w:hAnsi="Calibri" w:eastAsia="Malgun Gothic" w:cs="Calibri"/>
                <w:sz w:val="20"/>
                <w:szCs w:val="21"/>
                <w:lang w:eastAsia="ko-KR"/>
              </w:rPr>
              <w:t>]]</w:t>
            </w:r>
            <w:r>
              <w:rPr>
                <w:rFonts w:ascii="Calibri" w:hAnsi="Calibri" w:eastAsia="Malgun Gothic" w:cs="Calibri"/>
                <w:sz w:val="20"/>
                <w:szCs w:val="21"/>
                <w:lang w:eastAsia="ko-KR"/>
              </w:rPr>
              <w:t>’</w:t>
            </w:r>
            <w:r>
              <w:rPr>
                <w:rFonts w:hint="eastAsia" w:ascii="Calibri" w:hAnsi="Calibri" w:eastAsia="Malgun Gothic" w:cs="Calibri"/>
                <w:sz w:val="20"/>
                <w:szCs w:val="21"/>
                <w:lang w:eastAsia="ko-KR"/>
              </w:rPr>
              <w:t xml:space="preserve"> is missing at the end of </w:t>
            </w:r>
            <w:r>
              <w:rPr>
                <w:rFonts w:ascii="Calibri" w:hAnsi="Calibri" w:eastAsia="Malgun Gothic" w:cs="Calibri"/>
                <w:sz w:val="20"/>
                <w:szCs w:val="21"/>
                <w:lang w:eastAsia="ko-KR"/>
              </w:rPr>
              <w:t>SCS-SpecificCarrier</w:t>
            </w:r>
            <w:r>
              <w:rPr>
                <w:rFonts w:hint="eastAsia" w:ascii="Calibri" w:hAnsi="Calibri" w:eastAsia="Malgun Gothic" w:cs="Calibri"/>
                <w:sz w:val="20"/>
                <w:szCs w:val="21"/>
                <w:lang w:eastAsia="ko-KR"/>
              </w:rPr>
              <w:t xml:space="preserve"> IE.</w:t>
            </w:r>
          </w:p>
        </w:tc>
        <w:tc>
          <w:tcPr>
            <w:tcW w:w="5022" w:type="dxa"/>
          </w:tcPr>
          <w:p w14:paraId="774C51A8">
            <w:pPr>
              <w:rPr>
                <w:rFonts w:ascii="Calibri" w:hAnsi="Calibri" w:eastAsia="Times New Roman" w:cs="Calibri"/>
                <w:kern w:val="0"/>
                <w:sz w:val="20"/>
                <w:szCs w:val="20"/>
                <w:lang w:eastAsia="en-US"/>
              </w:rPr>
            </w:pPr>
          </w:p>
        </w:tc>
      </w:tr>
      <w:tr w14:paraId="547A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5DD8E020">
            <w:pPr>
              <w:rPr>
                <w:rFonts w:hint="default" w:ascii="Calibri" w:hAnsi="Calibri" w:cs="Calibri" w:eastAsiaTheme="minorEastAsia"/>
                <w:sz w:val="20"/>
                <w:szCs w:val="21"/>
                <w:lang w:val="en-US" w:eastAsia="zh-CN"/>
              </w:rPr>
            </w:pPr>
            <w:r>
              <w:rPr>
                <w:rFonts w:hint="eastAsia" w:ascii="Calibri" w:hAnsi="Calibri" w:cs="Calibri"/>
                <w:sz w:val="20"/>
                <w:szCs w:val="21"/>
                <w:lang w:val="en-US" w:eastAsia="zh-CN"/>
              </w:rPr>
              <w:t>CMCC</w:t>
            </w:r>
          </w:p>
        </w:tc>
        <w:tc>
          <w:tcPr>
            <w:tcW w:w="2484" w:type="dxa"/>
          </w:tcPr>
          <w:p w14:paraId="641B0490">
            <w:pPr>
              <w:rPr>
                <w:rFonts w:hint="default" w:ascii="Calibri" w:hAnsi="Calibri" w:cs="Calibri" w:eastAsiaTheme="minorEastAsia"/>
                <w:sz w:val="20"/>
                <w:szCs w:val="21"/>
                <w:lang w:val="en-US" w:eastAsia="zh-CN"/>
              </w:rPr>
            </w:pPr>
            <w:r>
              <w:rPr>
                <w:rFonts w:hint="eastAsia" w:ascii="Calibri" w:hAnsi="Calibri" w:cs="Calibri"/>
                <w:sz w:val="20"/>
                <w:szCs w:val="21"/>
                <w:lang w:val="en-US" w:eastAsia="zh-CN"/>
              </w:rPr>
              <w:t>BWP-UplinkCommon</w:t>
            </w:r>
            <w:bookmarkStart w:id="0" w:name="_GoBack"/>
            <w:bookmarkEnd w:id="0"/>
          </w:p>
        </w:tc>
        <w:tc>
          <w:tcPr>
            <w:tcW w:w="4797" w:type="dxa"/>
          </w:tcPr>
          <w:p w14:paraId="7B8AF973">
            <w:pPr>
              <w:rPr>
                <w:rFonts w:hint="default" w:ascii="Calibri" w:hAnsi="Calibri" w:cs="Calibri" w:eastAsiaTheme="minorEastAsia"/>
                <w:sz w:val="20"/>
                <w:szCs w:val="21"/>
                <w:lang w:val="en-US" w:eastAsia="zh-CN"/>
              </w:rPr>
            </w:pPr>
            <w:r>
              <w:rPr>
                <w:rFonts w:hint="eastAsia" w:ascii="Calibri" w:hAnsi="Calibri" w:cs="Calibri"/>
                <w:sz w:val="20"/>
                <w:szCs w:val="21"/>
                <w:lang w:val="en-US" w:eastAsia="zh-CN"/>
              </w:rPr>
              <w:t xml:space="preserve">Within table of </w:t>
            </w:r>
            <w:r>
              <w:rPr>
                <w:rFonts w:hint="eastAsia" w:ascii="Calibri" w:hAnsi="Calibri" w:cs="Calibri"/>
                <w:i/>
                <w:iCs/>
                <w:sz w:val="20"/>
                <w:szCs w:val="21"/>
                <w:lang w:val="en-US" w:eastAsia="zh-CN"/>
              </w:rPr>
              <w:t>BWP-UplinkCommon</w:t>
            </w:r>
            <w:r>
              <w:rPr>
                <w:rFonts w:hint="eastAsia" w:ascii="Calibri" w:hAnsi="Calibri" w:cs="Calibri"/>
                <w:sz w:val="20"/>
                <w:szCs w:val="21"/>
                <w:lang w:val="en-US" w:eastAsia="zh-CN"/>
              </w:rPr>
              <w:t xml:space="preserve"> field descriptions, we think that the last sentence of </w:t>
            </w:r>
            <w:r>
              <w:rPr>
                <w:rFonts w:hint="eastAsia" w:ascii="Calibri" w:hAnsi="Calibri" w:cs="Calibri"/>
                <w:i/>
                <w:iCs/>
                <w:sz w:val="20"/>
                <w:szCs w:val="21"/>
                <w:lang w:val="en-US" w:eastAsia="zh-CN"/>
              </w:rPr>
              <w:t xml:space="preserve">additionalRACH-ConfigList </w:t>
            </w:r>
            <w:r>
              <w:rPr>
                <w:rFonts w:hint="eastAsia" w:ascii="Calibri" w:hAnsi="Calibri" w:cs="Calibri"/>
                <w:sz w:val="20"/>
                <w:szCs w:val="21"/>
                <w:lang w:val="en-US" w:eastAsia="zh-CN"/>
              </w:rPr>
              <w:t xml:space="preserve">should be revised to </w:t>
            </w:r>
            <w:r>
              <w:rPr>
                <w:rFonts w:hint="default" w:ascii="Calibri" w:hAnsi="Calibri" w:cs="Calibri"/>
                <w:sz w:val="20"/>
                <w:szCs w:val="21"/>
                <w:lang w:val="en-US" w:eastAsia="zh-CN"/>
              </w:rPr>
              <w:t xml:space="preserve">“If </w:t>
            </w:r>
            <w:r>
              <w:rPr>
                <w:rFonts w:hint="eastAsia" w:ascii="Calibri" w:hAnsi="Calibri" w:cs="Calibri"/>
                <w:sz w:val="20"/>
                <w:szCs w:val="21"/>
                <w:lang w:val="en-US" w:eastAsia="zh-CN"/>
              </w:rPr>
              <w:t xml:space="preserve">at least two of </w:t>
            </w:r>
            <w:r>
              <w:rPr>
                <w:rFonts w:hint="default" w:ascii="Calibri" w:hAnsi="Calibri" w:cs="Calibri"/>
                <w:i/>
                <w:iCs/>
                <w:sz w:val="20"/>
                <w:szCs w:val="21"/>
                <w:lang w:val="en-US" w:eastAsia="zh-CN"/>
              </w:rPr>
              <w:t>rach-ConfigCommon</w:t>
            </w:r>
            <w:r>
              <w:rPr>
                <w:rFonts w:hint="eastAsia" w:ascii="Calibri" w:hAnsi="Calibri" w:cs="Calibri"/>
                <w:i w:val="0"/>
                <w:iCs w:val="0"/>
                <w:sz w:val="20"/>
                <w:szCs w:val="21"/>
                <w:lang w:val="en-US" w:eastAsia="zh-CN"/>
              </w:rPr>
              <w:t xml:space="preserve">, </w:t>
            </w:r>
            <w:r>
              <w:rPr>
                <w:rFonts w:hint="default" w:ascii="Calibri" w:hAnsi="Calibri" w:cs="Calibri"/>
                <w:i/>
                <w:iCs/>
                <w:sz w:val="20"/>
                <w:szCs w:val="21"/>
                <w:lang w:val="en-US" w:eastAsia="zh-CN"/>
              </w:rPr>
              <w:t>msgA-ConfigCommon</w:t>
            </w:r>
            <w:r>
              <w:rPr>
                <w:rFonts w:hint="eastAsia" w:ascii="Calibri" w:hAnsi="Calibri" w:cs="Calibri"/>
                <w:sz w:val="20"/>
                <w:szCs w:val="21"/>
                <w:lang w:val="en-US" w:eastAsia="zh-CN"/>
              </w:rPr>
              <w:t xml:space="preserve"> and </w:t>
            </w:r>
            <w:r>
              <w:rPr>
                <w:rFonts w:hint="default" w:ascii="Calibri" w:hAnsi="Calibri" w:cs="Calibri"/>
                <w:i/>
                <w:iCs/>
                <w:sz w:val="20"/>
                <w:szCs w:val="21"/>
                <w:lang w:val="en-US" w:eastAsia="zh-CN"/>
              </w:rPr>
              <w:t>rach-ConfigCommon</w:t>
            </w:r>
            <w:r>
              <w:rPr>
                <w:rFonts w:hint="eastAsia" w:ascii="Calibri" w:hAnsi="Calibri" w:cs="Calibri"/>
                <w:i/>
                <w:iCs/>
                <w:sz w:val="20"/>
                <w:szCs w:val="21"/>
                <w:lang w:val="en-US" w:eastAsia="zh-CN"/>
              </w:rPr>
              <w:t>SBFD</w:t>
            </w:r>
            <w:r>
              <w:rPr>
                <w:rFonts w:hint="default" w:ascii="Calibri" w:hAnsi="Calibri" w:cs="Calibri"/>
                <w:sz w:val="20"/>
                <w:szCs w:val="21"/>
                <w:lang w:val="en-US" w:eastAsia="zh-CN"/>
              </w:rPr>
              <w:t xml:space="preserve"> are configured for a specific </w:t>
            </w:r>
            <w:r>
              <w:rPr>
                <w:rFonts w:hint="default" w:ascii="Calibri" w:hAnsi="Calibri" w:cs="Calibri"/>
                <w:i/>
                <w:iCs/>
                <w:sz w:val="20"/>
                <w:szCs w:val="21"/>
                <w:lang w:val="en-US" w:eastAsia="zh-CN"/>
              </w:rPr>
              <w:t>FeatureCombination</w:t>
            </w:r>
            <w:r>
              <w:rPr>
                <w:rFonts w:hint="default" w:ascii="Calibri" w:hAnsi="Calibri" w:cs="Calibri"/>
                <w:sz w:val="20"/>
                <w:szCs w:val="21"/>
                <w:lang w:val="en-US" w:eastAsia="zh-CN"/>
              </w:rPr>
              <w:t xml:space="preserve">, the network always provides them in the same </w:t>
            </w:r>
            <w:r>
              <w:rPr>
                <w:rFonts w:hint="default" w:ascii="Calibri" w:hAnsi="Calibri" w:cs="Calibri"/>
                <w:i/>
                <w:iCs/>
                <w:sz w:val="20"/>
                <w:szCs w:val="21"/>
                <w:lang w:val="en-US" w:eastAsia="zh-CN"/>
              </w:rPr>
              <w:t>additionalRACH-Config.</w:t>
            </w:r>
            <w:r>
              <w:rPr>
                <w:rFonts w:hint="default" w:ascii="Calibri" w:hAnsi="Calibri" w:cs="Calibri"/>
                <w:sz w:val="20"/>
                <w:szCs w:val="21"/>
                <w:lang w:val="en-US" w:eastAsia="zh-CN"/>
              </w:rPr>
              <w:t>”</w:t>
            </w:r>
            <w:r>
              <w:rPr>
                <w:rFonts w:hint="eastAsia" w:ascii="Calibri" w:hAnsi="Calibri" w:cs="Calibri"/>
                <w:sz w:val="20"/>
                <w:szCs w:val="21"/>
                <w:lang w:val="en-US" w:eastAsia="zh-CN"/>
              </w:rPr>
              <w:t>.</w:t>
            </w:r>
          </w:p>
        </w:tc>
        <w:tc>
          <w:tcPr>
            <w:tcW w:w="5022" w:type="dxa"/>
          </w:tcPr>
          <w:p w14:paraId="1D90BB9F">
            <w:pPr>
              <w:rPr>
                <w:rFonts w:ascii="Calibri" w:hAnsi="Calibri" w:eastAsia="Times New Roman" w:cs="Calibri"/>
                <w:kern w:val="0"/>
                <w:sz w:val="20"/>
                <w:szCs w:val="20"/>
                <w:lang w:eastAsia="en-US"/>
              </w:rPr>
            </w:pPr>
          </w:p>
        </w:tc>
      </w:tr>
      <w:tr w14:paraId="346E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1156837E">
            <w:pPr>
              <w:rPr>
                <w:rFonts w:hint="eastAsia" w:ascii="Calibri" w:hAnsi="Calibri" w:cs="Calibri"/>
                <w:sz w:val="20"/>
                <w:szCs w:val="21"/>
              </w:rPr>
            </w:pPr>
          </w:p>
        </w:tc>
        <w:tc>
          <w:tcPr>
            <w:tcW w:w="2484" w:type="dxa"/>
          </w:tcPr>
          <w:p w14:paraId="3EFF226F">
            <w:pPr>
              <w:rPr>
                <w:rFonts w:hint="eastAsia" w:ascii="Calibri" w:hAnsi="Calibri" w:cs="Calibri"/>
                <w:sz w:val="20"/>
                <w:szCs w:val="21"/>
              </w:rPr>
            </w:pPr>
          </w:p>
        </w:tc>
        <w:tc>
          <w:tcPr>
            <w:tcW w:w="4797" w:type="dxa"/>
          </w:tcPr>
          <w:p w14:paraId="5CD8D5DD">
            <w:pPr>
              <w:rPr>
                <w:rFonts w:hint="eastAsia" w:ascii="Calibri" w:hAnsi="Calibri" w:cs="Calibri"/>
                <w:sz w:val="20"/>
                <w:szCs w:val="21"/>
              </w:rPr>
            </w:pPr>
          </w:p>
        </w:tc>
        <w:tc>
          <w:tcPr>
            <w:tcW w:w="5022" w:type="dxa"/>
          </w:tcPr>
          <w:p w14:paraId="05915B73">
            <w:pPr>
              <w:rPr>
                <w:rFonts w:ascii="Calibri" w:hAnsi="Calibri" w:eastAsia="Times New Roman" w:cs="Calibri"/>
                <w:kern w:val="0"/>
                <w:sz w:val="20"/>
                <w:szCs w:val="20"/>
                <w:lang w:eastAsia="en-US"/>
              </w:rPr>
            </w:pPr>
          </w:p>
        </w:tc>
      </w:tr>
    </w:tbl>
    <w:p w14:paraId="2CAFFA23"/>
    <w:p w14:paraId="2F9DDB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34FF6"/>
    <w:multiLevelType w:val="multilevel"/>
    <w:tmpl w:val="24434FF6"/>
    <w:lvl w:ilvl="0" w:tentative="0">
      <w:start w:val="0"/>
      <w:numFmt w:val="bullet"/>
      <w:lvlText w:val="-"/>
      <w:lvlJc w:val="left"/>
      <w:pPr>
        <w:ind w:left="800" w:hanging="360"/>
      </w:pPr>
      <w:rPr>
        <w:rFonts w:hint="default" w:ascii="Calibri" w:hAnsi="Calibri" w:eastAsia="Malgun Gothic" w:cs="Calibri"/>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2901D8"/>
    <w:rsid w:val="002B2CB2"/>
    <w:rsid w:val="003946AF"/>
    <w:rsid w:val="004A53A9"/>
    <w:rsid w:val="004C6389"/>
    <w:rsid w:val="00574F52"/>
    <w:rsid w:val="005D5C46"/>
    <w:rsid w:val="006C53AC"/>
    <w:rsid w:val="007024BC"/>
    <w:rsid w:val="00720DBD"/>
    <w:rsid w:val="00790BD8"/>
    <w:rsid w:val="00906207"/>
    <w:rsid w:val="00963F9E"/>
    <w:rsid w:val="00A24F25"/>
    <w:rsid w:val="00A533A0"/>
    <w:rsid w:val="00A644F2"/>
    <w:rsid w:val="00A64EAE"/>
    <w:rsid w:val="00AD73E5"/>
    <w:rsid w:val="00BF04C6"/>
    <w:rsid w:val="00C0294F"/>
    <w:rsid w:val="00C24EB4"/>
    <w:rsid w:val="00D14512"/>
    <w:rsid w:val="00D754B6"/>
    <w:rsid w:val="00D84F4C"/>
    <w:rsid w:val="00D90D69"/>
    <w:rsid w:val="00E150E8"/>
    <w:rsid w:val="00E639EB"/>
    <w:rsid w:val="00E653D5"/>
    <w:rsid w:val="00F21D7D"/>
    <w:rsid w:val="00F93BC7"/>
    <w:rsid w:val="1BA776F6"/>
    <w:rsid w:val="5454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머리글 Char"/>
    <w:basedOn w:val="6"/>
    <w:link w:val="3"/>
    <w:qFormat/>
    <w:uiPriority w:val="99"/>
    <w:rPr>
      <w:sz w:val="18"/>
      <w:szCs w:val="18"/>
    </w:rPr>
  </w:style>
  <w:style w:type="character" w:customStyle="1" w:styleId="8">
    <w:name w:val="바닥글 Char"/>
    <w:basedOn w:val="6"/>
    <w:link w:val="2"/>
    <w:uiPriority w:val="99"/>
    <w:rPr>
      <w:sz w:val="18"/>
      <w:szCs w:val="18"/>
    </w:rPr>
  </w:style>
  <w:style w:type="paragraph" w:customStyle="1" w:styleId="9">
    <w:name w:val="paragraph"/>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eastAsia="en-US"/>
    </w:rPr>
  </w:style>
  <w:style w:type="character" w:customStyle="1" w:styleId="10">
    <w:name w:val="normaltextrun"/>
    <w:basedOn w:val="6"/>
    <w:qFormat/>
    <w:uiPriority w:val="0"/>
  </w:style>
  <w:style w:type="character" w:customStyle="1" w:styleId="11">
    <w:name w:val="eop"/>
    <w:basedOn w:val="6"/>
    <w:qFormat/>
    <w:uiPriority w:val="0"/>
  </w:style>
  <w:style w:type="paragraph" w:customStyle="1" w:styleId="12">
    <w:name w:val="PL"/>
    <w:link w:val="1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kern w:val="0"/>
      <w:sz w:val="16"/>
      <w:szCs w:val="20"/>
      <w:lang w:val="en-GB" w:eastAsia="en-GB" w:bidi="ar-SA"/>
    </w:rPr>
  </w:style>
  <w:style w:type="character" w:customStyle="1" w:styleId="13">
    <w:name w:val="PL Char"/>
    <w:link w:val="12"/>
    <w:qFormat/>
    <w:uiPriority w:val="0"/>
    <w:rPr>
      <w:rFonts w:ascii="Courier New" w:hAnsi="Courier New" w:eastAsia="Times New Roman" w:cs="Times New Roman"/>
      <w:kern w:val="0"/>
      <w:sz w:val="16"/>
      <w:szCs w:val="20"/>
      <w:shd w:val="clear" w:color="auto" w:fill="E6E6E6"/>
      <w:lang w:val="en-GB" w:eastAsia="en-GB"/>
    </w:rPr>
  </w:style>
  <w:style w:type="paragraph" w:styleId="14">
    <w:name w:val="List Paragraph"/>
    <w:basedOn w:val="1"/>
    <w:qFormat/>
    <w:uiPriority w:val="34"/>
    <w:pPr>
      <w:ind w:left="80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857</Words>
  <Characters>5312</Characters>
  <Lines>41</Lines>
  <Paragraphs>11</Paragraphs>
  <TotalTime>3</TotalTime>
  <ScaleCrop>false</ScaleCrop>
  <LinksUpToDate>false</LinksUpToDate>
  <CharactersWithSpaces>6109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2025-04-30T08:24:00Z</dcterms:created>
  <dc:creator>OPPO (Qianxi Lu)</dc:creator>
  <cp:lastModifiedBy>CMCC_RJY</cp:lastModifiedBy>
  <dcterms:modified xsi:type="dcterms:W3CDTF">2025-04-30T09:09:47Z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KSOTemplateDocerSaveRecord">
    <vt:lpwstr>eyJoZGlkIjoiM2E0ZGI3Yjg3MGY5ZWZhZDkzMzE3YTk5OWI1ZWQxMTkiLCJ1c2VySWQiOiIzMTAxODg0MzQifQ==</vt:lpwstr>
  </property>
  <property fmtid="{D5CDD505-2E9C-101B-9397-08002B2CF9AE}" pid="12" name="KSOProductBuildVer">
    <vt:lpwstr>2052-12.1.0.21171</vt:lpwstr>
  </property>
  <property fmtid="{D5CDD505-2E9C-101B-9397-08002B2CF9AE}" pid="13" name="ICV">
    <vt:lpwstr>778C50DEABD34F0786ECB93155E2F434_13</vt:lpwstr>
  </property>
</Properties>
</file>