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2484"/>
        <w:gridCol w:w="4797"/>
        <w:gridCol w:w="5022"/>
      </w:tblGrid>
      <w:tr w:rsidR="00F93BC7" w:rsidRPr="00A644F2" w14:paraId="137D5423" w14:textId="77777777" w:rsidTr="00F93BC7">
        <w:tc>
          <w:tcPr>
            <w:tcW w:w="1721" w:type="dxa"/>
          </w:tcPr>
          <w:p w14:paraId="3046E47E" w14:textId="03E788A6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1613" w:type="dxa"/>
          </w:tcPr>
          <w:p w14:paraId="2AB87C6F" w14:textId="3C5DBEA4" w:rsidR="00F93BC7" w:rsidRPr="00A644F2" w:rsidRDefault="004A53A9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Section/c</w:t>
            </w:r>
            <w:r w:rsidR="00F93BC7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lause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/IE</w:t>
            </w:r>
          </w:p>
        </w:tc>
        <w:tc>
          <w:tcPr>
            <w:tcW w:w="5121" w:type="dxa"/>
          </w:tcPr>
          <w:p w14:paraId="044EA35E" w14:textId="435DF1F9" w:rsidR="00F93BC7" w:rsidRPr="00A644F2" w:rsidRDefault="004A53A9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Comments/</w:t>
            </w:r>
            <w:r w:rsidR="00F93BC7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S</w:t>
            </w:r>
            <w:r w:rsidR="00F93BC7">
              <w:rPr>
                <w:rFonts w:ascii="Calibri" w:hAnsi="Calibri" w:cs="Calibri"/>
                <w:b/>
                <w:bCs/>
                <w:sz w:val="20"/>
                <w:szCs w:val="21"/>
              </w:rPr>
              <w:t>uggested Change</w:t>
            </w:r>
          </w:p>
        </w:tc>
        <w:tc>
          <w:tcPr>
            <w:tcW w:w="5493" w:type="dxa"/>
          </w:tcPr>
          <w:p w14:paraId="028A6CD2" w14:textId="48A998A9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F93BC7" w:rsidRPr="00A644F2" w14:paraId="2ECA7379" w14:textId="77777777" w:rsidTr="00F93BC7">
        <w:tc>
          <w:tcPr>
            <w:tcW w:w="1721" w:type="dxa"/>
          </w:tcPr>
          <w:p w14:paraId="4A117DC3" w14:textId="53B68DCF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</w:p>
        </w:tc>
        <w:tc>
          <w:tcPr>
            <w:tcW w:w="1613" w:type="dxa"/>
          </w:tcPr>
          <w:p w14:paraId="1C12716B" w14:textId="1A51EB24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 w:rsidRPr="00F21D7D">
              <w:rPr>
                <w:rFonts w:ascii="Calibri" w:hAnsi="Calibri" w:cs="Calibri"/>
                <w:sz w:val="20"/>
                <w:szCs w:val="21"/>
              </w:rPr>
              <w:t>BeamFailureRecoveryConfig</w:t>
            </w:r>
          </w:p>
        </w:tc>
        <w:tc>
          <w:tcPr>
            <w:tcW w:w="5121" w:type="dxa"/>
          </w:tcPr>
          <w:p w14:paraId="784408E4" w14:textId="616D3632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 w:rsidRPr="00F21D7D">
              <w:rPr>
                <w:rFonts w:ascii="Calibri" w:hAnsi="Calibri" w:cs="Calibri"/>
                <w:sz w:val="20"/>
                <w:szCs w:val="21"/>
              </w:rPr>
              <w:t>ra-OccasionType-r19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can only indicate SBFD. If gNB indicates non-SBFD RO, gNB can make the field absent.</w:t>
            </w:r>
          </w:p>
        </w:tc>
        <w:tc>
          <w:tcPr>
            <w:tcW w:w="5493" w:type="dxa"/>
          </w:tcPr>
          <w:p w14:paraId="0A95C59B" w14:textId="57DDEFC4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7969A713" w14:textId="77777777" w:rsidTr="00F93BC7">
        <w:tc>
          <w:tcPr>
            <w:tcW w:w="1721" w:type="dxa"/>
          </w:tcPr>
          <w:p w14:paraId="27BCAA39" w14:textId="2AFF1AE0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</w:p>
        </w:tc>
        <w:tc>
          <w:tcPr>
            <w:tcW w:w="1613" w:type="dxa"/>
          </w:tcPr>
          <w:p w14:paraId="0BDB0834" w14:textId="1F0C03EB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 w:rsidRPr="00F21D7D">
              <w:rPr>
                <w:rFonts w:ascii="Calibri" w:hAnsi="Calibri" w:cs="Calibri"/>
                <w:sz w:val="20"/>
                <w:szCs w:val="21"/>
              </w:rPr>
              <w:t>sbfd-RACH-Si</w:t>
            </w:r>
            <w:bookmarkStart w:id="0" w:name="_GoBack"/>
            <w:bookmarkEnd w:id="0"/>
            <w:r w:rsidRPr="00F21D7D">
              <w:rPr>
                <w:rFonts w:ascii="Calibri" w:hAnsi="Calibri" w:cs="Calibri"/>
                <w:sz w:val="20"/>
                <w:szCs w:val="21"/>
              </w:rPr>
              <w:t>ngleConfig-r19</w:t>
            </w:r>
          </w:p>
        </w:tc>
        <w:tc>
          <w:tcPr>
            <w:tcW w:w="5121" w:type="dxa"/>
          </w:tcPr>
          <w:p w14:paraId="72BD2A02" w14:textId="77777777" w:rsidR="00F93BC7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Option 1 should be indicated per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RACH-ConfigCommon</w:t>
            </w:r>
            <w:r>
              <w:rPr>
                <w:rFonts w:ascii="Calibri" w:hAnsi="Calibri" w:cs="Calibri"/>
                <w:sz w:val="20"/>
                <w:szCs w:val="21"/>
              </w:rPr>
              <w:t>?</w:t>
            </w:r>
          </w:p>
          <w:p w14:paraId="1823EAA4" w14:textId="77777777" w:rsidR="00F21D7D" w:rsidRDefault="00F21D7D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BCDC11B" w14:textId="30A3D4B5" w:rsidR="00F21D7D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Option 1 and option 2 cannot be configured together for all the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RACH-ConfigCommon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(including those in the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AdditionalRACH-ConfigList-r17</w:t>
            </w:r>
            <w:r>
              <w:rPr>
                <w:rFonts w:ascii="Calibri" w:hAnsi="Calibri" w:cs="Calibri"/>
                <w:sz w:val="20"/>
                <w:szCs w:val="21"/>
              </w:rPr>
              <w:t>), this condition should be added.</w:t>
            </w:r>
          </w:p>
        </w:tc>
        <w:tc>
          <w:tcPr>
            <w:tcW w:w="5493" w:type="dxa"/>
          </w:tcPr>
          <w:p w14:paraId="6CD66EE8" w14:textId="65161919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30B9F741" w14:textId="77777777" w:rsidTr="00F93BC7">
        <w:tc>
          <w:tcPr>
            <w:tcW w:w="1721" w:type="dxa"/>
          </w:tcPr>
          <w:p w14:paraId="653B7A36" w14:textId="5E018590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35CC62A1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29373B2F" w14:textId="77777777" w:rsidR="00F93BC7" w:rsidRPr="00F21D7D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7CF07B5F" w14:textId="3F75E74D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30623F21" w14:textId="77777777" w:rsidTr="00F93BC7">
        <w:tc>
          <w:tcPr>
            <w:tcW w:w="1721" w:type="dxa"/>
          </w:tcPr>
          <w:p w14:paraId="694F494F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21BC4D98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08909ED6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4FF9774A" w14:textId="46E6351E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006B544F" w14:textId="77777777" w:rsidTr="00F93BC7">
        <w:tc>
          <w:tcPr>
            <w:tcW w:w="1721" w:type="dxa"/>
          </w:tcPr>
          <w:p w14:paraId="441CA862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1A7497D0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0094EBD6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05F0C2BC" w14:textId="2F2A308A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72B31598" w14:textId="77777777" w:rsidTr="00F93BC7">
        <w:tc>
          <w:tcPr>
            <w:tcW w:w="1721" w:type="dxa"/>
          </w:tcPr>
          <w:p w14:paraId="308DFC0B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520B0551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5D161217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0BD7D92C" w14:textId="6C283214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5D8DB66B" w14:textId="77777777" w:rsidTr="00F93BC7">
        <w:tc>
          <w:tcPr>
            <w:tcW w:w="1721" w:type="dxa"/>
          </w:tcPr>
          <w:p w14:paraId="5B50534A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33982D74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2D4D3229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7014805F" w14:textId="32C0E63B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C59D2" w14:textId="77777777" w:rsidR="002901D8" w:rsidRDefault="002901D8" w:rsidP="00F21D7D">
      <w:r>
        <w:separator/>
      </w:r>
    </w:p>
  </w:endnote>
  <w:endnote w:type="continuationSeparator" w:id="0">
    <w:p w14:paraId="785B0C42" w14:textId="77777777" w:rsidR="002901D8" w:rsidRDefault="002901D8" w:rsidP="00F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81452" w14:textId="77777777" w:rsidR="002901D8" w:rsidRDefault="002901D8" w:rsidP="00F21D7D">
      <w:r>
        <w:separator/>
      </w:r>
    </w:p>
  </w:footnote>
  <w:footnote w:type="continuationSeparator" w:id="0">
    <w:p w14:paraId="063A99D4" w14:textId="77777777" w:rsidR="002901D8" w:rsidRDefault="002901D8" w:rsidP="00F2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A261E"/>
    <w:rsid w:val="002901D8"/>
    <w:rsid w:val="004A53A9"/>
    <w:rsid w:val="005D5C46"/>
    <w:rsid w:val="00720DBD"/>
    <w:rsid w:val="00A24F25"/>
    <w:rsid w:val="00A644F2"/>
    <w:rsid w:val="00A64EAE"/>
    <w:rsid w:val="00AD73E5"/>
    <w:rsid w:val="00BF04C6"/>
    <w:rsid w:val="00D14512"/>
    <w:rsid w:val="00D754B6"/>
    <w:rsid w:val="00D84F4C"/>
    <w:rsid w:val="00E653D5"/>
    <w:rsid w:val="00F21D7D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1D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1D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ZTE-YP</cp:lastModifiedBy>
  <cp:revision>2</cp:revision>
  <dcterms:created xsi:type="dcterms:W3CDTF">2025-04-29T06:32:00Z</dcterms:created>
  <dcterms:modified xsi:type="dcterms:W3CDTF">2025-04-29T06:32:00Z</dcterms:modified>
</cp:coreProperties>
</file>