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66C71DA7"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w:t>
      </w:r>
      <w:proofErr w:type="gramStart"/>
      <w:r w:rsidR="00C52A80" w:rsidRPr="00C52A80">
        <w:rPr>
          <w:sz w:val="22"/>
          <w:szCs w:val="22"/>
        </w:rPr>
        <w:t>b][</w:t>
      </w:r>
      <w:proofErr w:type="gramEnd"/>
      <w:r w:rsidR="00C52A80" w:rsidRPr="00C52A80">
        <w:rPr>
          <w:sz w:val="22"/>
          <w:szCs w:val="22"/>
        </w:rPr>
        <w:t>114][NES]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proofErr w:type="gramStart"/>
      <w:r>
        <w:t>b</w:t>
      </w:r>
      <w:r w:rsidRPr="008B0D01">
        <w:t>][</w:t>
      </w:r>
      <w:proofErr w:type="gramEnd"/>
      <w:r>
        <w:t>1</w:t>
      </w:r>
      <w:r>
        <w:rPr>
          <w:rFonts w:eastAsia="Malgun Gothic" w:hint="eastAsia"/>
          <w:lang w:eastAsia="ko-KR"/>
        </w:rPr>
        <w:t>14</w:t>
      </w:r>
      <w:r w:rsidRPr="008B0D01">
        <w:t>][</w:t>
      </w:r>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w:t>
      </w:r>
      <w:r w:rsidR="008405ED">
        <w:rPr>
          <w:rFonts w:ascii="Calibri" w:eastAsia="SimSun" w:hAnsi="Calibri" w:cs="Arial"/>
          <w:sz w:val="22"/>
          <w:szCs w:val="22"/>
          <w:highlight w:val="yellow"/>
          <w:lang w:eastAsia="zh-CN"/>
        </w:rPr>
        <w:t>y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Pr="009A7D65">
        <w:rPr>
          <w:rFonts w:ascii="Calibri" w:eastAsia="SimSun" w:hAnsi="Calibri" w:cs="Arial"/>
          <w:sz w:val="22"/>
          <w:szCs w:val="22"/>
          <w:highlight w:val="yellow"/>
          <w:lang w:eastAsia="zh-CN"/>
        </w:rPr>
        <w:t>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BodyText"/>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BodyText"/>
              <w:keepNext/>
              <w:rPr>
                <w:b/>
                <w:bCs/>
                <w:lang w:val="en-US"/>
              </w:rPr>
            </w:pPr>
            <w:r w:rsidRPr="00D45311">
              <w:rPr>
                <w:b/>
                <w:bCs/>
                <w:lang w:val="en-US"/>
              </w:rPr>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29CA1A16" w:rsidR="00D45311" w:rsidRPr="00D45311" w:rsidRDefault="00B2784B" w:rsidP="00D45311">
            <w:pPr>
              <w:pStyle w:val="BodyText"/>
              <w:keepNext/>
              <w:rPr>
                <w:bCs/>
                <w:lang w:val="en-US"/>
              </w:rPr>
            </w:pPr>
            <w:r>
              <w:rPr>
                <w:bCs/>
                <w:lang w:val="en-US"/>
              </w:rPr>
              <w:t>SAM 001</w:t>
            </w:r>
          </w:p>
        </w:tc>
        <w:tc>
          <w:tcPr>
            <w:tcW w:w="4677" w:type="dxa"/>
          </w:tcPr>
          <w:p w14:paraId="1CDC21FE" w14:textId="77777777" w:rsidR="00D45311" w:rsidRDefault="00B2784B" w:rsidP="00D45311">
            <w:pPr>
              <w:pStyle w:val="BodyText"/>
              <w:keepNext/>
            </w:pPr>
            <w:r>
              <w:t>Figure 7.3.1-1</w:t>
            </w:r>
          </w:p>
          <w:p w14:paraId="2F456378" w14:textId="75356278" w:rsidR="00B2784B" w:rsidRPr="00D45311" w:rsidRDefault="00B2784B" w:rsidP="00D45311">
            <w:pPr>
              <w:pStyle w:val="BodyText"/>
              <w:keepNext/>
              <w:rPr>
                <w:bCs/>
                <w:lang w:val="en-US"/>
              </w:rPr>
            </w:pPr>
            <w:r>
              <w:rPr>
                <w:bCs/>
                <w:lang w:val="en-US"/>
              </w:rPr>
              <w:t>The arrow for periodically broadcast SIB1 should be dotted line.</w:t>
            </w:r>
          </w:p>
        </w:tc>
        <w:tc>
          <w:tcPr>
            <w:tcW w:w="4825"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2226">
        <w:trPr>
          <w:trHeight w:val="127"/>
        </w:trPr>
        <w:tc>
          <w:tcPr>
            <w:tcW w:w="1555" w:type="dxa"/>
            <w:shd w:val="clear" w:color="auto" w:fill="auto"/>
          </w:tcPr>
          <w:p w14:paraId="1200CEAB" w14:textId="6C21C359" w:rsidR="00D45311" w:rsidRPr="00D45311" w:rsidRDefault="00F17EC5" w:rsidP="00D45311">
            <w:pPr>
              <w:pStyle w:val="BodyText"/>
              <w:keepNext/>
              <w:rPr>
                <w:bCs/>
                <w:lang w:val="en-US"/>
              </w:rPr>
            </w:pPr>
            <w:r>
              <w:rPr>
                <w:bCs/>
                <w:lang w:val="en-US"/>
              </w:rPr>
              <w:t>SAM 00</w:t>
            </w:r>
            <w:r>
              <w:rPr>
                <w:bCs/>
                <w:lang w:val="en-US"/>
              </w:rPr>
              <w:t>2</w:t>
            </w:r>
          </w:p>
        </w:tc>
        <w:tc>
          <w:tcPr>
            <w:tcW w:w="4677" w:type="dxa"/>
          </w:tcPr>
          <w:p w14:paraId="65E17692" w14:textId="4CC0EB31" w:rsidR="00B2784B" w:rsidRPr="00F17EC5" w:rsidRDefault="00B2784B" w:rsidP="00F17EC5">
            <w:pPr>
              <w:pStyle w:val="Heading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00F17EC5" w:rsidRPr="00F17EC5">
              <w:rPr>
                <w:bCs/>
                <w:sz w:val="20"/>
                <w:lang w:val="en-US"/>
              </w:rPr>
              <w:t>specifies</w:t>
            </w:r>
            <w:r w:rsidRPr="00F17EC5">
              <w:rPr>
                <w:bCs/>
                <w:sz w:val="20"/>
                <w:lang w:val="en-US"/>
              </w:rPr>
              <w:t xml:space="preserve"> that </w:t>
            </w:r>
          </w:p>
          <w:p w14:paraId="7AAA4A9A" w14:textId="77777777" w:rsidR="00F17EC5" w:rsidRDefault="00B2784B" w:rsidP="00B2784B">
            <w:r>
              <w:t>“</w:t>
            </w:r>
            <w:r>
              <w:t>If a cell provides SIB1 on-demand, the cell can allow the access of UEs supporting OD-SIB1 but prevent the access of UEs not supporting OD-SIB1 based on no SIB1 indication in MIB as described in clause 7.3.1.</w:t>
            </w:r>
            <w:r>
              <w:t>”</w:t>
            </w:r>
            <w:r w:rsidR="00F17EC5">
              <w:t xml:space="preserve">, </w:t>
            </w:r>
          </w:p>
          <w:p w14:paraId="49BA9BC5" w14:textId="2D824BFF" w:rsidR="00B2784B" w:rsidRDefault="00F17EC5" w:rsidP="00B2784B">
            <w:r>
              <w:t xml:space="preserve">it </w:t>
            </w:r>
            <w:r w:rsidR="00B2784B">
              <w:rPr>
                <w:lang w:eastAsia="zh-CN"/>
              </w:rPr>
              <w:t>would be good to capture the following agreement</w:t>
            </w:r>
            <w:r>
              <w:rPr>
                <w:lang w:eastAsia="zh-CN"/>
              </w:rPr>
              <w:t>:</w:t>
            </w:r>
          </w:p>
          <w:p w14:paraId="390970FA" w14:textId="51A15BB7" w:rsidR="00F17EC5" w:rsidRDefault="00B2784B" w:rsidP="00F17EC5">
            <w:pPr>
              <w:pStyle w:val="ListParagraph"/>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F17EC5" w:rsidRDefault="00F17EC5" w:rsidP="00F17EC5">
            <w:pPr>
              <w:pStyle w:val="ListParagraph"/>
              <w:rPr>
                <w:lang w:eastAsia="zh-CN"/>
              </w:rPr>
            </w:pPr>
          </w:p>
          <w:p w14:paraId="44B6A172" w14:textId="7FC9A3FD" w:rsidR="00F17EC5" w:rsidRDefault="00F17EC5" w:rsidP="00B2784B">
            <w:pPr>
              <w:rPr>
                <w:lang w:eastAsia="zh-CN"/>
              </w:rPr>
            </w:pPr>
            <w:r>
              <w:rPr>
                <w:lang w:eastAsia="zh-CN"/>
              </w:rPr>
              <w:t xml:space="preserve">Otherwise, current text may give impression that </w:t>
            </w:r>
            <w:r>
              <w:t>UEs not supporting OD-SIB1</w:t>
            </w:r>
            <w:r>
              <w:t xml:space="preserve"> are always prevented.</w:t>
            </w:r>
          </w:p>
          <w:p w14:paraId="7DD177DF" w14:textId="3A4002C2" w:rsidR="00B2784B" w:rsidRDefault="00B2784B" w:rsidP="00B2784B">
            <w:pPr>
              <w:rPr>
                <w:lang w:eastAsia="zh-CN"/>
              </w:rPr>
            </w:pPr>
            <w:r>
              <w:rPr>
                <w:lang w:eastAsia="zh-CN"/>
              </w:rPr>
              <w:t>TP:</w:t>
            </w:r>
          </w:p>
          <w:p w14:paraId="44053EBA" w14:textId="6650315B" w:rsidR="00B2784B" w:rsidRPr="00B2784B" w:rsidRDefault="00F17EC5" w:rsidP="00B2784B">
            <w:pPr>
              <w:rPr>
                <w:lang w:eastAsia="zh-CN"/>
              </w:rPr>
            </w:pPr>
            <w:r>
              <w:rPr>
                <w:lang w:eastAsia="zh-CN"/>
              </w:rPr>
              <w:t>“</w:t>
            </w:r>
            <w:r w:rsidR="00B2784B">
              <w:rPr>
                <w:lang w:eastAsia="zh-CN"/>
              </w:rPr>
              <w:t xml:space="preserve">If a </w:t>
            </w:r>
            <w:r w:rsidR="00B2784B" w:rsidRPr="00B2784B">
              <w:rPr>
                <w:lang w:eastAsia="zh-CN"/>
              </w:rPr>
              <w:t xml:space="preserve">cell supporting on demand SIB1 is broadcasting SIB1 (e.g. </w:t>
            </w:r>
            <w:bookmarkStart w:id="2" w:name="_GoBack"/>
            <w:bookmarkEnd w:id="2"/>
            <w:r w:rsidR="00B2784B" w:rsidRPr="00B2784B">
              <w:rPr>
                <w:lang w:eastAsia="zh-CN"/>
              </w:rPr>
              <w:t>upon SIB1 request),</w:t>
            </w:r>
            <w:r>
              <w:rPr>
                <w:lang w:eastAsia="zh-CN"/>
              </w:rPr>
              <w:t xml:space="preserve"> it may allow access of </w:t>
            </w:r>
            <w:r>
              <w:t>UEs not supporting OD-SIB1</w:t>
            </w:r>
            <w:r>
              <w:t>”</w:t>
            </w:r>
          </w:p>
        </w:tc>
        <w:tc>
          <w:tcPr>
            <w:tcW w:w="4825"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77777777" w:rsidR="00D45311" w:rsidRPr="00D45311" w:rsidRDefault="00D45311" w:rsidP="00D45311">
            <w:pPr>
              <w:pStyle w:val="BodyText"/>
              <w:keepNext/>
              <w:rPr>
                <w:bCs/>
                <w:lang w:val="en-US"/>
              </w:rPr>
            </w:pPr>
          </w:p>
        </w:tc>
        <w:tc>
          <w:tcPr>
            <w:tcW w:w="4677" w:type="dxa"/>
          </w:tcPr>
          <w:p w14:paraId="611511AA" w14:textId="77777777" w:rsidR="00D45311" w:rsidRPr="00D45311" w:rsidRDefault="00D45311" w:rsidP="00D45311">
            <w:pPr>
              <w:pStyle w:val="BodyText"/>
              <w:keepNext/>
              <w:rPr>
                <w:bCs/>
                <w:lang w:val="en-US"/>
              </w:rPr>
            </w:pPr>
          </w:p>
        </w:tc>
        <w:tc>
          <w:tcPr>
            <w:tcW w:w="4825"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2226">
        <w:trPr>
          <w:trHeight w:val="127"/>
        </w:trPr>
        <w:tc>
          <w:tcPr>
            <w:tcW w:w="1555" w:type="dxa"/>
            <w:shd w:val="clear" w:color="auto" w:fill="auto"/>
          </w:tcPr>
          <w:p w14:paraId="02F74A47" w14:textId="77777777" w:rsidR="00D45311" w:rsidRPr="00D45311" w:rsidRDefault="00D45311" w:rsidP="00D45311">
            <w:pPr>
              <w:pStyle w:val="BodyText"/>
              <w:keepNext/>
              <w:rPr>
                <w:bCs/>
                <w:lang w:val="en-US"/>
              </w:rPr>
            </w:pPr>
          </w:p>
        </w:tc>
        <w:tc>
          <w:tcPr>
            <w:tcW w:w="4677" w:type="dxa"/>
          </w:tcPr>
          <w:p w14:paraId="63E93705" w14:textId="77777777" w:rsidR="00D45311" w:rsidRPr="00D45311" w:rsidRDefault="00D45311" w:rsidP="00D45311">
            <w:pPr>
              <w:pStyle w:val="BodyText"/>
              <w:keepNext/>
              <w:rPr>
                <w:bCs/>
                <w:lang w:val="en-US"/>
              </w:rPr>
            </w:pPr>
          </w:p>
        </w:tc>
        <w:tc>
          <w:tcPr>
            <w:tcW w:w="4825"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2226">
        <w:trPr>
          <w:trHeight w:val="127"/>
        </w:trPr>
        <w:tc>
          <w:tcPr>
            <w:tcW w:w="1555" w:type="dxa"/>
            <w:shd w:val="clear" w:color="auto" w:fill="auto"/>
          </w:tcPr>
          <w:p w14:paraId="0ED9542A" w14:textId="77777777" w:rsidR="00D45311" w:rsidRPr="00D45311" w:rsidRDefault="00D45311" w:rsidP="00D45311">
            <w:pPr>
              <w:pStyle w:val="BodyText"/>
              <w:keepNext/>
              <w:rPr>
                <w:bCs/>
                <w:lang w:val="en-US"/>
              </w:rPr>
            </w:pPr>
          </w:p>
        </w:tc>
        <w:tc>
          <w:tcPr>
            <w:tcW w:w="4677" w:type="dxa"/>
          </w:tcPr>
          <w:p w14:paraId="427E9265" w14:textId="77777777" w:rsidR="00D45311" w:rsidRPr="00D45311" w:rsidRDefault="00D45311" w:rsidP="00D45311">
            <w:pPr>
              <w:pStyle w:val="BodyText"/>
              <w:keepNext/>
              <w:rPr>
                <w:bCs/>
                <w:lang w:val="en-US"/>
              </w:rPr>
            </w:pPr>
          </w:p>
        </w:tc>
        <w:tc>
          <w:tcPr>
            <w:tcW w:w="4825"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77777777" w:rsidR="00D45311" w:rsidRPr="00D45311" w:rsidRDefault="00D45311" w:rsidP="00D45311">
            <w:pPr>
              <w:pStyle w:val="BodyText"/>
              <w:keepNext/>
              <w:rPr>
                <w:bCs/>
                <w:lang w:val="en-US"/>
              </w:rPr>
            </w:pPr>
          </w:p>
        </w:tc>
        <w:tc>
          <w:tcPr>
            <w:tcW w:w="4677" w:type="dxa"/>
          </w:tcPr>
          <w:p w14:paraId="0F06824E" w14:textId="77777777" w:rsidR="00D45311" w:rsidRPr="00D45311" w:rsidRDefault="00D45311" w:rsidP="00D45311">
            <w:pPr>
              <w:pStyle w:val="BodyText"/>
              <w:keepNext/>
              <w:rPr>
                <w:bCs/>
                <w:lang w:val="en-US"/>
              </w:rPr>
            </w:pPr>
          </w:p>
        </w:tc>
        <w:tc>
          <w:tcPr>
            <w:tcW w:w="4825"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2226">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4677" w:type="dxa"/>
          </w:tcPr>
          <w:p w14:paraId="191D3868" w14:textId="77777777" w:rsidR="00D45311" w:rsidRPr="00D45311" w:rsidRDefault="00D45311" w:rsidP="00D45311">
            <w:pPr>
              <w:pStyle w:val="BodyText"/>
              <w:keepNext/>
              <w:rPr>
                <w:bCs/>
                <w:lang w:val="en-US"/>
              </w:rPr>
            </w:pPr>
          </w:p>
        </w:tc>
        <w:tc>
          <w:tcPr>
            <w:tcW w:w="4825"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2226">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4677" w:type="dxa"/>
          </w:tcPr>
          <w:p w14:paraId="6C85B465" w14:textId="77777777" w:rsidR="00D45311" w:rsidRPr="00D45311" w:rsidRDefault="00D45311" w:rsidP="00D45311">
            <w:pPr>
              <w:pStyle w:val="BodyText"/>
              <w:keepNext/>
              <w:rPr>
                <w:lang w:val="en-US"/>
              </w:rPr>
            </w:pPr>
          </w:p>
        </w:tc>
        <w:tc>
          <w:tcPr>
            <w:tcW w:w="4825"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4677" w:type="dxa"/>
          </w:tcPr>
          <w:p w14:paraId="05D9BE7E" w14:textId="77777777" w:rsidR="00D45311" w:rsidRPr="00D45311" w:rsidRDefault="00D45311" w:rsidP="00D45311">
            <w:pPr>
              <w:pStyle w:val="BodyText"/>
              <w:keepNext/>
              <w:rPr>
                <w:bCs/>
                <w:lang w:val="en-US"/>
              </w:rPr>
            </w:pPr>
          </w:p>
        </w:tc>
        <w:tc>
          <w:tcPr>
            <w:tcW w:w="4825"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0"/>
      <w:footerReference w:type="default" r:id="rId11"/>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61903" w14:textId="77777777" w:rsidR="00EC5311" w:rsidRDefault="00EC5311">
      <w:pPr>
        <w:spacing w:after="0"/>
      </w:pPr>
      <w:r>
        <w:separator/>
      </w:r>
    </w:p>
  </w:endnote>
  <w:endnote w:type="continuationSeparator" w:id="0">
    <w:p w14:paraId="42744831" w14:textId="77777777" w:rsidR="00EC5311" w:rsidRDefault="00EC5311">
      <w:pPr>
        <w:spacing w:after="0"/>
      </w:pPr>
      <w:r>
        <w:continuationSeparator/>
      </w:r>
    </w:p>
  </w:endnote>
  <w:endnote w:type="continuationNotice" w:id="1">
    <w:p w14:paraId="2EBA1FD0" w14:textId="77777777" w:rsidR="00EC5311" w:rsidRDefault="00EC53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B8AAF" w14:textId="77777777" w:rsidR="00EC5311" w:rsidRDefault="00EC5311">
      <w:pPr>
        <w:spacing w:after="0"/>
      </w:pPr>
      <w:r>
        <w:separator/>
      </w:r>
    </w:p>
  </w:footnote>
  <w:footnote w:type="continuationSeparator" w:id="0">
    <w:p w14:paraId="0D8B156D" w14:textId="77777777" w:rsidR="00EC5311" w:rsidRDefault="00EC5311">
      <w:pPr>
        <w:spacing w:after="0"/>
      </w:pPr>
      <w:r>
        <w:continuationSeparator/>
      </w:r>
    </w:p>
  </w:footnote>
  <w:footnote w:type="continuationNotice" w:id="1">
    <w:p w14:paraId="3FD18AA2" w14:textId="77777777" w:rsidR="00EC5311" w:rsidRDefault="00EC53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6"/>
  </w:num>
  <w:num w:numId="3">
    <w:abstractNumId w:val="12"/>
  </w:num>
  <w:num w:numId="4">
    <w:abstractNumId w:val="18"/>
  </w:num>
  <w:num w:numId="5">
    <w:abstractNumId w:val="13"/>
  </w:num>
  <w:num w:numId="6">
    <w:abstractNumId w:val="1"/>
  </w:num>
  <w:num w:numId="7">
    <w:abstractNumId w:val="16"/>
  </w:num>
  <w:num w:numId="8">
    <w:abstractNumId w:val="17"/>
  </w:num>
  <w:num w:numId="9">
    <w:abstractNumId w:val="2"/>
  </w:num>
  <w:num w:numId="10">
    <w:abstractNumId w:val="9"/>
  </w:num>
  <w:num w:numId="11">
    <w:abstractNumId w:val="3"/>
  </w:num>
  <w:num w:numId="12">
    <w:abstractNumId w:val="0"/>
  </w:num>
  <w:num w:numId="13">
    <w:abstractNumId w:val="19"/>
  </w:num>
  <w:num w:numId="14">
    <w:abstractNumId w:val="15"/>
  </w:num>
  <w:num w:numId="15">
    <w:abstractNumId w:val="4"/>
  </w:num>
  <w:num w:numId="16">
    <w:abstractNumId w:val="10"/>
  </w:num>
  <w:num w:numId="17">
    <w:abstractNumId w:val="5"/>
  </w:num>
  <w:num w:numId="18">
    <w:abstractNumId w:val="14"/>
  </w:num>
  <w:num w:numId="19">
    <w:abstractNumId w:val="8"/>
  </w:num>
  <w:num w:numId="20">
    <w:abstractNumId w:val="13"/>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Samsung (Anil)</cp:lastModifiedBy>
  <cp:revision>3</cp:revision>
  <dcterms:created xsi:type="dcterms:W3CDTF">2025-04-22T15:22:00Z</dcterms:created>
  <dcterms:modified xsi:type="dcterms:W3CDTF">2025-04-22T15:40:00Z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