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[POST129b][112][NES] 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129b][1</w:t>
      </w:r>
      <w:r>
        <w:rPr>
          <w:rFonts w:ascii="Arial" w:eastAsia="Malgun Gothic" w:hAnsi="Arial" w:cs="Arial"/>
          <w:b/>
          <w:szCs w:val="24"/>
          <w:lang w:val="en-US" w:eastAsia="ko-KR"/>
        </w:rPr>
        <w:t>12</w:t>
      </w:r>
      <w:r>
        <w:rPr>
          <w:rFonts w:ascii="Arial" w:eastAsia="MS Mincho" w:hAnsi="Arial" w:cs="Arial"/>
          <w:b/>
          <w:szCs w:val="24"/>
          <w:lang w:val="en-US"/>
        </w:rPr>
        <w:t>][</w:t>
      </w:r>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Shukun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592"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Random Access Preamble(s) for </w:t>
            </w:r>
            <w:r>
              <w:rPr>
                <w:highlight w:val="yellow"/>
                <w:lang w:eastAsia="ko-KR"/>
              </w:rPr>
              <w:t>on-demand SIB1 request</w:t>
            </w:r>
            <w:r>
              <w:rPr>
                <w:lang w:eastAsia="ko-KR"/>
              </w:rPr>
              <w:t>;</w:t>
            </w:r>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r>
              <w:rPr>
                <w:rFonts w:eastAsia="Malgun Gothic"/>
                <w:b/>
                <w:bCs/>
                <w:lang w:eastAsia="ko-KR"/>
              </w:rPr>
              <w:t>ul-WUS-Config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77777777" w:rsidR="00D97BB7" w:rsidRDefault="00D97BB7">
            <w:pPr>
              <w:overflowPunct w:val="0"/>
              <w:autoSpaceDE w:val="0"/>
              <w:autoSpaceDN w:val="0"/>
              <w:adjustRightInd w:val="0"/>
              <w:textAlignment w:val="baseline"/>
              <w:rPr>
                <w:rFonts w:ascii="Arial" w:eastAsia="等线" w:hAnsi="Arial" w:cs="Arial"/>
                <w:color w:val="00B0F0"/>
                <w:lang w:eastAsia="zh-CN"/>
              </w:rPr>
            </w:pPr>
          </w:p>
        </w:tc>
      </w:tr>
      <w:tr w:rsidR="00D97BB7" w14:paraId="03B0AF82" w14:textId="77777777" w:rsidTr="00C86385">
        <w:tc>
          <w:tcPr>
            <w:tcW w:w="1354"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Xiaomi001</w:t>
            </w:r>
          </w:p>
        </w:tc>
        <w:tc>
          <w:tcPr>
            <w:tcW w:w="5592"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683" w:type="dxa"/>
            <w:shd w:val="clear" w:color="auto" w:fill="auto"/>
          </w:tcPr>
          <w:p w14:paraId="296786F2" w14:textId="77777777" w:rsidR="00D97BB7" w:rsidRDefault="00D97BB7">
            <w:pPr>
              <w:overflowPunct w:val="0"/>
              <w:autoSpaceDE w:val="0"/>
              <w:autoSpaceDN w:val="0"/>
              <w:adjustRightInd w:val="0"/>
              <w:textAlignment w:val="baseline"/>
              <w:rPr>
                <w:rFonts w:ascii="Arial" w:eastAsia="等线" w:hAnsi="Arial" w:cs="Arial"/>
                <w:color w:val="00B0F0"/>
                <w:lang w:eastAsia="zh-CN"/>
              </w:rPr>
            </w:pPr>
          </w:p>
        </w:tc>
      </w:tr>
      <w:tr w:rsidR="00D97BB7" w14:paraId="1738D85D" w14:textId="77777777" w:rsidTr="00C86385">
        <w:tc>
          <w:tcPr>
            <w:tcW w:w="1354"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592"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if the Random Access Preamble is transmitted on the SpCell:</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indicate a Random Access problem to upper layers;</w:t>
            </w:r>
          </w:p>
          <w:p w14:paraId="1359C3F1" w14:textId="77777777" w:rsidR="00D97BB7" w:rsidRDefault="009A6A50">
            <w:pPr>
              <w:pStyle w:val="B4"/>
              <w:rPr>
                <w:lang w:eastAsia="ko-KR"/>
              </w:rPr>
            </w:pPr>
            <w:r>
              <w:rPr>
                <w:lang w:eastAsia="ko-KR"/>
              </w:rPr>
              <w:t>4&gt;</w:t>
            </w:r>
            <w:r>
              <w:rPr>
                <w:lang w:eastAsia="ko-KR"/>
              </w:rPr>
              <w:tab/>
              <w:t>if this Random Access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consider the Random Access procedure unsuccessfully completed.</w:t>
            </w:r>
          </w:p>
          <w:p w14:paraId="2EB9A0C9" w14:textId="77777777" w:rsidR="00D97BB7" w:rsidRDefault="009A6A50">
            <w:pPr>
              <w:pStyle w:val="B3"/>
              <w:rPr>
                <w:lang w:eastAsia="ko-KR"/>
              </w:rPr>
            </w:pPr>
            <w:r>
              <w:rPr>
                <w:lang w:eastAsia="ko-KR"/>
              </w:rPr>
              <w:t>3&gt;</w:t>
            </w:r>
            <w:r>
              <w:rPr>
                <w:lang w:eastAsia="ko-KR"/>
              </w:rPr>
              <w:tab/>
              <w:t>else if the Random Access Preamble is transmitted on an SCell:</w:t>
            </w:r>
          </w:p>
          <w:p w14:paraId="225A04C8" w14:textId="77777777" w:rsidR="00D97BB7" w:rsidRDefault="009A6A50">
            <w:pPr>
              <w:pStyle w:val="B4"/>
              <w:rPr>
                <w:lang w:eastAsia="ko-KR"/>
              </w:rPr>
            </w:pPr>
            <w:r>
              <w:rPr>
                <w:lang w:eastAsia="ko-KR"/>
              </w:rPr>
              <w:t>4&gt;</w:t>
            </w:r>
            <w:r>
              <w:rPr>
                <w:lang w:eastAsia="ko-KR"/>
              </w:rPr>
              <w:tab/>
              <w:t>consider the Random Access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lastRenderedPageBreak/>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of  </w:t>
            </w:r>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r>
              <w:rPr>
                <w:rFonts w:hint="eastAsia"/>
                <w:lang w:val="en-US" w:eastAsia="zh-CN"/>
              </w:rPr>
              <w:t xml:space="preserve">, indicate a Random Access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consider radio link failure to be detected for the source MCG i.e. source RLF;</w:t>
            </w:r>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For simplicity (not spare effort to coordinate Rapporteurs with 304/331, but also keep aligned with agreement wording), we suggest to revise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if the Random Access Preamble is transmitted on the SpCell:</w:t>
            </w:r>
          </w:p>
          <w:p w14:paraId="36E44B2C" w14:textId="77777777" w:rsidR="00D97BB7" w:rsidRDefault="009A6A50">
            <w:pPr>
              <w:pStyle w:val="B4"/>
              <w:rPr>
                <w:highlight w:val="green"/>
                <w:lang w:eastAsia="ko-KR"/>
              </w:rPr>
            </w:pPr>
            <w:r>
              <w:rPr>
                <w:lang w:eastAsia="ko-KR"/>
              </w:rPr>
              <w:t>4&gt;</w:t>
            </w:r>
            <w:r>
              <w:rPr>
                <w:lang w:eastAsia="ko-KR"/>
              </w:rPr>
              <w:tab/>
              <w:t>indicate a Random Access problem to upper layers;</w:t>
            </w:r>
          </w:p>
          <w:p w14:paraId="6F24A1FC" w14:textId="77777777" w:rsidR="00D97BB7" w:rsidRDefault="009A6A50">
            <w:pPr>
              <w:pStyle w:val="B4"/>
              <w:rPr>
                <w:lang w:eastAsia="ko-KR"/>
              </w:rPr>
            </w:pPr>
            <w:r>
              <w:rPr>
                <w:lang w:eastAsia="ko-KR"/>
              </w:rPr>
              <w:t>4&gt;</w:t>
            </w:r>
            <w:r>
              <w:rPr>
                <w:lang w:eastAsia="ko-KR"/>
              </w:rPr>
              <w:tab/>
              <w:t>if this Random Access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consider the Random Access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Random Access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BE9DCD8" w14:textId="77777777" w:rsidR="00D97BB7" w:rsidRDefault="009A6A50">
            <w:pPr>
              <w:pStyle w:val="B4"/>
              <w:ind w:leftChars="767" w:left="1534" w:firstLineChars="59" w:firstLine="118"/>
              <w:rPr>
                <w:lang w:val="en-US" w:eastAsia="zh-CN"/>
              </w:rPr>
            </w:pPr>
            <w:r>
              <w:rPr>
                <w:color w:val="FF0000"/>
                <w:lang w:eastAsia="ko-KR"/>
              </w:rPr>
              <w:t>5&gt;</w:t>
            </w:r>
            <w:r>
              <w:rPr>
                <w:color w:val="FF0000"/>
                <w:lang w:eastAsia="ko-KR"/>
              </w:rPr>
              <w:tab/>
              <w:t>consider the Random Access procedure unsuccessfully completed.</w:t>
            </w:r>
          </w:p>
        </w:tc>
        <w:tc>
          <w:tcPr>
            <w:tcW w:w="2683" w:type="dxa"/>
            <w:shd w:val="clear" w:color="auto" w:fill="auto"/>
          </w:tcPr>
          <w:p w14:paraId="65CA26A1" w14:textId="77777777" w:rsidR="00D97BB7" w:rsidRDefault="00D97BB7">
            <w:pPr>
              <w:overflowPunct w:val="0"/>
              <w:autoSpaceDE w:val="0"/>
              <w:autoSpaceDN w:val="0"/>
              <w:adjustRightInd w:val="0"/>
              <w:textAlignment w:val="baseline"/>
              <w:rPr>
                <w:rFonts w:ascii="Arial" w:eastAsia="等线" w:hAnsi="Arial" w:cs="Arial"/>
                <w:color w:val="00B0F0"/>
                <w:lang w:eastAsia="zh-CN"/>
              </w:rPr>
            </w:pPr>
          </w:p>
        </w:tc>
      </w:tr>
      <w:tr w:rsidR="002C2BD7" w14:paraId="67933F01" w14:textId="77777777" w:rsidTr="00C86385">
        <w:tc>
          <w:tcPr>
            <w:tcW w:w="1354"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Ericsson</w:t>
            </w:r>
          </w:p>
        </w:tc>
        <w:tc>
          <w:tcPr>
            <w:tcW w:w="5592"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683" w:type="dxa"/>
            <w:shd w:val="clear" w:color="auto" w:fill="auto"/>
          </w:tcPr>
          <w:p w14:paraId="3FA63D87" w14:textId="77777777" w:rsidR="002C2BD7" w:rsidRDefault="002C2BD7">
            <w:pPr>
              <w:overflowPunct w:val="0"/>
              <w:autoSpaceDE w:val="0"/>
              <w:autoSpaceDN w:val="0"/>
              <w:adjustRightInd w:val="0"/>
              <w:textAlignment w:val="baseline"/>
              <w:rPr>
                <w:rFonts w:ascii="Arial" w:eastAsia="等线" w:hAnsi="Arial" w:cs="Arial"/>
                <w:color w:val="00B0F0"/>
                <w:lang w:eastAsia="zh-CN"/>
              </w:rPr>
            </w:pPr>
          </w:p>
        </w:tc>
      </w:tr>
      <w:tr w:rsidR="002C2BD7" w14:paraId="3A9B2431" w14:textId="77777777" w:rsidTr="00C86385">
        <w:tc>
          <w:tcPr>
            <w:tcW w:w="1354"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592"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Agree with v001 that since RAN2 agreed to have the specific branche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683" w:type="dxa"/>
            <w:shd w:val="clear" w:color="auto" w:fill="auto"/>
          </w:tcPr>
          <w:p w14:paraId="0F4A90A1" w14:textId="77777777" w:rsidR="002C2BD7" w:rsidRDefault="002C2BD7">
            <w:pPr>
              <w:overflowPunct w:val="0"/>
              <w:autoSpaceDE w:val="0"/>
              <w:autoSpaceDN w:val="0"/>
              <w:adjustRightInd w:val="0"/>
              <w:textAlignment w:val="baseline"/>
              <w:rPr>
                <w:rFonts w:ascii="Arial" w:eastAsia="等线" w:hAnsi="Arial" w:cs="Arial"/>
                <w:color w:val="00B0F0"/>
                <w:lang w:eastAsia="zh-CN"/>
              </w:rPr>
            </w:pPr>
          </w:p>
        </w:tc>
      </w:tr>
      <w:tr w:rsidR="00DB44B4" w14:paraId="18254A11" w14:textId="77777777" w:rsidTr="00C86385">
        <w:tc>
          <w:tcPr>
            <w:tcW w:w="1354"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Nokia</w:t>
            </w:r>
          </w:p>
        </w:tc>
        <w:tc>
          <w:tcPr>
            <w:tcW w:w="5592"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random access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683" w:type="dxa"/>
            <w:shd w:val="clear" w:color="auto" w:fill="auto"/>
          </w:tcPr>
          <w:p w14:paraId="16DC2FDF" w14:textId="77777777" w:rsidR="00DB44B4" w:rsidRDefault="00DB44B4">
            <w:pPr>
              <w:overflowPunct w:val="0"/>
              <w:autoSpaceDE w:val="0"/>
              <w:autoSpaceDN w:val="0"/>
              <w:adjustRightInd w:val="0"/>
              <w:textAlignment w:val="baseline"/>
              <w:rPr>
                <w:rFonts w:ascii="Arial" w:eastAsia="等线" w:hAnsi="Arial" w:cs="Arial"/>
                <w:color w:val="00B0F0"/>
                <w:lang w:eastAsia="zh-CN"/>
              </w:rPr>
            </w:pPr>
          </w:p>
        </w:tc>
      </w:tr>
      <w:tr w:rsidR="00C86385" w14:paraId="0AF587C8" w14:textId="77777777" w:rsidTr="00C86385">
        <w:tc>
          <w:tcPr>
            <w:tcW w:w="1354" w:type="dxa"/>
            <w:shd w:val="clear" w:color="auto" w:fill="auto"/>
          </w:tcPr>
          <w:p w14:paraId="201294EC" w14:textId="244204F9"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w:t>
            </w:r>
            <w:r>
              <w:rPr>
                <w:rFonts w:ascii="Arial" w:hAnsi="Arial" w:cs="Arial"/>
                <w:color w:val="000000"/>
                <w:lang w:val="en-US" w:eastAsia="zh-CN"/>
              </w:rPr>
              <w:t>harp 001</w:t>
            </w:r>
          </w:p>
        </w:tc>
        <w:tc>
          <w:tcPr>
            <w:tcW w:w="5592" w:type="dxa"/>
            <w:shd w:val="clear" w:color="auto" w:fill="auto"/>
          </w:tcPr>
          <w:p w14:paraId="13C59AA1" w14:textId="77777777"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R</w:t>
            </w:r>
            <w:r>
              <w:rPr>
                <w:rFonts w:ascii="Arial" w:hAnsi="Arial" w:cs="Arial"/>
                <w:color w:val="000000"/>
                <w:lang w:val="en-US" w:eastAsia="zh-CN"/>
              </w:rPr>
              <w:t xml:space="preserve">egarding v001, we don’t see the need to add a new indication in MAC spec, and prefer to </w:t>
            </w:r>
            <w:r w:rsidRPr="00AF63B6">
              <w:rPr>
                <w:rFonts w:ascii="Arial" w:hAnsi="Arial" w:cs="Arial"/>
                <w:color w:val="000000"/>
                <w:lang w:val="en-US" w:eastAsia="zh-CN"/>
              </w:rPr>
              <w:t>change the text in 304/331 from “maximum number of PRACH attempts” to “</w:t>
            </w:r>
            <w:r>
              <w:rPr>
                <w:rFonts w:ascii="Arial" w:hAnsi="Arial" w:cs="Arial"/>
                <w:color w:val="000000"/>
                <w:lang w:val="en-US" w:eastAsia="zh-CN"/>
              </w:rPr>
              <w:t>RACH</w:t>
            </w:r>
            <w:r w:rsidRPr="00AF63B6">
              <w:rPr>
                <w:rFonts w:ascii="Arial" w:hAnsi="Arial" w:cs="Arial"/>
                <w:color w:val="000000"/>
                <w:lang w:val="en-US" w:eastAsia="zh-CN"/>
              </w:rPr>
              <w:t xml:space="preserve"> failure”.</w:t>
            </w:r>
            <w:r>
              <w:rPr>
                <w:rFonts w:ascii="Arial" w:hAnsi="Arial" w:cs="Arial"/>
                <w:color w:val="000000"/>
                <w:lang w:val="en-US" w:eastAsia="zh-CN"/>
              </w:rPr>
              <w:t xml:space="preserve"> </w:t>
            </w:r>
            <w:bookmarkStart w:id="6" w:name="_GoBack"/>
            <w:bookmarkEnd w:id="6"/>
          </w:p>
          <w:p w14:paraId="03E7DC68" w14:textId="1EC9C19F"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“RACH failure” has been used for legacy on-demand OSI in current 331, and it is also aligned with the agreement because currently only when max number of preamble transmission reaches, RACH problem will be indicated to upper layer. </w:t>
            </w:r>
          </w:p>
        </w:tc>
        <w:tc>
          <w:tcPr>
            <w:tcW w:w="2683" w:type="dxa"/>
            <w:shd w:val="clear" w:color="auto" w:fill="auto"/>
          </w:tcPr>
          <w:p w14:paraId="70FF3DDF" w14:textId="77777777" w:rsidR="00C86385" w:rsidRDefault="00C86385" w:rsidP="00C86385">
            <w:pPr>
              <w:overflowPunct w:val="0"/>
              <w:autoSpaceDE w:val="0"/>
              <w:autoSpaceDN w:val="0"/>
              <w:adjustRightInd w:val="0"/>
              <w:textAlignment w:val="baseline"/>
              <w:rPr>
                <w:rFonts w:ascii="Arial" w:eastAsia="等线"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The following color code is used to categorize agreements interms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t>RAN2 Agreements</w:t>
      </w:r>
    </w:p>
    <w:p w14:paraId="33323941" w14:textId="77777777" w:rsidR="00D97BB7" w:rsidRDefault="009A6A50">
      <w:pPr>
        <w:rPr>
          <w:b/>
          <w:bCs/>
          <w:u w:val="single"/>
        </w:rPr>
      </w:pPr>
      <w:r>
        <w:rPr>
          <w:b/>
          <w:bCs/>
          <w:u w:val="single"/>
        </w:rPr>
        <w:t>On-demand SSB for SCell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SCell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lastRenderedPageBreak/>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Don’t introduce further new MAC CE that combines SCell activation/deactivation and OD-SSB indication for scenario 2A.</w:t>
      </w:r>
    </w:p>
    <w:p w14:paraId="1CAF4E3C" w14:textId="77777777" w:rsidR="00D97BB7" w:rsidRDefault="009A6A50">
      <w:r>
        <w:rPr>
          <w:highlight w:val="yellow"/>
        </w:rPr>
        <w:t>NW should be able to send OD-SSB indication for multiple SCells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For explicit activation/deactivation, the OD-SSB MAC-CE includes fixed sized bitmap to indicate whether OD-SSB is activated in each SCell (i.e., similar to legacy SCell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For explicit activation/deactivation, the OD-SSB MAC-CE supports two formats: one format indicates up to 7 SCells and the other format indicates up to 31 SCells.</w:t>
      </w:r>
    </w:p>
    <w:p w14:paraId="76FC1C89" w14:textId="77777777" w:rsidR="00D97BB7" w:rsidRDefault="009A6A50">
      <w:pPr>
        <w:rPr>
          <w:highlight w:val="yellow"/>
          <w:lang w:val="en-US"/>
        </w:rPr>
      </w:pPr>
      <w:r>
        <w:rPr>
          <w:highlight w:val="yellow"/>
          <w:lang w:val="en-US"/>
        </w:rPr>
        <w:t>OD-SSB MAC-CE includes a configuration index for each SCell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Existing Msg 1 based on-demand procedure is reused for on-demand SIB1 acquisition procedure</w:t>
      </w:r>
      <w:r>
        <w:t xml:space="preserve">. </w:t>
      </w:r>
      <w:r>
        <w:rPr>
          <w:highlight w:val="cyan"/>
        </w:rPr>
        <w:t>FFS on Msg 3. FFS if / when the UE monitors the OD-SIB1 upon reception of RAR. FFS:T whether introduce specified UE behavior if RACH failure of OD-SIB1 request.</w:t>
      </w:r>
    </w:p>
    <w:p w14:paraId="28213173" w14:textId="77777777" w:rsidR="00D97BB7" w:rsidRDefault="009A6A50">
      <w:r>
        <w:rPr>
          <w:highlight w:val="cyan"/>
        </w:rPr>
        <w:lastRenderedPageBreak/>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RRC release message assisted intra-cell WUS can be discussed as option of signaling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r>
        <w:rPr>
          <w:highlight w:val="cyan"/>
        </w:rPr>
        <w:t>Msg 3 based OD-SI procedure is not supported for on-demand SIB1 request in case 2 (for requesting to the NES Cell).</w:t>
      </w:r>
    </w:p>
    <w:p w14:paraId="48BF2386" w14:textId="77777777" w:rsidR="00D97BB7" w:rsidRDefault="009A6A50">
      <w:pPr>
        <w:rPr>
          <w:highlight w:val="cyan"/>
        </w:rPr>
      </w:pPr>
      <w:r>
        <w:rPr>
          <w:highlight w:val="cyan"/>
        </w:rPr>
        <w:lastRenderedPageBreak/>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Legacy UEs bar the OD-SIB1 cell based on cellBarred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2: Legacy UEs bar the OD-SIB1 cell based on no SIB1 indication via ssb-SubcarrierOffset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In on-demand SIB1 procedure, the UE considers RACH failure when PREAMBLE_TRANSMISSION_COUNTER = preambleTransMax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The legacy UE behaviour can be reused upon on-demand SIB1 acquisition failure, i.e., the NES UE should follow the intraFreqReselection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Legacy UEs bar the OD-SIB1 cell based on no SIB1 indication in MIB e.g. via ssb-SubcarrierOffset.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t>Let’s wait for more RAN1 progress on Kssb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Introduce new IntraFreqExcludedCellList-NES / InterFreqExcludedCellList-NES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lastRenderedPageBreak/>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There is no need for additional barring mechanisms (in addition to the k_ssb signaling “no SIB1” indication in MIB) to handle legacy to be able to bar cell using OD-SIB1.</w:t>
      </w:r>
    </w:p>
    <w:p w14:paraId="2919BE74" w14:textId="77777777" w:rsidR="00D97BB7" w:rsidRDefault="009A6A50">
      <w:pPr>
        <w:spacing w:after="0"/>
        <w:rPr>
          <w:highlight w:val="cyan"/>
        </w:rPr>
      </w:pPr>
      <w:r>
        <w:rPr>
          <w:highlight w:val="cyan"/>
        </w:rPr>
        <w:t>Specify the following UE behavior to allow the UEs in RRC_CONNECTED state to acquire OD-SIB1 when T311 is running:</w:t>
      </w:r>
    </w:p>
    <w:p w14:paraId="5BAC3CBC" w14:textId="77777777" w:rsidR="00D97BB7" w:rsidRDefault="009A6A50">
      <w:pPr>
        <w:pStyle w:val="afb"/>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afb"/>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afb"/>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For Rel-19 NES UE in RRC_CONNECTED, rely on the NW dedicated RRC for SIB1 delivery if searchSpaceSIB1 is not configured. It is legacy UE behavior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Capture the following understanding in meeting notes: RA on an SpCell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t>Align with legacy RAR for OSI for OD-SIB1 operation. Legacy RAR MAC PDU subheader with RAPID only to be used as NW acknowledgement for OD-SIB1 request.</w:t>
      </w:r>
    </w:p>
    <w:p w14:paraId="3C63CD46" w14:textId="77777777" w:rsidR="00D97BB7" w:rsidRDefault="009A6A50">
      <w:r>
        <w:rPr>
          <w:highlight w:val="cyan"/>
        </w:rPr>
        <w:t>The UL WUS configuration includes the IE totalNumberOfRA-Preambles.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lastRenderedPageBreak/>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Prevent the access of legacy UE via barring;</w:t>
      </w:r>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R2 observe that the option-a) and option-b) can be designed to configure the PO:s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R2 should aim at signaling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Introduce a separate PEI 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UE-RadioPagingInfo. FFS on whether we have a common capability for all NES features.</w:t>
      </w:r>
    </w:p>
    <w:p w14:paraId="4AE1A4C4" w14:textId="77777777" w:rsidR="00D97BB7" w:rsidRDefault="009A6A50">
      <w:pPr>
        <w:rPr>
          <w:highlight w:val="cyan"/>
          <w:lang w:val="en-US"/>
        </w:rPr>
      </w:pPr>
      <w:r>
        <w:rPr>
          <w:highlight w:val="cyan"/>
          <w:lang w:val="en-US"/>
        </w:rPr>
        <w:t>RAN2 confirms SSB adaptation in time domain is not supported for RRC idle/inactive UEs and Rel-19 NES-capable UE’s PCell.</w:t>
      </w:r>
    </w:p>
    <w:p w14:paraId="4D7ABDE8" w14:textId="77777777" w:rsidR="00D97BB7" w:rsidRDefault="009A6A50">
      <w:pPr>
        <w:rPr>
          <w:highlight w:val="cyan"/>
          <w:lang w:val="en-US"/>
        </w:rPr>
      </w:pPr>
      <w:r>
        <w:rPr>
          <w:highlight w:val="cyan"/>
          <w:lang w:val="en-US"/>
        </w:rPr>
        <w:t>RAN2 preference is to keep SMTC based L3 RRM framework and to introduce additional SMTC configuration according to SSB adaptation for L3 RRM measurement on SCell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lastRenderedPageBreak/>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From R2 perspective, RACH partitioning with all the features, i.e. RedCap,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On-demand SSB for SCell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SCell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7"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SCell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this RRC also configures the SCell, activates the SCell,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lastRenderedPageBreak/>
        <w:br/>
      </w:r>
      <w:r>
        <w:rPr>
          <w:rFonts w:eastAsia="Calibri"/>
          <w:highlight w:val="yellow"/>
          <w:lang w:val="en-CA" w:eastAsia="ko-KR"/>
        </w:rPr>
        <w:t>For</w:t>
      </w:r>
      <w:r>
        <w:rPr>
          <w:rFonts w:eastAsia="Calibri"/>
          <w:highlight w:val="yellow"/>
          <w:lang w:val="en-CA"/>
        </w:rPr>
        <w:t xml:space="preserve"> a cell supporting on-demand SSB S</w:t>
      </w:r>
      <w:r>
        <w:rPr>
          <w:rFonts w:eastAsia="Calibri"/>
          <w:highlight w:val="yellow"/>
          <w:lang w:val="en-CA" w:eastAsia="ko-KR"/>
        </w:rPr>
        <w:t>C</w:t>
      </w:r>
      <w:r>
        <w:rPr>
          <w:rFonts w:eastAsia="Calibri"/>
          <w:highlight w:val="yellow"/>
          <w:lang w:val="en-CA"/>
        </w:rPr>
        <w:t>ell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7"/>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SCell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afb"/>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similar to ssb-PositionsInBurst (i.e., od-ssb-PositionsInBurst) </w:t>
      </w:r>
      <w:r>
        <w:rPr>
          <w:rFonts w:eastAsia="Calibri"/>
          <w:highlight w:val="cyan"/>
          <w:lang w:val="en-CA" w:eastAsia="en-US"/>
        </w:rPr>
        <w:t>for the following cases</w:t>
      </w:r>
    </w:p>
    <w:p w14:paraId="44B7D347" w14:textId="77777777" w:rsidR="00D97BB7" w:rsidRDefault="009A6A50">
      <w:pPr>
        <w:pStyle w:val="afb"/>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afb"/>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afb"/>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od-ssb- nrofBurst)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OD-SIB1 and SSB follows 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r>
        <w:rPr>
          <w:rFonts w:eastAsia="PMingLiU"/>
          <w:highlight w:val="cyan"/>
          <w:lang w:val="en-CA" w:eastAsia="zh-TW"/>
        </w:rPr>
        <w:t>For the purpose of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r>
        <w:rPr>
          <w:rFonts w:eastAsia="PMingLiU" w:cs="Times"/>
          <w:i/>
          <w:iCs/>
          <w:highlight w:val="green"/>
          <w:lang w:val="en-US" w:eastAsia="zh-TW"/>
        </w:rPr>
        <w:t>rsrp-ThresholdSSB</w:t>
      </w:r>
    </w:p>
    <w:p w14:paraId="41611541" w14:textId="77777777" w:rsidR="00D97BB7" w:rsidRDefault="009A6A50">
      <w:pPr>
        <w:numPr>
          <w:ilvl w:val="0"/>
          <w:numId w:val="12"/>
        </w:numPr>
        <w:spacing w:after="0"/>
        <w:rPr>
          <w:rFonts w:eastAsia="PMingLiU" w:cs="Times"/>
          <w:i/>
          <w:iCs/>
          <w:highlight w:val="cyan"/>
          <w:lang w:val="en-US" w:eastAsia="zh-TW"/>
        </w:rPr>
      </w:pPr>
      <w:bookmarkStart w:id="8" w:name="OLE_LINK47"/>
      <w:r>
        <w:rPr>
          <w:rFonts w:eastAsia="PMingLiU" w:cs="Times"/>
          <w:i/>
          <w:iCs/>
          <w:highlight w:val="cyan"/>
          <w:lang w:val="en-US" w:eastAsia="zh-TW"/>
        </w:rPr>
        <w:t>prach-RootSequenceIndex</w:t>
      </w:r>
      <w:bookmarkEnd w:id="8"/>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restrictedSetConfig</w:t>
      </w:r>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RACH-ConfigCommon</w:t>
      </w:r>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lastRenderedPageBreak/>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UE behaviour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2-6: Network configured time period</w:t>
      </w:r>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lastRenderedPageBreak/>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Mapping SS/PBCH block indexes to valid additional PRACH occasions provided by semi-static signalling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68A6" w14:textId="77777777" w:rsidR="003F68FE" w:rsidRDefault="003F68FE">
      <w:pPr>
        <w:spacing w:after="0"/>
      </w:pPr>
      <w:r>
        <w:separator/>
      </w:r>
    </w:p>
  </w:endnote>
  <w:endnote w:type="continuationSeparator" w:id="0">
    <w:p w14:paraId="559D58EC" w14:textId="77777777" w:rsidR="003F68FE" w:rsidRDefault="003F6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77621" w14:textId="77777777" w:rsidR="003F68FE" w:rsidRDefault="003F68FE">
      <w:pPr>
        <w:spacing w:after="0"/>
      </w:pPr>
      <w:r>
        <w:separator/>
      </w:r>
    </w:p>
  </w:footnote>
  <w:footnote w:type="continuationSeparator" w:id="0">
    <w:p w14:paraId="5E3F52B5" w14:textId="77777777" w:rsidR="003F68FE" w:rsidRDefault="003F68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9"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0"/>
  </w:num>
  <w:num w:numId="2">
    <w:abstractNumId w:val="6"/>
  </w:num>
  <w:num w:numId="3">
    <w:abstractNumId w:val="18"/>
  </w:num>
  <w:num w:numId="4">
    <w:abstractNumId w:val="12"/>
  </w:num>
  <w:num w:numId="5">
    <w:abstractNumId w:val="11"/>
  </w:num>
  <w:num w:numId="6">
    <w:abstractNumId w:val="10"/>
  </w:num>
  <w:num w:numId="7">
    <w:abstractNumId w:val="4"/>
  </w:num>
  <w:num w:numId="8">
    <w:abstractNumId w:val="17"/>
  </w:num>
  <w:num w:numId="9">
    <w:abstractNumId w:val="14"/>
  </w:num>
  <w:num w:numId="10">
    <w:abstractNumId w:val="9"/>
  </w:num>
  <w:num w:numId="11">
    <w:abstractNumId w:val="19"/>
  </w:num>
  <w:num w:numId="12">
    <w:abstractNumId w:val="5"/>
  </w:num>
  <w:num w:numId="13">
    <w:abstractNumId w:val="15"/>
  </w:num>
  <w:num w:numId="14">
    <w:abstractNumId w:val="8"/>
  </w:num>
  <w:num w:numId="15">
    <w:abstractNumId w:val="16"/>
  </w:num>
  <w:num w:numId="16">
    <w:abstractNumId w:val="13"/>
  </w:num>
  <w:num w:numId="17">
    <w:abstractNumId w:val="7"/>
  </w:num>
  <w:num w:numId="18">
    <w:abstractNumId w:val="3"/>
  </w:num>
  <w:num w:numId="19">
    <w:abstractNumId w:val="2"/>
  </w:num>
  <w:num w:numId="20">
    <w:abstractNumId w:val="1"/>
  </w:num>
  <w:num w:numId="2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3"/>
    <w:semiHidden/>
    <w:pPr>
      <w:ind w:left="1418" w:hanging="1418"/>
    </w:pPr>
  </w:style>
  <w:style w:type="paragraph" w:styleId="33">
    <w:name w:val="toc 3"/>
    <w:basedOn w:val="22"/>
    <w:semiHidden/>
    <w:qFormat/>
    <w:pPr>
      <w:ind w:left="1134" w:hanging="1134"/>
    </w:pPr>
  </w:style>
  <w:style w:type="paragraph" w:styleId="22">
    <w:name w:val="toc 2"/>
    <w:basedOn w:val="11"/>
    <w:semiHidden/>
    <w:qFormat/>
    <w:pPr>
      <w:keepNext w:val="0"/>
      <w:spacing w:before="0"/>
      <w:ind w:left="851" w:hanging="851"/>
    </w:pPr>
    <w:rPr>
      <w:sz w:val="20"/>
    </w:rPr>
  </w:style>
  <w:style w:type="paragraph" w:styleId="1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afterLines="60" w:after="120"/>
      <w:jc w:val="both"/>
    </w:pPr>
    <w:rPr>
      <w:szCs w:val="24"/>
      <w:lang w:val="zh-CN"/>
    </w:rPr>
  </w:style>
  <w:style w:type="paragraph" w:styleId="52">
    <w:name w:val="List Bullet 5"/>
    <w:basedOn w:val="42"/>
    <w:qFormat/>
    <w:pPr>
      <w:ind w:left="1702"/>
    </w:pPr>
  </w:style>
  <w:style w:type="paragraph" w:styleId="80">
    <w:name w:val="toc 8"/>
    <w:basedOn w:val="1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2"/>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90">
    <w:name w:val="toc 9"/>
    <w:basedOn w:val="80"/>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3">
    <w:name w:val="index 1"/>
    <w:basedOn w:val="a"/>
    <w:semiHidden/>
    <w:pPr>
      <w:keepLines/>
      <w:spacing w:after="0"/>
    </w:pPr>
  </w:style>
  <w:style w:type="paragraph" w:styleId="25">
    <w:name w:val="index 2"/>
    <w:basedOn w:val="13"/>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2">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4">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出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rsid w:val="0021169D"/>
    <w:pPr>
      <w:spacing w:after="120" w:line="480" w:lineRule="auto"/>
    </w:pPr>
  </w:style>
  <w:style w:type="character" w:customStyle="1" w:styleId="27">
    <w:name w:val="正文文本 2 字符"/>
    <w:basedOn w:val="a0"/>
    <w:link w:val="26"/>
    <w:rsid w:val="0021169D"/>
    <w:rPr>
      <w:rFonts w:ascii="Times New Roman" w:hAnsi="Times New Roman"/>
      <w:lang w:val="en-GB" w:eastAsia="en-US"/>
    </w:rPr>
  </w:style>
  <w:style w:type="paragraph" w:styleId="35">
    <w:name w:val="Body Text 3"/>
    <w:basedOn w:val="a"/>
    <w:link w:val="36"/>
    <w:rsid w:val="0021169D"/>
    <w:pPr>
      <w:spacing w:after="120"/>
    </w:pPr>
    <w:rPr>
      <w:sz w:val="16"/>
      <w:szCs w:val="16"/>
    </w:rPr>
  </w:style>
  <w:style w:type="character" w:customStyle="1" w:styleId="36">
    <w:name w:val="正文文本 3 字符"/>
    <w:basedOn w:val="a0"/>
    <w:link w:val="35"/>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8">
    <w:name w:val="Body Text First Indent 2"/>
    <w:basedOn w:val="aff2"/>
    <w:link w:val="29"/>
    <w:rsid w:val="0021169D"/>
    <w:pPr>
      <w:spacing w:after="180"/>
      <w:ind w:left="360" w:firstLine="360"/>
    </w:pPr>
  </w:style>
  <w:style w:type="character" w:customStyle="1" w:styleId="29">
    <w:name w:val="正文首行缩进 2 字符"/>
    <w:basedOn w:val="aff3"/>
    <w:link w:val="28"/>
    <w:rsid w:val="0021169D"/>
    <w:rPr>
      <w:rFonts w:ascii="Times New Roman" w:hAnsi="Times New Roman"/>
      <w:lang w:val="en-GB" w:eastAsia="en-US"/>
    </w:rPr>
  </w:style>
  <w:style w:type="paragraph" w:styleId="2a">
    <w:name w:val="Body Text Indent 2"/>
    <w:basedOn w:val="a"/>
    <w:link w:val="2b"/>
    <w:rsid w:val="0021169D"/>
    <w:pPr>
      <w:spacing w:after="120" w:line="480" w:lineRule="auto"/>
      <w:ind w:left="283"/>
    </w:pPr>
  </w:style>
  <w:style w:type="character" w:customStyle="1" w:styleId="2b">
    <w:name w:val="正文文本缩进 2 字符"/>
    <w:basedOn w:val="a0"/>
    <w:link w:val="2a"/>
    <w:rsid w:val="0021169D"/>
    <w:rPr>
      <w:rFonts w:ascii="Times New Roman" w:hAnsi="Times New Roman"/>
      <w:lang w:val="en-GB" w:eastAsia="en-US"/>
    </w:rPr>
  </w:style>
  <w:style w:type="paragraph" w:styleId="37">
    <w:name w:val="Body Text Indent 3"/>
    <w:basedOn w:val="a"/>
    <w:link w:val="38"/>
    <w:rsid w:val="0021169D"/>
    <w:pPr>
      <w:spacing w:after="120"/>
      <w:ind w:left="283"/>
    </w:pPr>
    <w:rPr>
      <w:sz w:val="16"/>
      <w:szCs w:val="16"/>
    </w:rPr>
  </w:style>
  <w:style w:type="character" w:customStyle="1" w:styleId="38">
    <w:name w:val="正文文本缩进 3 字符"/>
    <w:basedOn w:val="a0"/>
    <w:link w:val="37"/>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9">
    <w:name w:val="index 3"/>
    <w:basedOn w:val="a"/>
    <w:next w:val="a"/>
    <w:rsid w:val="0021169D"/>
    <w:pPr>
      <w:spacing w:after="0"/>
      <w:ind w:left="600" w:hanging="200"/>
    </w:pPr>
  </w:style>
  <w:style w:type="paragraph" w:styleId="44">
    <w:name w:val="index 4"/>
    <w:basedOn w:val="a"/>
    <w:next w:val="a"/>
    <w:rsid w:val="0021169D"/>
    <w:pPr>
      <w:spacing w:after="0"/>
      <w:ind w:left="800" w:hanging="200"/>
    </w:pPr>
  </w:style>
  <w:style w:type="paragraph" w:styleId="54">
    <w:name w:val="index 5"/>
    <w:basedOn w:val="a"/>
    <w:next w:val="a"/>
    <w:rsid w:val="0021169D"/>
    <w:pPr>
      <w:spacing w:after="0"/>
      <w:ind w:left="1000" w:hanging="200"/>
    </w:pPr>
  </w:style>
  <w:style w:type="paragraph" w:styleId="61">
    <w:name w:val="index 6"/>
    <w:basedOn w:val="a"/>
    <w:next w:val="a"/>
    <w:rsid w:val="0021169D"/>
    <w:pPr>
      <w:spacing w:after="0"/>
      <w:ind w:left="1200" w:hanging="200"/>
    </w:pPr>
  </w:style>
  <w:style w:type="paragraph" w:styleId="71">
    <w:name w:val="index 7"/>
    <w:basedOn w:val="a"/>
    <w:next w:val="a"/>
    <w:rsid w:val="0021169D"/>
    <w:pPr>
      <w:spacing w:after="0"/>
      <w:ind w:left="1400" w:hanging="200"/>
    </w:pPr>
  </w:style>
  <w:style w:type="paragraph" w:styleId="81">
    <w:name w:val="index 8"/>
    <w:basedOn w:val="a"/>
    <w:next w:val="a"/>
    <w:rsid w:val="0021169D"/>
    <w:pPr>
      <w:spacing w:after="0"/>
      <w:ind w:left="1600" w:hanging="200"/>
    </w:pPr>
  </w:style>
  <w:style w:type="paragraph" w:styleId="91">
    <w:name w:val="index 9"/>
    <w:basedOn w:val="a"/>
    <w:next w:val="a"/>
    <w:rsid w:val="0021169D"/>
    <w:pPr>
      <w:spacing w:after="0"/>
      <w:ind w:left="1800" w:hanging="200"/>
    </w:pPr>
  </w:style>
  <w:style w:type="paragraph" w:styleId="affe">
    <w:name w:val="index heading"/>
    <w:basedOn w:val="a"/>
    <w:next w:val="13"/>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c">
    <w:name w:val="List Continue 2"/>
    <w:basedOn w:val="a"/>
    <w:rsid w:val="0021169D"/>
    <w:pPr>
      <w:spacing w:after="120"/>
      <w:ind w:left="566"/>
      <w:contextualSpacing/>
    </w:pPr>
  </w:style>
  <w:style w:type="paragraph" w:styleId="3a">
    <w:name w:val="List Continue 3"/>
    <w:basedOn w:val="a"/>
    <w:rsid w:val="0021169D"/>
    <w:pPr>
      <w:spacing w:after="120"/>
      <w:ind w:left="849"/>
      <w:contextualSpacing/>
    </w:pPr>
  </w:style>
  <w:style w:type="paragraph" w:styleId="45">
    <w:name w:val="List Continue 4"/>
    <w:basedOn w:val="a"/>
    <w:rsid w:val="0021169D"/>
    <w:pPr>
      <w:spacing w:after="120"/>
      <w:ind w:left="1132"/>
      <w:contextualSpacing/>
    </w:pPr>
  </w:style>
  <w:style w:type="paragraph" w:styleId="55">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8.xml><?xml version="1.0" encoding="utf-8"?>
<ds:datastoreItem xmlns:ds="http://schemas.openxmlformats.org/officeDocument/2006/customXml" ds:itemID="{961DB194-009F-49C1-B1CB-B163D9E2CBF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Sharp-LIU Lei</cp:lastModifiedBy>
  <cp:revision>2</cp:revision>
  <dcterms:created xsi:type="dcterms:W3CDTF">2025-04-30T07:08:00Z</dcterms:created>
  <dcterms:modified xsi:type="dcterms:W3CDTF">2025-04-30T07:08:00Z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