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>ZTE Corporation, Sanechips</w:t>
      </w:r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SimSun" w:hint="eastAsia"/>
          <w:lang w:eastAsia="zh-CN"/>
        </w:rPr>
        <w:t>9</w:t>
      </w:r>
      <w:r w:rsidRPr="00482B56">
        <w:t>][</w:t>
      </w:r>
      <w:r w:rsidRPr="00482B56">
        <w:rPr>
          <w:rFonts w:eastAsia="SimSun"/>
          <w:lang w:eastAsia="zh-CN"/>
        </w:rPr>
        <w:t>2</w:t>
      </w:r>
      <w:r w:rsidRPr="00482B56">
        <w:rPr>
          <w:rFonts w:eastAsia="SimSun" w:hint="eastAsia"/>
          <w:lang w:eastAsia="zh-CN"/>
        </w:rPr>
        <w:t>13</w:t>
      </w:r>
      <w:r w:rsidRPr="00482B56">
        <w:t>][</w:t>
      </w:r>
      <w:r w:rsidRPr="00482B56">
        <w:rPr>
          <w:rFonts w:eastAsia="맑은 고딕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SimSun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SimSun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SimSun"/>
          <w:lang w:eastAsia="zh-CN"/>
        </w:rPr>
      </w:pPr>
      <w:r w:rsidRPr="00482B56">
        <w:rPr>
          <w:rFonts w:eastAsia="SimSun"/>
          <w:lang w:eastAsia="zh-CN"/>
        </w:rPr>
        <w:t xml:space="preserve">Intended outcome: </w:t>
      </w:r>
      <w:r w:rsidRPr="00482B56">
        <w:rPr>
          <w:rFonts w:eastAsia="SimSun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SimSun"/>
          <w:lang w:eastAsia="zh-CN"/>
        </w:rPr>
      </w:pPr>
      <w:r w:rsidRPr="00482B56">
        <w:rPr>
          <w:rFonts w:eastAsia="SimSun"/>
          <w:lang w:eastAsia="zh-CN"/>
        </w:rPr>
        <w:t xml:space="preserve">Deadline:  </w:t>
      </w:r>
      <w:r w:rsidRPr="00482B56">
        <w:rPr>
          <w:rFonts w:eastAsia="SimSun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DengXian"/>
          <w:sz w:val="24"/>
          <w:szCs w:val="24"/>
          <w:u w:val="single"/>
          <w:lang w:val="en-US" w:eastAsia="zh-CN"/>
        </w:rPr>
      </w:pP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DengXian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  <w:r w:rsidRPr="00911EDA">
        <w:rPr>
          <w:rFonts w:ascii="Arial" w:eastAsia="DengXian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a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>we understand the LP-WUS can only be configured to be monitored on the PCell</w:t>
      </w:r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: Do companies agree that in NR-DC MCG, the LP-WUS can only be configured to be monitored on the PCell?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PCell/PSCell.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Note: There is no impact to PDCCH monitoring behaviour related to SCell dormancy/activation/deactivation</w:t>
            </w:r>
          </w:p>
          <w:p w14:paraId="02C6CB0A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FFS: Whether the serving cell on which the LP-WUS is configured is only PCell/PSCell or can be RRC configured cell other than Pcell/PSCell</w:t>
            </w:r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Huawei, HiSilicon</w:t>
            </w:r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FFS: Whether the serving cell on which the LP-WUS is configured is only PCell/PSCell or can be RRC configured cell other than Pcell/PSCell</w:t>
            </w:r>
          </w:p>
          <w:p w14:paraId="37DF9C01" w14:textId="5EFB2D6C" w:rsidR="00247E54" w:rsidRPr="00247E54" w:rsidRDefault="00247E54" w:rsidP="009D7C3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DengXian" w:hAnsi="Times New Roman"/>
                <w:b/>
                <w:bCs/>
                <w:lang w:val="en-US"/>
              </w:rPr>
              <w:t>at least Pcell/PSCell</w:t>
            </w:r>
            <w:r w:rsidRPr="00247E54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DengXian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DengXian" w:hAnsi="Times New Roman"/>
                <w:bCs/>
                <w:lang w:val="en-US"/>
              </w:rPr>
              <w:t xml:space="preserve"> supported, but whether </w:t>
            </w:r>
            <w:r w:rsidR="00101F66">
              <w:rPr>
                <w:rFonts w:ascii="Times New Roman" w:eastAsia="DengXian" w:hAnsi="Times New Roman"/>
                <w:bCs/>
                <w:lang w:val="en-US"/>
              </w:rPr>
              <w:t>SCell can also configured with LP-WUS depends on further RAN1 conclusion.</w:t>
            </w:r>
          </w:p>
        </w:tc>
      </w:tr>
      <w:tr w:rsidR="00561C63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001D6558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2DFC958C" w14:textId="02C5A455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4E01F267" w14:textId="733E0FAB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W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e prefer to reuse the principle of DCP that LP-WUS is configured on the Pcell for NR-DC MCG, but since the issue is under RAN1</w:t>
            </w:r>
            <w:r>
              <w:rPr>
                <w:rFonts w:ascii="Times New Roman" w:eastAsia="DengXian" w:hAnsi="Times New Roman"/>
                <w:bCs/>
                <w:lang w:val="en-US"/>
              </w:rPr>
              <w:t>’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s discussion, we are wondering </w:t>
            </w:r>
            <w:r>
              <w:rPr>
                <w:rFonts w:ascii="Times New Roman" w:eastAsia="DengXian" w:hAnsi="Times New Roman"/>
                <w:bCs/>
                <w:lang w:val="en-US"/>
              </w:rPr>
              <w:t>whether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RAN2 needs to make such conclusions or pending on RAN1</w:t>
            </w:r>
            <w:r>
              <w:rPr>
                <w:rFonts w:ascii="Times New Roman" w:eastAsia="DengXian" w:hAnsi="Times New Roman"/>
                <w:bCs/>
                <w:lang w:val="en-US"/>
              </w:rPr>
              <w:t>’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s agreement.</w:t>
            </w:r>
          </w:p>
        </w:tc>
      </w:tr>
      <w:tr w:rsidR="00561C63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F85B178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Sharp</w:t>
            </w:r>
          </w:p>
        </w:tc>
        <w:tc>
          <w:tcPr>
            <w:tcW w:w="1318" w:type="dxa"/>
          </w:tcPr>
          <w:p w14:paraId="04136FEF" w14:textId="46687281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8B9D978" w14:textId="4C48549D" w:rsidR="00561C63" w:rsidRPr="00AC2C5F" w:rsidRDefault="00AC2C5F" w:rsidP="00AC2C5F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The same </w:t>
            </w:r>
            <w:r w:rsidR="005D71B0">
              <w:rPr>
                <w:rFonts w:ascii="Times New Roman" w:eastAsia="DengXian" w:hAnsi="Times New Roman" w:hint="eastAsia"/>
                <w:bCs/>
                <w:lang w:val="en-US"/>
              </w:rPr>
              <w:t>way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for DCP can be reused. Considering RAN1 is discussing this issue, maybe RAN2 can make a working assumption first </w:t>
            </w:r>
            <w:r w:rsidR="002B38C5">
              <w:rPr>
                <w:rFonts w:ascii="Times New Roman" w:eastAsia="DengXian" w:hAnsi="Times New Roman" w:hint="eastAsia"/>
                <w:bCs/>
                <w:lang w:val="en-US"/>
              </w:rPr>
              <w:t>and</w:t>
            </w:r>
            <w:r w:rsidR="002B38C5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DengXian" w:hAnsi="Times New Roman" w:hint="eastAsia"/>
                <w:bCs/>
                <w:lang w:val="en-US"/>
              </w:rPr>
              <w:t>then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revisit it if needed.</w:t>
            </w:r>
          </w:p>
        </w:tc>
      </w:tr>
      <w:tr w:rsidR="00DB50B5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38499C03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23E33A9E" w14:textId="7AF2F840" w:rsidR="00DB50B5" w:rsidRPr="009D7C3B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Wait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5F4C7366" w14:textId="562AB54C" w:rsidR="00DB50B5" w:rsidRPr="00101F66" w:rsidRDefault="00DB50B5" w:rsidP="00DB50B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 xml:space="preserve">Considering RAN1 has left FFS on </w:t>
            </w:r>
            <w:r>
              <w:rPr>
                <w:rFonts w:ascii="Times New Roman" w:hAnsi="Times New Roman"/>
                <w:bCs/>
                <w:lang w:val="en-US"/>
              </w:rPr>
              <w:t>“</w:t>
            </w:r>
            <w:r w:rsidRPr="00F97404">
              <w:rPr>
                <w:rFonts w:ascii="Times New Roman" w:hAnsi="Times New Roman"/>
                <w:bCs/>
                <w:i/>
                <w:lang w:val="en-US"/>
              </w:rPr>
              <w:t>Whether the serving cell on which the LP-WUS is configured is only PCell/PSCell or can be RRC configured cell other than Pcell/PSCell</w:t>
            </w:r>
            <w:r>
              <w:rPr>
                <w:rFonts w:ascii="Times New Roman" w:hAnsi="Times New Roman"/>
                <w:bCs/>
                <w:lang w:val="en-US"/>
              </w:rPr>
              <w:t>”</w:t>
            </w:r>
            <w:r>
              <w:rPr>
                <w:rFonts w:ascii="Times New Roman" w:hAnsi="Times New Roman" w:hint="eastAsia"/>
                <w:bCs/>
                <w:lang w:val="en-US"/>
              </w:rPr>
              <w:t xml:space="preserve"> and in order to avoid duplicated discussion, we think RAN2 can wait for RAN1</w:t>
            </w:r>
            <w:r>
              <w:rPr>
                <w:rFonts w:ascii="Times New Roman" w:hAnsi="Times New Roman"/>
                <w:bCs/>
                <w:lang w:val="en-US"/>
              </w:rPr>
              <w:t>’</w:t>
            </w:r>
            <w:r>
              <w:rPr>
                <w:rFonts w:ascii="Times New Roman" w:hAnsi="Times New Roman" w:hint="eastAsia"/>
                <w:bCs/>
                <w:lang w:val="en-US"/>
              </w:rPr>
              <w:t>s further agreement.</w:t>
            </w:r>
          </w:p>
        </w:tc>
      </w:tr>
      <w:tr w:rsidR="00BF4783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6EE4A21C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23918134" w14:textId="542BFBD0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016743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7006793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925A7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DengXian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>NR-DC SCG, similar as the DCP monitoring, we understand the LP-WUS can only be configured to be monitored on the PSCell.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CG, the LP-WUS can only be configured to be monitored on the 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26088A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585D60C9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57E8B956" w14:textId="1156D531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61AEE5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38092037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DengXian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03BB3E0" w14:textId="5E984B99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DengXian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7D705464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D15C43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23B7038A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394ABDF9" w14:textId="3F0F8F7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Wait for RAN1</w:t>
            </w:r>
          </w:p>
        </w:tc>
        <w:tc>
          <w:tcPr>
            <w:tcW w:w="7309" w:type="dxa"/>
          </w:tcPr>
          <w:p w14:paraId="0366D9BE" w14:textId="52FF82E6" w:rsidR="00D15C43" w:rsidRPr="009D7C3B" w:rsidRDefault="00D15C43" w:rsidP="00D15C4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Same as for Q1</w:t>
            </w:r>
          </w:p>
        </w:tc>
      </w:tr>
      <w:tr w:rsidR="00BF4783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57C3EB4A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0F89AD87" w14:textId="1226654E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2FD2BD7B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5D80E06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C9EF9D6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>LP-WUS in PCell of MCG and PSCell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lastRenderedPageBreak/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the LP-WUS in PCell of MCG and PSCell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DengXian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DengXian" w:hAnsi="Times New Roman"/>
                <w:bCs/>
                <w:lang w:val="en-US"/>
              </w:rPr>
              <w:t>independent</w:t>
            </w:r>
            <w:r>
              <w:rPr>
                <w:rFonts w:ascii="Times New Roman" w:eastAsia="DengXian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r w:rsidRPr="00101F66">
              <w:rPr>
                <w:rFonts w:ascii="Times New Roman" w:eastAsia="DengXian" w:hAnsi="Times New Roman"/>
                <w:bCs/>
                <w:lang w:val="en-US"/>
              </w:rPr>
              <w:t>Pcell/PSCell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2810C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6E2DDB1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3B2EE763" w14:textId="703AF9FD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Yes, with comments</w:t>
            </w:r>
          </w:p>
        </w:tc>
        <w:tc>
          <w:tcPr>
            <w:tcW w:w="7309" w:type="dxa"/>
          </w:tcPr>
          <w:p w14:paraId="116F96FC" w14:textId="219549D6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W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e agree the principle that </w:t>
            </w:r>
            <w:r w:rsidRPr="00573216">
              <w:rPr>
                <w:rFonts w:ascii="Times New Roman" w:eastAsia="DengXian" w:hAnsi="Times New Roman"/>
                <w:bCs/>
                <w:lang w:val="en-US"/>
              </w:rPr>
              <w:t>LP-WUS in PCell of MCG and PSCell of SCG should be configured and to be monitored independently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. Additionally, </w:t>
            </w:r>
            <w:r>
              <w:rPr>
                <w:rFonts w:eastAsia="DengXian" w:hint="eastAsia"/>
                <w:bCs/>
              </w:rPr>
              <w:t xml:space="preserve">since 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>it has been agreed that different LP-WUS options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(i.e., opti1-1 and opt1-2)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 xml:space="preserve"> for RRC-CONNECTED mode cannot be configured simultaneously for the same UE.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Then, 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>the case that MCG and SCG are configured with different LP-WUS options should be avoided. Whether the coordination on LP-WUS configuration between MN and SN is needed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, which 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>may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lang w:val="en-US"/>
              </w:rPr>
              <w:t>need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further discussion on </w:t>
            </w:r>
            <w:r w:rsidRPr="00787EEE">
              <w:rPr>
                <w:rFonts w:ascii="Times New Roman" w:eastAsia="DengXian" w:hAnsi="Times New Roman"/>
                <w:bCs/>
                <w:lang w:val="en-US"/>
              </w:rPr>
              <w:t>RAN3.</w:t>
            </w:r>
          </w:p>
        </w:tc>
      </w:tr>
      <w:tr w:rsidR="002810C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5D9256E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DengXian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75E23748" w14:textId="4B4F726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DengXian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026FB6AD" w14:textId="42C16D01" w:rsidR="002810CE" w:rsidRPr="001A2726" w:rsidRDefault="001A2726" w:rsidP="002B38C5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In our understanding, the restriction of </w:t>
            </w:r>
            <w:r w:rsidRPr="001A2726">
              <w:rPr>
                <w:rFonts w:ascii="Times New Roman" w:eastAsia="DengXian" w:hAnsi="Times New Roman"/>
                <w:bCs/>
                <w:lang w:val="en-US"/>
              </w:rPr>
              <w:t xml:space="preserve">Option 1-1 and Option 1-2 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not </w:t>
            </w:r>
            <w:r w:rsidRPr="001A2726">
              <w:rPr>
                <w:rFonts w:ascii="Times New Roman" w:eastAsia="DengXian" w:hAnsi="Times New Roman"/>
                <w:bCs/>
                <w:lang w:val="en-US"/>
              </w:rPr>
              <w:t>simultaneously configured for the same UE</w:t>
            </w:r>
            <w:r w:rsidR="002B38C5">
              <w:rPr>
                <w:rFonts w:ascii="Times New Roman" w:eastAsia="DengXian" w:hAnsi="Times New Roman"/>
                <w:bCs/>
                <w:lang w:val="en-US"/>
              </w:rPr>
              <w:t xml:space="preserve"> is appl</w:t>
            </w:r>
            <w:r w:rsidR="002B38C5">
              <w:rPr>
                <w:rFonts w:ascii="Times New Roman" w:eastAsia="DengXian" w:hAnsi="Times New Roman" w:hint="eastAsia"/>
                <w:bCs/>
                <w:lang w:val="en-US"/>
              </w:rPr>
              <w:t>icable</w:t>
            </w:r>
            <w:r w:rsidR="002B38C5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DengXian" w:hAnsi="Times New Roman" w:hint="eastAsia"/>
                <w:bCs/>
                <w:lang w:val="en-US"/>
              </w:rPr>
              <w:t>for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 the same cell group,</w:t>
            </w:r>
            <w:r w:rsidR="00D86BF9">
              <w:rPr>
                <w:rFonts w:ascii="Times New Roman" w:eastAsia="DengXian" w:hAnsi="Times New Roman"/>
                <w:bCs/>
                <w:lang w:val="en-US"/>
              </w:rPr>
              <w:t xml:space="preserve"> and </w:t>
            </w:r>
            <w:r>
              <w:rPr>
                <w:rFonts w:ascii="Times New Roman" w:eastAsia="DengXian" w:hAnsi="Times New Roman"/>
                <w:bCs/>
                <w:lang w:val="en-US"/>
              </w:rPr>
              <w:t>MCG and SCG can configure different options.</w:t>
            </w:r>
          </w:p>
        </w:tc>
      </w:tr>
      <w:tr w:rsidR="00A05A51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400E28B0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318" w:type="dxa"/>
          </w:tcPr>
          <w:p w14:paraId="17390F8D" w14:textId="7A3BB58F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Yes with intention</w:t>
            </w:r>
          </w:p>
        </w:tc>
        <w:tc>
          <w:tcPr>
            <w:tcW w:w="7309" w:type="dxa"/>
          </w:tcPr>
          <w:p w14:paraId="031656FD" w14:textId="5FB1360B" w:rsidR="00A05A51" w:rsidRPr="009D7C3B" w:rsidRDefault="00A05A51" w:rsidP="00A05A51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Theme="minorEastAsia" w:hAnsi="Times New Roman"/>
                <w:bCs/>
              </w:rPr>
              <w:t>We</w:t>
            </w:r>
            <w:r>
              <w:rPr>
                <w:rFonts w:ascii="Times New Roman" w:eastAsiaTheme="minorEastAsia" w:hAnsi="Times New Roman" w:hint="eastAsia"/>
                <w:bCs/>
              </w:rPr>
              <w:t xml:space="preserve"> share the same view with HW.</w:t>
            </w:r>
          </w:p>
        </w:tc>
      </w:tr>
      <w:tr w:rsidR="00BF4783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40A1613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Samsung</w:t>
            </w:r>
          </w:p>
        </w:tc>
        <w:tc>
          <w:tcPr>
            <w:tcW w:w="1318" w:type="dxa"/>
          </w:tcPr>
          <w:p w14:paraId="6AF97A74" w14:textId="0A1B4B9B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맑은 고딕" w:hAnsi="Times New Roman" w:hint="eastAsia"/>
                <w:bCs/>
                <w:lang w:val="en-US" w:eastAsia="ko-KR"/>
              </w:rPr>
              <w:t>Yes</w:t>
            </w:r>
          </w:p>
        </w:tc>
        <w:tc>
          <w:tcPr>
            <w:tcW w:w="7309" w:type="dxa"/>
          </w:tcPr>
          <w:p w14:paraId="7FDB986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C64C7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7173C8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DengXian"/>
          <w:sz w:val="24"/>
          <w:szCs w:val="24"/>
          <w:u w:val="single"/>
          <w:lang w:val="en-US" w:eastAsia="zh-CN"/>
        </w:rPr>
      </w:pP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DengXian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DengXian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DengXian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DengXian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DengXian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DengXian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DengXian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8A71EB">
        <w:trPr>
          <w:trHeight w:val="132"/>
        </w:trPr>
        <w:tc>
          <w:tcPr>
            <w:tcW w:w="1227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61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168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Huawei, HiSilicon</w:t>
            </w:r>
          </w:p>
        </w:tc>
        <w:tc>
          <w:tcPr>
            <w:tcW w:w="1461" w:type="dxa"/>
          </w:tcPr>
          <w:p w14:paraId="43588836" w14:textId="128409E2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66E5928" w14:textId="5C52FC20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461" w:type="dxa"/>
          </w:tcPr>
          <w:p w14:paraId="46762213" w14:textId="5C9A4E32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D060CBE" w14:textId="5F58DEEE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8A71EB" w:rsidRPr="00D45311" w14:paraId="347548E7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EBED40D" w14:textId="5CA8B2E1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1461" w:type="dxa"/>
          </w:tcPr>
          <w:p w14:paraId="29D9EB50" w14:textId="4EE33788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NE-DC, NGEN-DC</w:t>
            </w:r>
          </w:p>
        </w:tc>
        <w:tc>
          <w:tcPr>
            <w:tcW w:w="7168" w:type="dxa"/>
          </w:tcPr>
          <w:p w14:paraId="282527D1" w14:textId="7DD6356B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I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n </w:t>
            </w:r>
            <w:r>
              <w:rPr>
                <w:rFonts w:ascii="Times New Roman" w:eastAsia="DengXian" w:hAnsi="Times New Roman"/>
                <w:bCs/>
                <w:lang w:val="en-US"/>
              </w:rPr>
              <w:t>principle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, the LP-WUS can be configured in MCG if MN is a gNB and </w:t>
            </w:r>
            <w:r>
              <w:rPr>
                <w:rFonts w:ascii="Times New Roman" w:eastAsia="DengXian" w:hAnsi="Times New Roman"/>
                <w:bCs/>
                <w:lang w:val="en-US"/>
              </w:rPr>
              <w:t>configured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in SCG if SN is a gNB. </w:t>
            </w:r>
            <w:r>
              <w:rPr>
                <w:rFonts w:ascii="Times New Roman" w:eastAsia="DengXian" w:hAnsi="Times New Roman"/>
                <w:bCs/>
                <w:lang w:val="en-US"/>
              </w:rPr>
              <w:t>B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oth NE-DC and NGEN-DC can be supported. </w:t>
            </w:r>
            <w:r>
              <w:rPr>
                <w:rFonts w:ascii="Times New Roman" w:eastAsia="DengXian" w:hAnsi="Times New Roman"/>
                <w:bCs/>
                <w:lang w:val="en-US"/>
              </w:rPr>
              <w:t>W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hile for EN-DC, not sure whether the </w:t>
            </w:r>
            <w:r w:rsidRPr="00871A9A">
              <w:rPr>
                <w:rFonts w:ascii="Times New Roman" w:eastAsia="DengXian" w:hAnsi="Times New Roman"/>
                <w:bCs/>
                <w:lang w:val="en-US"/>
              </w:rPr>
              <w:t xml:space="preserve">incompatibility 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issue exists with the EPC network.</w:t>
            </w:r>
          </w:p>
        </w:tc>
      </w:tr>
      <w:tr w:rsidR="008A71EB" w:rsidRPr="00D45311" w14:paraId="7A4D5D7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127AA6CE" w14:textId="3028D2DD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DengXian" w:hAnsi="Times New Roman"/>
                <w:bCs/>
                <w:lang w:val="en-US"/>
              </w:rPr>
              <w:t>harp</w:t>
            </w:r>
          </w:p>
        </w:tc>
        <w:tc>
          <w:tcPr>
            <w:tcW w:w="1461" w:type="dxa"/>
          </w:tcPr>
          <w:p w14:paraId="065DDAFF" w14:textId="26BBCE6B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DengXian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9A717EA" w14:textId="7C75E272" w:rsidR="008A71EB" w:rsidRPr="001A2726" w:rsidRDefault="008A71EB" w:rsidP="008A71EB">
            <w:pPr>
              <w:pStyle w:val="a0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</w:tc>
      </w:tr>
      <w:tr w:rsidR="00FB469D" w:rsidRPr="00D45311" w14:paraId="26540EFC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506DEC5" w14:textId="6B8E6D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CATT</w:t>
            </w:r>
          </w:p>
        </w:tc>
        <w:tc>
          <w:tcPr>
            <w:tcW w:w="1461" w:type="dxa"/>
          </w:tcPr>
          <w:p w14:paraId="739CE4E2" w14:textId="520A61B2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 w:hint="eastAsia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6505B094" w14:textId="77777777" w:rsidR="00FB469D" w:rsidRPr="009D7C3B" w:rsidRDefault="00FB469D" w:rsidP="00FB469D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0676360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1CF9EA3" w14:textId="3E6B54FD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lastRenderedPageBreak/>
              <w:t>Samsung</w:t>
            </w:r>
          </w:p>
        </w:tc>
        <w:tc>
          <w:tcPr>
            <w:tcW w:w="1461" w:type="dxa"/>
          </w:tcPr>
          <w:p w14:paraId="15057277" w14:textId="218E3CF6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0D04E8E5" w14:textId="6CA7E6C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A</w:t>
            </w:r>
            <w:r>
              <w:rPr>
                <w:rFonts w:ascii="Times New Roman" w:eastAsia="DengXian" w:hAnsi="Times New Roman"/>
                <w:bCs/>
                <w:lang w:val="en-US"/>
              </w:rPr>
              <w:t>s DCP.</w:t>
            </w:r>
          </w:p>
        </w:tc>
      </w:tr>
      <w:tr w:rsidR="00BF4783" w:rsidRPr="00D45311" w14:paraId="5FC19C1B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95C069B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0A765303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85B4060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20B1E13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18EB41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7AA0A37C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FACBBE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6CAC3A38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318DEE7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4C2C3668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57302299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BF4783" w:rsidRPr="00D45311" w14:paraId="1E0AECE6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642731A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5E46708E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4F58D5B2" w14:textId="77777777" w:rsidR="00BF4783" w:rsidRPr="009D7C3B" w:rsidRDefault="00BF4783" w:rsidP="00BF47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DengXian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</w:t>
      </w:r>
      <w:bookmarkStart w:id="1" w:name="_GoBack"/>
      <w:bookmarkEnd w:id="1"/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2A2DC" w14:textId="77777777" w:rsidR="000B62B2" w:rsidRDefault="000B62B2">
      <w:pPr>
        <w:spacing w:after="0"/>
      </w:pPr>
      <w:r>
        <w:separator/>
      </w:r>
    </w:p>
  </w:endnote>
  <w:endnote w:type="continuationSeparator" w:id="0">
    <w:p w14:paraId="5A1DDAD3" w14:textId="77777777" w:rsidR="000B62B2" w:rsidRDefault="000B62B2">
      <w:pPr>
        <w:spacing w:after="0"/>
      </w:pPr>
      <w:r>
        <w:continuationSeparator/>
      </w:r>
    </w:p>
  </w:endnote>
  <w:endnote w:type="continuationNotice" w:id="1">
    <w:p w14:paraId="06AD079C" w14:textId="77777777" w:rsidR="000B62B2" w:rsidRDefault="000B62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21DEA2A1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F4783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BF4783">
      <w:rPr>
        <w:rStyle w:val="a6"/>
      </w:rPr>
      <w:t>4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E7568" w14:textId="77777777" w:rsidR="000B62B2" w:rsidRDefault="000B62B2">
      <w:pPr>
        <w:spacing w:after="0"/>
      </w:pPr>
      <w:r>
        <w:separator/>
      </w:r>
    </w:p>
  </w:footnote>
  <w:footnote w:type="continuationSeparator" w:id="0">
    <w:p w14:paraId="7B9E9E6D" w14:textId="77777777" w:rsidR="000B62B2" w:rsidRDefault="000B62B2">
      <w:pPr>
        <w:spacing w:after="0"/>
      </w:pPr>
      <w:r>
        <w:continuationSeparator/>
      </w:r>
    </w:p>
  </w:footnote>
  <w:footnote w:type="continuationNotice" w:id="1">
    <w:p w14:paraId="5BDDD66D" w14:textId="77777777" w:rsidR="000B62B2" w:rsidRDefault="000B62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4"/>
  </w:num>
  <w:num w:numId="15">
    <w:abstractNumId w:val="8"/>
  </w:num>
  <w:num w:numId="16">
    <w:abstractNumId w:val="16"/>
  </w:num>
  <w:num w:numId="17">
    <w:abstractNumId w:val="11"/>
  </w:num>
  <w:num w:numId="18">
    <w:abstractNumId w:val="23"/>
  </w:num>
  <w:num w:numId="19">
    <w:abstractNumId w:val="1"/>
  </w:num>
  <w:num w:numId="20">
    <w:abstractNumId w:val="4"/>
  </w:num>
  <w:num w:numId="21">
    <w:abstractNumId w:val="9"/>
  </w:num>
  <w:num w:numId="22">
    <w:abstractNumId w:val="22"/>
  </w:num>
  <w:num w:numId="23">
    <w:abstractNumId w:val="19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18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2B2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8DB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5A5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78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5C43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0B5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469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1CDF5D4F-FB17-4C9B-B783-8BDCA9A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제목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제목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바닥글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본문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머리글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목록 단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971B0F"/>
  </w:style>
  <w:style w:type="character" w:customStyle="1" w:styleId="Char3">
    <w:name w:val="메모 텍스트 Char"/>
    <w:basedOn w:val="a1"/>
    <w:link w:val="ad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풍선 도움말 텍스트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제목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바탕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바탕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Samsung(Byounghoon Jung)</cp:lastModifiedBy>
  <cp:revision>9</cp:revision>
  <dcterms:created xsi:type="dcterms:W3CDTF">2025-03-20T02:36:00Z</dcterms:created>
  <dcterms:modified xsi:type="dcterms:W3CDTF">2025-03-21T00:30:00Z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  <property fmtid="{D5CDD505-2E9C-101B-9397-08002B2CF9AE}" pid="12" name="FLCMData">
    <vt:lpwstr>E33458000C0C37041DAF932C12AC536C83578A83D242FFF81E8383ED6BDE5BDB732D43717A3306CE7AAC90E1D77DFF5D8FD08998CC9441E7223D92CC6F484D40</vt:lpwstr>
  </property>
</Properties>
</file>