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58" w:hangingChars="841" w:hanging="2058"/>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58" w:hangingChars="841" w:hanging="2058"/>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w:t>
      </w:r>
      <w:proofErr w:type="gramStart"/>
      <w:r w:rsidRPr="00535376">
        <w:rPr>
          <w:rFonts w:ascii="Arial" w:hAnsi="Arial"/>
          <w:sz w:val="24"/>
          <w:lang w:val="en-US"/>
        </w:rPr>
        <w:t>511][</w:t>
      </w:r>
      <w:proofErr w:type="gramEnd"/>
      <w:r w:rsidRPr="00535376">
        <w:rPr>
          <w:rFonts w:ascii="Arial" w:hAnsi="Arial"/>
          <w:sz w:val="24"/>
          <w:lang w:val="en-US"/>
        </w:rPr>
        <w:t>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w:t>
      </w:r>
      <w:proofErr w:type="gramStart"/>
      <w:r>
        <w:t>511][</w:t>
      </w:r>
      <w:proofErr w:type="gramEnd"/>
      <w:r>
        <w:t>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7456EE"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7456EE"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DE5212"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7456EE"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DE5212"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7456EE"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7456EE"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7456EE"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Shwetha Sreejith</w:t>
            </w:r>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r w:rsidR="004C046A" w:rsidRPr="007456EE" w14:paraId="0EF7DD53" w14:textId="77777777" w:rsidTr="0001691A">
        <w:tc>
          <w:tcPr>
            <w:tcW w:w="1577" w:type="dxa"/>
          </w:tcPr>
          <w:p w14:paraId="0670A2E9" w14:textId="31CE632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Ericsson</w:t>
            </w:r>
          </w:p>
        </w:tc>
        <w:tc>
          <w:tcPr>
            <w:tcW w:w="4650" w:type="dxa"/>
          </w:tcPr>
          <w:p w14:paraId="2A267340" w14:textId="735B4C5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 Tano</w:t>
            </w:r>
          </w:p>
        </w:tc>
        <w:tc>
          <w:tcPr>
            <w:tcW w:w="3402" w:type="dxa"/>
          </w:tcPr>
          <w:p w14:paraId="20203758" w14:textId="19236371"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Richard.tano@ericsson.com</w:t>
            </w:r>
          </w:p>
        </w:tc>
      </w:tr>
      <w:tr w:rsidR="00653785" w:rsidRPr="007456EE" w14:paraId="67A64326" w14:textId="77777777" w:rsidTr="0001691A">
        <w:tc>
          <w:tcPr>
            <w:tcW w:w="1577" w:type="dxa"/>
          </w:tcPr>
          <w:p w14:paraId="2A07A9D2" w14:textId="3BF6EA50"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Nokia</w:t>
            </w:r>
          </w:p>
        </w:tc>
        <w:tc>
          <w:tcPr>
            <w:tcW w:w="4650" w:type="dxa"/>
          </w:tcPr>
          <w:p w14:paraId="030AA0F4" w14:textId="3C9003FA"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 Lee</w:t>
            </w:r>
          </w:p>
        </w:tc>
        <w:tc>
          <w:tcPr>
            <w:tcW w:w="3402" w:type="dxa"/>
          </w:tcPr>
          <w:p w14:paraId="49CD64F1" w14:textId="3326383C"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sunyoung.lee@nokia.com</w:t>
            </w:r>
          </w:p>
        </w:tc>
      </w:tr>
    </w:tbl>
    <w:p w14:paraId="036CC1E0" w14:textId="7E565D6D" w:rsidR="0001691A" w:rsidRPr="0001691A" w:rsidRDefault="0001691A" w:rsidP="00535376">
      <w:pPr>
        <w:rPr>
          <w:rFonts w:eastAsia="Malgun Gothic"/>
          <w:lang w:val="fr-FR" w:eastAsia="ko-KR"/>
        </w:rPr>
      </w:pPr>
    </w:p>
    <w:p w14:paraId="392D2D52" w14:textId="426D494B"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1026"/>
        <w:gridCol w:w="810"/>
        <w:gridCol w:w="4824"/>
        <w:gridCol w:w="2969"/>
      </w:tblGrid>
      <w:tr w:rsidR="00C250BC" w:rsidRPr="0089330D" w14:paraId="3D87B488" w14:textId="0E53C204" w:rsidTr="00CD76F9">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CommentText"/>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lastRenderedPageBreak/>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r w:rsidRPr="00DD6412">
              <w:rPr>
                <w:i/>
              </w:rPr>
              <w:t>discardTimer</w:t>
            </w:r>
            <w:r w:rsidRPr="00DD6412">
              <w:t xml:space="preserve"> expiry is less than the </w:t>
            </w:r>
            <w:proofErr w:type="spellStart"/>
            <w:r>
              <w:t>i:th</w:t>
            </w:r>
            <w:proofErr w:type="spellEnd"/>
            <w:r>
              <w:t xml:space="preserve">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&gt;1) or larger than zero (if i=1)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DCP SDU 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r w:rsidRPr="007D7280">
              <w:rPr>
                <w:i/>
                <w:color w:val="FF0000"/>
                <w:lang w:eastAsia="ko-KR"/>
              </w:rPr>
              <w:t>discardTimer</w:t>
            </w:r>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w:t>
            </w:r>
            <w:proofErr w:type="spellStart"/>
            <w:r>
              <w:t>i:th</w:t>
            </w:r>
            <w:proofErr w:type="spellEnd"/>
            <w:r>
              <w:t xml:space="preserve">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&gt;1) or larger than zero (if i=1)</w:t>
            </w:r>
            <w:r w:rsidRPr="00FE2018">
              <w:rPr>
                <w:color w:val="FF0000"/>
              </w:rPr>
              <w:t xml:space="preserve"> and is the shortest remaining time till </w:t>
            </w:r>
            <w:r w:rsidRPr="00FE2018">
              <w:rPr>
                <w:i/>
                <w:color w:val="FF0000"/>
              </w:rPr>
              <w:t>discardTimer</w:t>
            </w:r>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r w:rsidRPr="00EF7624">
              <w:rPr>
                <w:i/>
                <w:strike/>
              </w:rPr>
              <w:t>discardTimer</w:t>
            </w:r>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[Huawei0319] The ‘is’ in the sentence ‘and is the shortest…’ refers to the object ‘a PDU SDU’.  Agree that the use of ‘is’ is not correct here and should be ‘being’.  With this we do not see any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w:t>
            </w:r>
            <w:proofErr w:type="spellStart"/>
            <w:r w:rsidRPr="006578F4">
              <w:t>i:th</w:t>
            </w:r>
            <w:proofErr w:type="spellEnd"/>
            <w:r w:rsidRPr="006578F4">
              <w:t xml:space="preserve"> </w:t>
            </w:r>
            <w:proofErr w:type="spellStart"/>
            <w:r w:rsidRPr="000E00C3">
              <w:rPr>
                <w:i/>
              </w:rPr>
              <w:t>dsr-ReportingThreshold</w:t>
            </w:r>
            <w:proofErr w:type="spellEnd"/>
            <w:r>
              <w:t>.</w:t>
            </w:r>
          </w:p>
          <w:p w14:paraId="556D0BBB" w14:textId="77777777" w:rsidR="00091334" w:rsidRDefault="00091334" w:rsidP="00091334">
            <w:pPr>
              <w:pStyle w:val="CommentText"/>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CommentText"/>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CommentText"/>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w:t>
            </w:r>
            <w:proofErr w:type="spellStart"/>
            <w:r w:rsidRPr="006578F4">
              <w:t>i:th</w:t>
            </w:r>
            <w:proofErr w:type="spellEnd"/>
            <w:r w:rsidRPr="006578F4">
              <w:t xml:space="preserve"> </w:t>
            </w:r>
            <w:proofErr w:type="spellStart"/>
            <w:r w:rsidRPr="000E00C3">
              <w:rPr>
                <w:i/>
              </w:rPr>
              <w:t>dsr-ReportingThreshold</w:t>
            </w:r>
            <w:proofErr w:type="spellEnd"/>
            <w:r>
              <w:rPr>
                <w:color w:val="FF0000"/>
              </w:rPr>
              <w:t xml:space="preserve">, where the </w:t>
            </w:r>
            <w:proofErr w:type="spellStart"/>
            <w:r>
              <w:rPr>
                <w:color w:val="FF0000"/>
              </w:rPr>
              <w:t>i:th</w:t>
            </w:r>
            <w:proofErr w:type="spellEnd"/>
            <w:r>
              <w:rPr>
                <w:color w:val="FF0000"/>
              </w:rPr>
              <w:t xml:space="preserve">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We are just literally taking the agreement that </w:t>
            </w:r>
            <w:r>
              <w:rPr>
                <w:rFonts w:ascii="Times New Roman" w:hAnsi="Times New Roman"/>
                <w:color w:val="FF0000"/>
                <w:lang w:val="es-ES" w:eastAsia="ko-KR"/>
              </w:rPr>
              <w:t xml:space="preserve">RAN2 </w:t>
            </w:r>
            <w:r w:rsidRPr="00F81E95">
              <w:rPr>
                <w:rFonts w:ascii="Times New Roman" w:hAnsi="Times New Roman"/>
                <w:color w:val="FF0000"/>
                <w:lang w:val="es-ES" w:eastAsia="ko-KR"/>
              </w:rPr>
              <w:t>only</w:t>
            </w:r>
            <w:r>
              <w:rPr>
                <w:rFonts w:ascii="Times New Roman" w:hAnsi="Times New Roman"/>
                <w:color w:val="FF0000"/>
                <w:lang w:val="es-ES" w:eastAsia="ko-KR"/>
              </w:rPr>
              <w:t xml:space="preserve"> perform this</w:t>
            </w:r>
            <w:r w:rsidRPr="00F81E95">
              <w:rPr>
                <w:rFonts w:ascii="Times New Roman" w:hAnsi="Times New Roman"/>
                <w:color w:val="FF0000"/>
                <w:lang w:val="es-ES" w:eastAsia="ko-KR"/>
              </w:rPr>
              <w:t xml:space="preserve"> for data in front of delay critical data.</w:t>
            </w:r>
            <w:r>
              <w:rPr>
                <w:rFonts w:ascii="Times New Roman" w:hAnsi="Times New Roman"/>
                <w:color w:val="FF0000"/>
                <w:lang w:val="es-ES" w:eastAsia="ko-KR"/>
              </w:rPr>
              <w:t xml:space="preserve">  If it is to be extended to all delay reporting data, then we need to discuss.</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lastRenderedPageBreak/>
              <w:t xml:space="preserve">your suggestion that 2nd delay reporting data volume is only SDU9, i.e. </w:t>
            </w:r>
            <w:r>
              <w:rPr>
                <w:rFonts w:ascii="Times New Roman" w:hAnsi="Times New Roman"/>
                <w:lang w:val="es-ES" w:eastAsia="ko-KR"/>
              </w:rPr>
              <w:t>not include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r>
              <w:rPr>
                <w:rFonts w:ascii="Times New Roman" w:hAnsi="Times New Roman"/>
                <w:color w:val="FF0000"/>
                <w:lang w:val="es-ES" w:eastAsia="ko-KR"/>
              </w:rPr>
              <w:t>the TH3 reporting</w:t>
            </w:r>
            <w:r w:rsidRPr="00A15090">
              <w:rPr>
                <w:rFonts w:ascii="Times New Roman" w:hAnsi="Times New Roman"/>
                <w:color w:val="FF0000"/>
                <w:lang w:val="es-ES" w:eastAsia="ko-KR"/>
              </w:rPr>
              <w:t xml:space="preserve">, </w:t>
            </w:r>
            <w:r>
              <w:rPr>
                <w:rFonts w:ascii="Times New Roman" w:hAnsi="Times New Roman"/>
                <w:color w:val="FF0000"/>
                <w:lang w:val="es-ES" w:eastAsia="ko-KR"/>
              </w:rPr>
              <w:t>the buffer status will include SDU 6, 7 and 9. For the TH2 delay reporting, the buffer status will include SDU 3 and 4 and for the TH1 delay reporting Will include both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We think our suggested text captured that well, but we are fine to discuss the wording further.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I don’t understand how you derive such conclusion.</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hint="eastAsia"/>
                <w:color w:val="0070C0"/>
                <w:lang w:val="es-ES" w:eastAsia="ko-KR"/>
              </w:rPr>
              <w:t xml:space="preserve">For TH1, the delay-reporting data volume </w:t>
            </w:r>
            <w:r>
              <w:rPr>
                <w:rFonts w:ascii="Times New Roman" w:hAnsi="Times New Roman"/>
                <w:color w:val="0070C0"/>
                <w:lang w:val="es-ES" w:eastAsia="ko-KR"/>
              </w:rPr>
              <w:t xml:space="preserve">should </w:t>
            </w:r>
            <w:r>
              <w:rPr>
                <w:rFonts w:ascii="Times New Roman" w:hAnsi="Times New Roman" w:hint="eastAsia"/>
                <w:color w:val="0070C0"/>
                <w:lang w:val="es-ES" w:eastAsia="ko-KR"/>
              </w:rPr>
              <w:t>include SDU1~SDU7, because SDU2, 4, 7 are in the same PDU Set</w:t>
            </w:r>
            <w:r>
              <w:rPr>
                <w:rFonts w:ascii="Times New Roman" w:hAnsi="Times New Roman"/>
                <w:color w:val="0070C0"/>
                <w:lang w:val="es-ES" w:eastAsia="ko-KR"/>
              </w:rPr>
              <w:t xml:space="preserve">, and SDU1, 3, 5, 6 are ahead of the last delay-reporting SDU. With the same reasoning, for TH2, SDU8, 9 are reported, and for TH3, nothing is reported.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w:t>
            </w:r>
            <w:proofErr w:type="spellStart"/>
            <w:r w:rsidRPr="00373B48">
              <w:t>i:th</w:t>
            </w:r>
            <w:proofErr w:type="spellEnd"/>
            <w:r w:rsidRPr="00373B48">
              <w:t xml:space="preserve"> </w:t>
            </w:r>
            <w:proofErr w:type="spellStart"/>
            <w:r w:rsidRPr="00373B48">
              <w:rPr>
                <w:i/>
                <w:iCs/>
              </w:rPr>
              <w:t>dsr-ReportingThreshold</w:t>
            </w:r>
            <w:proofErr w:type="spellEnd"/>
            <w:r>
              <w:rPr>
                <w:color w:val="FF0000"/>
              </w:rPr>
              <w:t xml:space="preserve">, where the </w:t>
            </w:r>
            <w:proofErr w:type="spellStart"/>
            <w:r>
              <w:rPr>
                <w:color w:val="FF0000"/>
              </w:rPr>
              <w:t>i:th</w:t>
            </w:r>
            <w:proofErr w:type="spellEnd"/>
            <w:r>
              <w:rPr>
                <w:color w:val="FF0000"/>
              </w:rPr>
              <w:t xml:space="preserve">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TOC8"/>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following</w:t>
            </w:r>
            <w:proofErr w:type="spellEnd"/>
            <w:r>
              <w:rPr>
                <w:rFonts w:ascii="Times New Roman" w:hAnsi="Times New Roman"/>
                <w:lang w:val="es-ES" w:eastAsia="ko-KR"/>
              </w:rPr>
              <w:t xml:space="preserve"> </w:t>
            </w:r>
            <w:proofErr w:type="spellStart"/>
            <w:r>
              <w:rPr>
                <w:rFonts w:ascii="Times New Roman" w:hAnsi="Times New Roman"/>
                <w:lang w:val="es-ES" w:eastAsia="ko-KR"/>
              </w:rPr>
              <w:t>should</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highlighted</w:t>
            </w:r>
            <w:proofErr w:type="spellEnd"/>
            <w:r>
              <w:rPr>
                <w:rFonts w:ascii="Times New Roman" w:hAnsi="Times New Roman"/>
                <w:lang w:val="es-ES" w:eastAsia="ko-KR"/>
              </w:rPr>
              <w:t xml:space="preserve"> red </w:t>
            </w:r>
            <w:proofErr w:type="spellStart"/>
            <w:r>
              <w:rPr>
                <w:rFonts w:ascii="Times New Roman" w:hAnsi="Times New Roman"/>
                <w:lang w:val="es-ES" w:eastAsia="ko-KR"/>
              </w:rPr>
              <w:t>part</w:t>
            </w:r>
            <w:proofErr w:type="spellEnd"/>
            <w:r>
              <w:rPr>
                <w:rFonts w:ascii="Times New Roman" w:hAnsi="Times New Roman"/>
                <w:lang w:val="es-ES" w:eastAsia="ko-KR"/>
              </w:rPr>
              <w:t xml:space="preserve">, </w:t>
            </w:r>
            <w:proofErr w:type="spellStart"/>
            <w:r>
              <w:rPr>
                <w:rFonts w:ascii="Times New Roman" w:hAnsi="Times New Roman"/>
                <w:lang w:val="es-ES" w:eastAsia="ko-KR"/>
              </w:rPr>
              <w:t>since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referring</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sidRPr="00852DF4">
              <w:rPr>
                <w:rFonts w:ascii="Times New Roman" w:hAnsi="Times New Roman"/>
                <w:lang w:val="es-ES" w:eastAsia="ko-KR"/>
              </w:rPr>
              <w:t>the</w:t>
            </w:r>
            <w:proofErr w:type="spellEnd"/>
            <w:r w:rsidRPr="00852DF4">
              <w:rPr>
                <w:rFonts w:ascii="Times New Roman" w:hAnsi="Times New Roman"/>
                <w:lang w:val="es-ES" w:eastAsia="ko-KR"/>
              </w:rPr>
              <w:t xml:space="preserve"> </w:t>
            </w:r>
            <w:proofErr w:type="spellStart"/>
            <w:r w:rsidRPr="00852DF4">
              <w:rPr>
                <w:lang w:eastAsia="zh-CN"/>
              </w:rPr>
              <w:t>i:th</w:t>
            </w:r>
            <w:proofErr w:type="spellEnd"/>
            <w:r w:rsidRPr="00852DF4">
              <w:rPr>
                <w:lang w:eastAsia="zh-CN"/>
              </w:rPr>
              <w:t xml:space="preserve">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w:t>
            </w:r>
            <w:proofErr w:type="spellStart"/>
            <w:r w:rsidRPr="00852DF4">
              <w:rPr>
                <w:color w:val="FF0000"/>
                <w:lang w:eastAsia="zh-CN"/>
              </w:rPr>
              <w:t>i:th</w:t>
            </w:r>
            <w:proofErr w:type="spellEnd"/>
            <w:r w:rsidRPr="00852DF4">
              <w:rPr>
                <w:color w:val="FF0000"/>
                <w:lang w:eastAsia="zh-CN"/>
              </w:rPr>
              <w:t xml:space="preserve"> </w:t>
            </w:r>
            <w:proofErr w:type="spellStart"/>
            <w:r w:rsidRPr="00852DF4">
              <w:rPr>
                <w:i/>
                <w:color w:val="FF0000"/>
              </w:rPr>
              <w:t>dsr-</w:t>
            </w:r>
            <w:proofErr w:type="gramStart"/>
            <w:r w:rsidRPr="00852DF4">
              <w:rPr>
                <w:i/>
                <w:color w:val="FF0000"/>
              </w:rPr>
              <w:t>ReportingThreshold</w:t>
            </w:r>
            <w:proofErr w:type="spellEnd"/>
            <w:r>
              <w:rPr>
                <w:rStyle w:val="CommentReference"/>
              </w:rPr>
              <w:t xml:space="preserve"> </w:t>
            </w:r>
            <w:r w:rsidRPr="00373B48">
              <w:rPr>
                <w:lang w:eastAsia="ko-KR"/>
              </w:rPr>
              <w:t xml:space="preserve"> for</w:t>
            </w:r>
            <w:proofErr w:type="gramEnd"/>
            <w:r w:rsidRPr="00373B48">
              <w:rPr>
                <w:lang w:eastAsia="ko-KR"/>
              </w:rPr>
              <w:t xml:space="preserve"> the PDCP Data PDU to lower layers when:</w:t>
            </w:r>
          </w:p>
          <w:p w14:paraId="7F2FCD6E" w14:textId="52CC3DB6" w:rsidR="00091334" w:rsidRDefault="00FD53D1" w:rsidP="00FD53D1">
            <w:pPr>
              <w:pStyle w:val="CommentText"/>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CommentText"/>
              <w:rPr>
                <w:rFonts w:eastAsiaTheme="minorEastAsia"/>
                <w:lang w:eastAsia="zh-CN"/>
              </w:rPr>
            </w:pPr>
          </w:p>
          <w:p w14:paraId="3984ACAE" w14:textId="4B7B7289" w:rsidR="000F4DDB" w:rsidRDefault="000F4DDB" w:rsidP="00FD53D1">
            <w:pPr>
              <w:pStyle w:val="CommentText"/>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w:t>
            </w:r>
            <w:proofErr w:type="spellStart"/>
            <w:r w:rsidRPr="000F4DDB">
              <w:rPr>
                <w:highlight w:val="yellow"/>
                <w:lang w:eastAsia="ko-KR"/>
              </w:rPr>
              <w:t>i:th</w:t>
            </w:r>
            <w:proofErr w:type="spellEnd"/>
            <w:r w:rsidRPr="000F4DDB">
              <w:rPr>
                <w:highlight w:val="yellow"/>
                <w:lang w:eastAsia="ko-KR"/>
              </w:rPr>
              <w:t xml:space="preserve">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w:t>
            </w:r>
            <w:proofErr w:type="spellStart"/>
            <w:r w:rsidRPr="000F4DDB">
              <w:rPr>
                <w:highlight w:val="yellow"/>
                <w:lang w:eastAsia="ko-KR"/>
              </w:rPr>
              <w:t>i:th</w:t>
            </w:r>
            <w:proofErr w:type="spellEnd"/>
            <w:r w:rsidRPr="000F4DDB">
              <w:rPr>
                <w:highlight w:val="yellow"/>
                <w:lang w:eastAsia="ko-KR"/>
              </w:rPr>
              <w:t xml:space="preserve">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CommentText"/>
              <w:rPr>
                <w:rFonts w:eastAsiaTheme="minorEastAsia"/>
                <w:lang w:eastAsia="zh-CN"/>
              </w:rPr>
            </w:pPr>
          </w:p>
          <w:p w14:paraId="0CBDB1A2" w14:textId="0F2AFCC5" w:rsidR="00FD53D1" w:rsidRPr="00FD53D1" w:rsidRDefault="00FD53D1" w:rsidP="00091334">
            <w:pPr>
              <w:pStyle w:val="TOC8"/>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lastRenderedPageBreak/>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w:t>
            </w:r>
            <w:r w:rsidRPr="00451204">
              <w:rPr>
                <w:color w:val="4472C4" w:themeColor="accent1"/>
              </w:rPr>
              <w:lastRenderedPageBreak/>
              <w:t xml:space="preserve">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See my reply to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is less than the </w:t>
            </w:r>
            <w:proofErr w:type="spellStart"/>
            <w:r>
              <w:t>i:th</w:t>
            </w:r>
            <w:proofErr w:type="spellEnd"/>
            <w:r>
              <w:t xml:space="preserve">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&gt;1) or larger than zero (if i=1)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PDCP SDU 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r w:rsidRPr="00DD6412">
                <w:rPr>
                  <w:i/>
                </w:rPr>
                <w:t>discardTimer</w:t>
              </w:r>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w:t>
            </w:r>
            <w:proofErr w:type="spellStart"/>
            <w:r>
              <w:t>i:th</w:t>
            </w:r>
            <w:proofErr w:type="spellEnd"/>
            <w:r>
              <w:t xml:space="preserve">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&gt;1) or larger than zero (if i=1)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r w:rsidRPr="00DD6412">
              <w:rPr>
                <w:i/>
              </w:rPr>
              <w:t>discardTimer</w:t>
            </w:r>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w:t>
            </w:r>
            <w:proofErr w:type="spellStart"/>
            <w:r w:rsidRPr="006578F4">
              <w:t>i:th</w:t>
            </w:r>
            <w:proofErr w:type="spellEnd"/>
            <w:r w:rsidRPr="006578F4">
              <w:t xml:space="preserve">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CommentText"/>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CommentText"/>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the specification point of view, SDU with lower COUNT should be regarded as ahead of SDU with </w:t>
            </w:r>
            <w:r>
              <w:rPr>
                <w:rFonts w:ascii="Times New Roman" w:hAnsi="Times New Roman"/>
                <w:lang w:val="es-ES" w:eastAsia="ko-KR"/>
              </w:rPr>
              <w:lastRenderedPageBreak/>
              <w:t xml:space="preserve">higher COUNT. </w:t>
            </w: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w:t>
            </w:r>
            <w:proofErr w:type="spellStart"/>
            <w:r>
              <w:t>i:th</w:t>
            </w:r>
            <w:proofErr w:type="spellEnd"/>
            <w:r>
              <w:t xml:space="preserve">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w:t>
            </w:r>
            <w:proofErr w:type="spellStart"/>
            <w:r w:rsidRPr="00531488">
              <w:rPr>
                <w:highlight w:val="yellow"/>
              </w:rPr>
              <w:t>k:th</w:t>
            </w:r>
            <w:proofErr w:type="spellEnd"/>
            <w:r w:rsidRPr="00531488">
              <w:rPr>
                <w:highlight w:val="yellow"/>
              </w:rPr>
              <w:t xml:space="preserve">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proofErr w:type="gramStart"/>
            <w:r w:rsidRPr="00531488">
              <w:rPr>
                <w:iCs/>
                <w:highlight w:val="yellow"/>
              </w:rPr>
              <w:t>i</w:t>
            </w:r>
            <w:r w:rsidRPr="00531488">
              <w:rPr>
                <w:highlight w:val="yellow"/>
              </w:rPr>
              <w:t>;</w:t>
            </w:r>
            <w:proofErr w:type="gramEnd"/>
          </w:p>
          <w:p w14:paraId="64FB1427" w14:textId="77777777" w:rsidR="000F4DDB" w:rsidRDefault="000F4DDB" w:rsidP="000F4DDB">
            <w:pPr>
              <w:pStyle w:val="CommentText"/>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delay-reporting data for portion i which is defined as:</w:t>
            </w:r>
          </w:p>
          <w:p w14:paraId="0F4106F2" w14:textId="77777777" w:rsidR="000F4DDB" w:rsidRDefault="000F4DDB" w:rsidP="000F4DDB">
            <w:pPr>
              <w:pStyle w:val="CommentText"/>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w:t>
            </w:r>
            <w:proofErr w:type="spellStart"/>
            <w:r>
              <w:rPr>
                <w:lang w:eastAsia="ko-KR"/>
              </w:rPr>
              <w:t>i:th</w:t>
            </w:r>
            <w:proofErr w:type="spellEnd"/>
            <w:r>
              <w:rPr>
                <w:lang w:eastAsia="ko-KR"/>
              </w:rPr>
              <w:t xml:space="preserve">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w:t>
            </w:r>
            <w:r w:rsidRPr="00E801CF">
              <w:rPr>
                <w:highlight w:val="yellow"/>
              </w:rPr>
              <w:t xml:space="preserve">is less than the </w:t>
            </w:r>
            <w:proofErr w:type="spellStart"/>
            <w:r w:rsidRPr="00E801CF">
              <w:rPr>
                <w:highlight w:val="yellow"/>
              </w:rPr>
              <w:t>i:th</w:t>
            </w:r>
            <w:proofErr w:type="spellEnd"/>
            <w:r w:rsidRPr="00E801CF">
              <w:rPr>
                <w:highlight w:val="yellow"/>
              </w:rPr>
              <w:t xml:space="preserve">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w:t>
            </w:r>
            <w:proofErr w:type="spellStart"/>
            <w:r>
              <w:t>i</w:t>
            </w:r>
            <w:proofErr w:type="spellEnd"/>
            <w:r>
              <w:t>&gt;1) or larger than zero (if i=1)</w:t>
            </w:r>
            <w:r w:rsidRPr="00DD6412">
              <w:t>.</w:t>
            </w:r>
          </w:p>
          <w:p w14:paraId="4CB41F2C" w14:textId="77777777" w:rsidR="000F4DDB" w:rsidRDefault="000F4DDB" w:rsidP="000F4DDB">
            <w:pPr>
              <w:pStyle w:val="CommentText"/>
              <w:rPr>
                <w:iCs/>
                <w:highlight w:val="yellow"/>
              </w:rPr>
            </w:pPr>
            <w:r>
              <w:rPr>
                <w:rFonts w:eastAsiaTheme="minorEastAsia" w:hint="eastAsia"/>
                <w:lang w:eastAsia="zh-CN"/>
              </w:rPr>
              <w:t>W</w:t>
            </w:r>
            <w:r>
              <w:rPr>
                <w:rFonts w:eastAsiaTheme="minorEastAsia"/>
                <w:lang w:eastAsia="zh-CN"/>
              </w:rPr>
              <w:t xml:space="preserve">hy this part of data is calculated in </w:t>
            </w:r>
            <w:proofErr w:type="gramStart"/>
            <w:r>
              <w:rPr>
                <w:rFonts w:eastAsiaTheme="minorEastAsia"/>
                <w:lang w:eastAsia="zh-CN"/>
              </w:rPr>
              <w:t xml:space="preserve">“ </w:t>
            </w:r>
            <w:r w:rsidRPr="00531488">
              <w:rPr>
                <w:highlight w:val="yellow"/>
              </w:rPr>
              <w:t>any</w:t>
            </w:r>
            <w:proofErr w:type="gramEnd"/>
            <w:r w:rsidRPr="00531488">
              <w:rPr>
                <w:highlight w:val="yellow"/>
              </w:rPr>
              <w:t xml:space="preserve"> of the </w:t>
            </w:r>
            <w:proofErr w:type="spellStart"/>
            <w:r w:rsidRPr="00531488">
              <w:rPr>
                <w:highlight w:val="yellow"/>
              </w:rPr>
              <w:t>k:th</w:t>
            </w:r>
            <w:proofErr w:type="spellEnd"/>
            <w:r w:rsidRPr="00531488">
              <w:rPr>
                <w:highlight w:val="yellow"/>
              </w:rPr>
              <w:t xml:space="preserve">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4D7954">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Heading1"/>
        <w:rPr>
          <w:lang w:val="en-US"/>
        </w:rPr>
      </w:pPr>
      <w:r>
        <w:rPr>
          <w:lang w:val="en-US"/>
        </w:rPr>
        <w:t>4.</w:t>
      </w:r>
      <w:r>
        <w:rPr>
          <w:lang w:val="en-US"/>
        </w:rPr>
        <w:tab/>
        <w:t>Comments to the PDCP running CR v02</w:t>
      </w:r>
    </w:p>
    <w:tbl>
      <w:tblPr>
        <w:tblStyle w:val="TableGrid"/>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Non-delay-reporting PDCP SDU, the wording is a bit unclear. We prefer to not define it based on COUNT value since the discardTimer is already started for a PDCP SDU before it is associated with a COUNT value. By the given definition, only those PDCP SDUs associated with a COUNT value will be considered whereas any PDCP SDUs whose discardTimer is running but yet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We have similar view as HW002. RAN2 did not have any separate discussion/ agreement for defining a “PDU Set remaining time”, and so we prefer to merge that with the definition of Non-delay-reporting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For COUNT</w:t>
            </w:r>
            <w:r>
              <w:rPr>
                <w:rFonts w:ascii="Times New Roman" w:hAnsi="Times New Roman"/>
                <w:lang w:val="fr-FR" w:eastAsia="ko-KR"/>
              </w:rPr>
              <w:t xml:space="preserve">, </w:t>
            </w:r>
            <w:r w:rsidR="00F8030A">
              <w:rPr>
                <w:rFonts w:ascii="Times New Roman" w:hAnsi="Times New Roman"/>
                <w:lang w:val="fr-FR" w:eastAsia="ko-KR"/>
              </w:rPr>
              <w:t>it is strange to me that PDCP SDU not associated with COUNT is considered in delay-reporting data volume calculation.</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PDU Set remaining time, s</w:t>
            </w:r>
            <w:r>
              <w:rPr>
                <w:rFonts w:ascii="Times New Roman" w:hAnsi="Times New Roman" w:hint="eastAsia"/>
                <w:lang w:val="fr-FR" w:eastAsia="ko-KR"/>
              </w:rPr>
              <w:t>ee my reply to Xiaomi001.</w:t>
            </w:r>
          </w:p>
        </w:tc>
      </w:tr>
      <w:tr w:rsidR="00A25DAC" w:rsidRPr="0089330D" w14:paraId="6D75AFC1" w14:textId="77777777" w:rsidTr="00FE3BFB">
        <w:tc>
          <w:tcPr>
            <w:tcW w:w="977" w:type="dxa"/>
          </w:tcPr>
          <w:p w14:paraId="2182BD4F" w14:textId="37135E85"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E001</w:t>
            </w:r>
          </w:p>
        </w:tc>
        <w:tc>
          <w:tcPr>
            <w:tcW w:w="811" w:type="dxa"/>
          </w:tcPr>
          <w:p w14:paraId="2FA54383" w14:textId="0E3E81FC"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C8E9904" w14:textId="1EB3C36B" w:rsidR="00A25DAC" w:rsidRDefault="004C046A"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We agree with rapporteurs description of what data will be included in the delay-reporting data volume in answer to HW002</w:t>
            </w:r>
            <w:r w:rsidR="00757D85">
              <w:rPr>
                <w:rFonts w:ascii="Times New Roman" w:hAnsi="Times New Roman"/>
                <w:lang w:val="fr-FR" w:eastAsia="ko-KR"/>
              </w:rPr>
              <w:t xml:space="preserve"> and for this rapporteurs current descripti</w:t>
            </w:r>
            <w:r w:rsidR="00EB25C7">
              <w:rPr>
                <w:rFonts w:ascii="Times New Roman" w:hAnsi="Times New Roman"/>
                <w:lang w:val="fr-FR" w:eastAsia="ko-KR"/>
              </w:rPr>
              <w:t>o</w:t>
            </w:r>
            <w:r w:rsidR="00757D85">
              <w:rPr>
                <w:rFonts w:ascii="Times New Roman" w:hAnsi="Times New Roman"/>
                <w:lang w:val="fr-FR" w:eastAsia="ko-KR"/>
              </w:rPr>
              <w:t>n seems to work</w:t>
            </w:r>
            <w:r>
              <w:rPr>
                <w:rFonts w:ascii="Times New Roman" w:hAnsi="Times New Roman"/>
                <w:lang w:val="fr-FR" w:eastAsia="ko-KR"/>
              </w:rPr>
              <w:t xml:space="preserve">. We are as perplexed as rapporteur of the </w:t>
            </w:r>
            <w:r w:rsidR="00757D85">
              <w:rPr>
                <w:rFonts w:ascii="Times New Roman" w:hAnsi="Times New Roman"/>
                <w:lang w:val="fr-FR" w:eastAsia="ko-KR"/>
              </w:rPr>
              <w:t>opposite</w:t>
            </w:r>
            <w:r>
              <w:rPr>
                <w:rFonts w:ascii="Times New Roman" w:hAnsi="Times New Roman"/>
                <w:lang w:val="fr-FR" w:eastAsia="ko-KR"/>
              </w:rPr>
              <w:t xml:space="preserve"> proposed counting. </w:t>
            </w:r>
          </w:p>
          <w:p w14:paraId="078AAF23" w14:textId="77777777" w:rsidR="00EB25C7" w:rsidRDefault="00EB25C7" w:rsidP="00FE3BFB">
            <w:pPr>
              <w:pStyle w:val="TAC"/>
              <w:keepNext w:val="0"/>
              <w:keepLines w:val="0"/>
              <w:widowControl w:val="0"/>
              <w:spacing w:beforeLines="10" w:before="24" w:afterLines="10" w:after="24"/>
              <w:jc w:val="left"/>
              <w:rPr>
                <w:rFonts w:ascii="Times New Roman" w:hAnsi="Times New Roman"/>
                <w:lang w:val="fr-FR" w:eastAsia="ko-KR"/>
              </w:rPr>
            </w:pPr>
          </w:p>
          <w:p w14:paraId="721BBAD3" w14:textId="6D5B367C"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the ones ques</w:t>
            </w:r>
            <w:r w:rsidR="00EB25C7">
              <w:rPr>
                <w:rFonts w:ascii="Times New Roman" w:hAnsi="Times New Roman"/>
                <w:lang w:val="fr-FR" w:eastAsia="ko-KR"/>
              </w:rPr>
              <w:t>ti</w:t>
            </w:r>
            <w:r>
              <w:rPr>
                <w:rFonts w:ascii="Times New Roman" w:hAnsi="Times New Roman"/>
                <w:lang w:val="fr-FR" w:eastAsia="ko-KR"/>
              </w:rPr>
              <w:t xml:space="preserve">oning using COUNT </w:t>
            </w:r>
            <w:r w:rsidR="00EB25C7">
              <w:rPr>
                <w:rFonts w:ascii="Times New Roman" w:hAnsi="Times New Roman"/>
                <w:lang w:val="fr-FR" w:eastAsia="ko-KR"/>
              </w:rPr>
              <w:t xml:space="preserve">in the description </w:t>
            </w:r>
            <w:r>
              <w:rPr>
                <w:rFonts w:ascii="Times New Roman" w:hAnsi="Times New Roman"/>
                <w:lang w:val="fr-FR" w:eastAsia="ko-KR"/>
              </w:rPr>
              <w:t xml:space="preserve">it is </w:t>
            </w:r>
            <w:r w:rsidR="00EB25C7">
              <w:rPr>
                <w:rFonts w:ascii="Times New Roman" w:hAnsi="Times New Roman"/>
                <w:lang w:val="fr-FR" w:eastAsia="ko-KR"/>
              </w:rPr>
              <w:t>unclear what should be used instead. We had a proposal in R2-</w:t>
            </w:r>
            <w:r w:rsidR="00EB25C7" w:rsidRPr="00EB25C7">
              <w:rPr>
                <w:rFonts w:ascii="Times New Roman" w:hAnsi="Times New Roman"/>
                <w:lang w:val="fr-FR" w:eastAsia="ko-KR"/>
              </w:rPr>
              <w:t>2500982</w:t>
            </w:r>
            <w:r w:rsidR="00EB25C7">
              <w:rPr>
                <w:rFonts w:ascii="Times New Roman" w:hAnsi="Times New Roman"/>
                <w:lang w:val="fr-FR" w:eastAsia="ko-KR"/>
              </w:rPr>
              <w:t xml:space="preserve"> to simply refer to the order packets will be transmitted, but using COUNT may be more precise.  </w:t>
            </w:r>
          </w:p>
        </w:tc>
        <w:tc>
          <w:tcPr>
            <w:tcW w:w="2971" w:type="dxa"/>
          </w:tcPr>
          <w:p w14:paraId="2CDB205F" w14:textId="524CA077" w:rsidR="00A25DAC" w:rsidRPr="0089330D" w:rsidRDefault="007456E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A25DAC" w:rsidRPr="0089330D" w14:paraId="6ACCDEA2" w14:textId="77777777" w:rsidTr="00FE3BFB">
        <w:tc>
          <w:tcPr>
            <w:tcW w:w="977" w:type="dxa"/>
          </w:tcPr>
          <w:p w14:paraId="13DD7EF7" w14:textId="0C6C3C46"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E002</w:t>
            </w:r>
          </w:p>
        </w:tc>
        <w:tc>
          <w:tcPr>
            <w:tcW w:w="811" w:type="dxa"/>
          </w:tcPr>
          <w:p w14:paraId="335C982E" w14:textId="102936B7"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0246FD5F" w14:textId="7CCD2D04" w:rsidR="00A25DAC"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Wonder what</w:t>
            </w:r>
            <w:r w:rsidR="004C046A">
              <w:rPr>
                <w:rFonts w:ascii="Times New Roman" w:hAnsi="Times New Roman"/>
                <w:lang w:val="fr-FR" w:eastAsia="ko-KR"/>
              </w:rPr>
              <w:t xml:space="preserve"> is the reason that the mention of "</w:t>
            </w:r>
            <w:r w:rsidR="004C046A" w:rsidRPr="004C046A">
              <w:rPr>
                <w:rFonts w:ascii="Times New Roman" w:hAnsi="Times New Roman"/>
                <w:lang w:eastAsia="ko-KR"/>
              </w:rPr>
              <w:t>for which no PDCP Data PDUs have been constructed</w:t>
            </w:r>
            <w:r w:rsidR="004C046A">
              <w:rPr>
                <w:rFonts w:ascii="Times New Roman" w:hAnsi="Times New Roman"/>
                <w:lang w:eastAsia="ko-KR"/>
              </w:rPr>
              <w:t xml:space="preserve">” is not </w:t>
            </w:r>
            <w:r>
              <w:rPr>
                <w:rFonts w:ascii="Times New Roman" w:hAnsi="Times New Roman"/>
                <w:lang w:eastAsia="ko-KR"/>
              </w:rPr>
              <w:t>included</w:t>
            </w:r>
            <w:r w:rsidR="004C046A">
              <w:rPr>
                <w:rFonts w:ascii="Times New Roman" w:hAnsi="Times New Roman"/>
                <w:lang w:eastAsia="ko-KR"/>
              </w:rPr>
              <w:t xml:space="preserve"> for the non</w:t>
            </w:r>
            <w:r>
              <w:rPr>
                <w:rFonts w:ascii="Times New Roman" w:hAnsi="Times New Roman"/>
                <w:lang w:eastAsia="ko-KR"/>
              </w:rPr>
              <w:t>-delay-reporting PDCP SDUs as is done for all the other similar cases.</w:t>
            </w:r>
          </w:p>
        </w:tc>
        <w:tc>
          <w:tcPr>
            <w:tcW w:w="2971" w:type="dxa"/>
          </w:tcPr>
          <w:p w14:paraId="7872E51F" w14:textId="72E80DC9" w:rsidR="00A25DAC" w:rsidRPr="0089330D" w:rsidRDefault="007456EE" w:rsidP="002B538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Yes, you are correct. It is just a mistake. </w:t>
            </w:r>
            <w:r>
              <w:rPr>
                <w:rFonts w:ascii="Times New Roman" w:hAnsi="Times New Roman"/>
                <w:lang w:val="fr-FR" w:eastAsia="ko-KR"/>
              </w:rPr>
              <w:t>I</w:t>
            </w:r>
            <w:r w:rsidR="00820033">
              <w:rPr>
                <w:rFonts w:ascii="Times New Roman" w:hAnsi="Times New Roman"/>
                <w:lang w:val="fr-FR" w:eastAsia="ko-KR"/>
              </w:rPr>
              <w:t>’ll</w:t>
            </w:r>
            <w:r>
              <w:rPr>
                <w:rFonts w:ascii="Times New Roman" w:hAnsi="Times New Roman"/>
                <w:lang w:val="fr-FR" w:eastAsia="ko-KR"/>
              </w:rPr>
              <w:t xml:space="preserve"> add the sentence in the v03.</w:t>
            </w:r>
          </w:p>
        </w:tc>
      </w:tr>
      <w:tr w:rsidR="00A25DAC" w:rsidRPr="0089330D" w14:paraId="5087554C" w14:textId="77777777" w:rsidTr="00FE3BFB">
        <w:tc>
          <w:tcPr>
            <w:tcW w:w="977" w:type="dxa"/>
          </w:tcPr>
          <w:p w14:paraId="76B9CFD3" w14:textId="245BC7B6" w:rsidR="00A25DAC" w:rsidRPr="0089330D" w:rsidRDefault="00653785"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1" w:type="dxa"/>
          </w:tcPr>
          <w:p w14:paraId="5166D141" w14:textId="14F9B58D" w:rsidR="00A25DAC" w:rsidRPr="0089330D" w:rsidRDefault="00653785"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0769156" w14:textId="2910D2D9" w:rsidR="009A20D0" w:rsidRPr="00EC365E" w:rsidRDefault="009A20D0" w:rsidP="009A20D0">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We share the rapporteur’s understanding on the delay-reporting data volume calculation. While it’s unclear how HW arrived at such calculation, they may have calculated the data volume from the highest threshold. It might be beneficial to specify that the data volume is calculated from the lowest threshold (Note that it is not about whether the threshold itself is in ascending order). </w:t>
            </w: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EC365E" w:rsidRPr="00EC365E" w14:paraId="2612C8B1" w14:textId="77777777" w:rsidTr="00FE3BFB">
        <w:tc>
          <w:tcPr>
            <w:tcW w:w="977" w:type="dxa"/>
          </w:tcPr>
          <w:p w14:paraId="6BAB1D81" w14:textId="3CD3176E"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1" w:type="dxa"/>
          </w:tcPr>
          <w:p w14:paraId="1E97DFDE" w14:textId="37C88280"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437400D2" w14:textId="35D8AE5E" w:rsidR="00EC365E" w:rsidRDefault="00EC365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en-US" w:eastAsia="ko-KR"/>
              </w:rPr>
              <w:t xml:space="preserve">On COUNT – Since start of </w:t>
            </w:r>
            <w:r>
              <w:rPr>
                <w:rFonts w:ascii="Times New Roman" w:hAnsi="Times New Roman"/>
                <w:i/>
                <w:iCs/>
                <w:lang w:val="en-US" w:eastAsia="ko-KR"/>
              </w:rPr>
              <w:t xml:space="preserve">discardTimer </w:t>
            </w:r>
            <w:r>
              <w:rPr>
                <w:rFonts w:ascii="Times New Roman" w:hAnsi="Times New Roman"/>
                <w:lang w:val="en-US" w:eastAsia="ko-KR"/>
              </w:rPr>
              <w:t xml:space="preserve">and association of the COUNT are specified separately, it is theoretically possible for an SDU to exist without an assigned COUNT. However, because </w:t>
            </w:r>
            <w:r w:rsidRPr="00EC365E">
              <w:rPr>
                <w:rFonts w:ascii="Times New Roman" w:hAnsi="Times New Roman"/>
                <w:lang w:val="en-US" w:eastAsia="ko-KR"/>
              </w:rPr>
              <w:t xml:space="preserve">COUNT </w:t>
            </w:r>
            <w:r>
              <w:rPr>
                <w:rFonts w:ascii="Times New Roman" w:hAnsi="Times New Roman"/>
                <w:lang w:val="en-US" w:eastAsia="ko-KR"/>
              </w:rPr>
              <w:t xml:space="preserve">must be </w:t>
            </w:r>
            <w:r w:rsidRPr="00EC365E">
              <w:rPr>
                <w:rFonts w:ascii="Times New Roman" w:hAnsi="Times New Roman"/>
                <w:lang w:val="en-US" w:eastAsia="ko-KR"/>
              </w:rPr>
              <w:t xml:space="preserve">assigned before e.g. ciphering and integrity </w:t>
            </w:r>
            <w:r>
              <w:rPr>
                <w:rFonts w:ascii="Times New Roman" w:hAnsi="Times New Roman"/>
                <w:lang w:val="en-US" w:eastAsia="ko-KR"/>
              </w:rPr>
              <w:t xml:space="preserve">protection, </w:t>
            </w:r>
            <w:r w:rsidR="007B5EBD">
              <w:rPr>
                <w:rFonts w:ascii="Times New Roman" w:hAnsi="Times New Roman"/>
                <w:lang w:val="en-US" w:eastAsia="ko-KR"/>
              </w:rPr>
              <w:t>we consider this to be a marginal issue. In addition, we see no better alternative for using COUNT to describe what’s ahead in the queue.</w:t>
            </w:r>
          </w:p>
        </w:tc>
        <w:tc>
          <w:tcPr>
            <w:tcW w:w="2971" w:type="dxa"/>
          </w:tcPr>
          <w:p w14:paraId="54504278" w14:textId="77777777" w:rsidR="00EC365E" w:rsidRPr="0089330D" w:rsidRDefault="00EC365E" w:rsidP="00FE3BFB">
            <w:pPr>
              <w:pStyle w:val="TAC"/>
              <w:keepNext w:val="0"/>
              <w:keepLines w:val="0"/>
              <w:widowControl w:val="0"/>
              <w:spacing w:beforeLines="10" w:before="24" w:afterLines="10" w:after="24"/>
              <w:jc w:val="left"/>
              <w:rPr>
                <w:rFonts w:ascii="Times New Roman" w:hAnsi="Times New Roman"/>
                <w:lang w:val="fr-FR" w:eastAsia="ko-KR"/>
              </w:rPr>
            </w:pPr>
          </w:p>
        </w:tc>
      </w:tr>
      <w:tr w:rsidR="00EC365E" w:rsidRPr="00EC365E" w14:paraId="779C3F99" w14:textId="77777777" w:rsidTr="00FE3BFB">
        <w:tc>
          <w:tcPr>
            <w:tcW w:w="977" w:type="dxa"/>
          </w:tcPr>
          <w:p w14:paraId="329BE6EC" w14:textId="425CF8B0"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1" w:type="dxa"/>
          </w:tcPr>
          <w:p w14:paraId="21F6ADF9" w14:textId="1BE38645"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178CCF67" w14:textId="77777777" w:rsidR="00EC365E" w:rsidRPr="00EC365E" w:rsidRDefault="00EC365E" w:rsidP="00EC365E">
            <w:pPr>
              <w:rPr>
                <w:ins w:id="7" w:author="LGE-SeungJune" w:date="2025-01-08T16:54:00Z"/>
                <w:sz w:val="18"/>
                <w:szCs w:val="18"/>
              </w:rPr>
            </w:pPr>
            <w:proofErr w:type="gramStart"/>
            <w:ins w:id="8" w:author="LGE-SeungJune" w:date="2025-01-08T16:54:00Z">
              <w:r w:rsidRPr="00EC365E">
                <w:rPr>
                  <w:sz w:val="18"/>
                  <w:szCs w:val="18"/>
                </w:rPr>
                <w:t>For the purpose of</w:t>
              </w:r>
              <w:proofErr w:type="gramEnd"/>
              <w:r w:rsidRPr="00EC365E">
                <w:rPr>
                  <w:sz w:val="18"/>
                  <w:szCs w:val="18"/>
                </w:rPr>
                <w:t xml:space="preserve"> MAC delay status reporting, the transmitting PDCP entity shall consider the following as delay-</w:t>
              </w:r>
            </w:ins>
            <w:ins w:id="9" w:author="LGE-SeungJune" w:date="2025-01-08T16:55:00Z">
              <w:r w:rsidRPr="00EC365E">
                <w:rPr>
                  <w:sz w:val="18"/>
                  <w:szCs w:val="18"/>
                </w:rPr>
                <w:t>reporting</w:t>
              </w:r>
            </w:ins>
            <w:ins w:id="10" w:author="LGE-SeungJune" w:date="2025-01-08T16:54:00Z">
              <w:r w:rsidRPr="00EC365E">
                <w:rPr>
                  <w:sz w:val="18"/>
                  <w:szCs w:val="18"/>
                </w:rPr>
                <w:t xml:space="preserve"> PDCP data volume</w:t>
              </w:r>
            </w:ins>
            <w:ins w:id="11" w:author="LGE-SeungJune" w:date="2025-01-20T14:18:00Z">
              <w:r w:rsidRPr="00EC365E">
                <w:rPr>
                  <w:sz w:val="18"/>
                  <w:szCs w:val="18"/>
                </w:rPr>
                <w:t xml:space="preserve"> associated with the </w:t>
              </w:r>
              <w:proofErr w:type="spellStart"/>
              <w:r w:rsidRPr="00EC365E">
                <w:rPr>
                  <w:sz w:val="18"/>
                  <w:szCs w:val="18"/>
                </w:rPr>
                <w:t>i:th</w:t>
              </w:r>
              <w:proofErr w:type="spellEnd"/>
              <w:r w:rsidRPr="00EC365E">
                <w:rPr>
                  <w:sz w:val="18"/>
                  <w:szCs w:val="18"/>
                </w:rPr>
                <w:t xml:space="preserve"> </w:t>
              </w:r>
              <w:proofErr w:type="spellStart"/>
              <w:r w:rsidRPr="00EC365E">
                <w:rPr>
                  <w:i/>
                  <w:iCs/>
                  <w:sz w:val="18"/>
                  <w:szCs w:val="18"/>
                </w:rPr>
                <w:t>dsr-ReportingThreshold</w:t>
              </w:r>
            </w:ins>
            <w:proofErr w:type="spellEnd"/>
            <w:ins w:id="12" w:author="LGE-SeungJune" w:date="2025-01-08T16:54:00Z">
              <w:r w:rsidRPr="00EC365E">
                <w:rPr>
                  <w:sz w:val="18"/>
                  <w:szCs w:val="18"/>
                </w:rPr>
                <w:t>:</w:t>
              </w:r>
            </w:ins>
          </w:p>
          <w:p w14:paraId="0FFD6B54" w14:textId="77777777" w:rsidR="00EC365E" w:rsidRPr="00EC365E" w:rsidRDefault="00EC365E" w:rsidP="00EC365E">
            <w:pPr>
              <w:pStyle w:val="B1"/>
              <w:rPr>
                <w:ins w:id="13" w:author="LGE-SeungJune" w:date="2025-01-08T16:54:00Z"/>
                <w:sz w:val="18"/>
                <w:szCs w:val="18"/>
              </w:rPr>
            </w:pPr>
            <w:ins w:id="14" w:author="LGE-SeungJune" w:date="2025-01-08T16:54:00Z">
              <w:r w:rsidRPr="00EC365E">
                <w:rPr>
                  <w:sz w:val="18"/>
                  <w:szCs w:val="18"/>
                </w:rPr>
                <w:t>-</w:t>
              </w:r>
              <w:r w:rsidRPr="00EC365E">
                <w:rPr>
                  <w:sz w:val="18"/>
                  <w:szCs w:val="18"/>
                </w:rPr>
                <w:tab/>
                <w:t>the delay-</w:t>
              </w:r>
            </w:ins>
            <w:ins w:id="15" w:author="LGE-SeungJune" w:date="2025-01-08T16:55:00Z">
              <w:r w:rsidRPr="00EC365E">
                <w:rPr>
                  <w:sz w:val="18"/>
                  <w:szCs w:val="18"/>
                </w:rPr>
                <w:t>reporting</w:t>
              </w:r>
            </w:ins>
            <w:ins w:id="16" w:author="LGE-SeungJune" w:date="2025-01-08T16:54:00Z">
              <w:r w:rsidRPr="00EC365E">
                <w:rPr>
                  <w:sz w:val="18"/>
                  <w:szCs w:val="18"/>
                </w:rPr>
                <w:t xml:space="preserve"> PDCP SDU</w:t>
              </w:r>
            </w:ins>
            <w:ins w:id="17" w:author="LGE-SeungJune" w:date="2025-02-03T09:52:00Z">
              <w:r w:rsidRPr="00EC365E">
                <w:rPr>
                  <w:sz w:val="18"/>
                  <w:szCs w:val="18"/>
                </w:rPr>
                <w:t>s</w:t>
              </w:r>
            </w:ins>
            <w:ins w:id="18" w:author="LGE-SeungJune" w:date="2025-01-09T11:15:00Z">
              <w:r w:rsidRPr="00EC365E">
                <w:rPr>
                  <w:sz w:val="18"/>
                  <w:szCs w:val="18"/>
                </w:rPr>
                <w:t xml:space="preserve"> </w:t>
              </w:r>
            </w:ins>
            <w:ins w:id="19" w:author="LGE-SeungJune" w:date="2025-01-20T14:18:00Z">
              <w:r w:rsidRPr="00EC365E">
                <w:rPr>
                  <w:sz w:val="18"/>
                  <w:szCs w:val="18"/>
                  <w:lang w:eastAsia="ko-KR"/>
                </w:rPr>
                <w:t xml:space="preserve">associated with the </w:t>
              </w:r>
              <w:proofErr w:type="spellStart"/>
              <w:r w:rsidRPr="00EC365E">
                <w:rPr>
                  <w:sz w:val="18"/>
                  <w:szCs w:val="18"/>
                  <w:lang w:eastAsia="ko-KR"/>
                </w:rPr>
                <w:t>i:th</w:t>
              </w:r>
              <w:proofErr w:type="spellEnd"/>
              <w:r w:rsidRPr="00EC365E">
                <w:rPr>
                  <w:sz w:val="18"/>
                  <w:szCs w:val="18"/>
                  <w:lang w:eastAsia="ko-KR"/>
                </w:rPr>
                <w:t xml:space="preserve"> </w:t>
              </w:r>
              <w:proofErr w:type="spellStart"/>
              <w:r w:rsidRPr="00EC365E">
                <w:rPr>
                  <w:i/>
                  <w:sz w:val="18"/>
                  <w:szCs w:val="18"/>
                </w:rPr>
                <w:t>dsr-ReportingThreshold</w:t>
              </w:r>
              <w:proofErr w:type="spellEnd"/>
              <w:r w:rsidRPr="00EC365E">
                <w:rPr>
                  <w:iCs/>
                  <w:sz w:val="18"/>
                  <w:szCs w:val="18"/>
                </w:rPr>
                <w:t xml:space="preserve"> </w:t>
              </w:r>
            </w:ins>
            <w:ins w:id="20" w:author="LGE-SeungJune" w:date="2025-01-08T16:54:00Z">
              <w:r w:rsidRPr="00EC365E">
                <w:rPr>
                  <w:sz w:val="18"/>
                  <w:szCs w:val="18"/>
                  <w:highlight w:val="yellow"/>
                </w:rPr>
                <w:t>for which no PDCP Data PDUs have been constructed</w:t>
              </w:r>
            </w:ins>
            <w:ins w:id="21" w:author="LGE-SeungJune" w:date="2025-02-04T14:41:00Z">
              <w:r w:rsidRPr="00EC365E">
                <w:rPr>
                  <w:sz w:val="18"/>
                  <w:szCs w:val="18"/>
                </w:rPr>
                <w:t>,</w:t>
              </w:r>
            </w:ins>
            <w:ins w:id="22" w:author="LGE-SeungJune" w:date="2025-02-04T14:29:00Z">
              <w:r w:rsidRPr="00EC365E">
                <w:rPr>
                  <w:sz w:val="18"/>
                  <w:szCs w:val="18"/>
                </w:rPr>
                <w:t xml:space="preserve"> and </w:t>
              </w:r>
            </w:ins>
            <w:ins w:id="23" w:author="LGE-SeungJune" w:date="2025-02-07T10:57:00Z">
              <w:r w:rsidRPr="00EC365E">
                <w:rPr>
                  <w:sz w:val="18"/>
                  <w:szCs w:val="18"/>
                </w:rPr>
                <w:t>are n</w:t>
              </w:r>
            </w:ins>
            <w:ins w:id="24" w:author="LGE-SeungJune" w:date="2025-02-04T14:29:00Z">
              <w:r w:rsidRPr="00EC365E">
                <w:rPr>
                  <w:sz w:val="18"/>
                  <w:szCs w:val="18"/>
                </w:rPr>
                <w:t xml:space="preserve">ot </w:t>
              </w:r>
            </w:ins>
            <w:ins w:id="25" w:author="LGE-SeungJune" w:date="2025-02-04T14:45:00Z">
              <w:r w:rsidRPr="00EC365E">
                <w:rPr>
                  <w:sz w:val="18"/>
                  <w:szCs w:val="18"/>
                </w:rPr>
                <w:t>consider</w:t>
              </w:r>
            </w:ins>
            <w:ins w:id="26" w:author="LGE-SeungJune" w:date="2025-02-04T14:29:00Z">
              <w:r w:rsidRPr="00EC365E">
                <w:rPr>
                  <w:sz w:val="18"/>
                  <w:szCs w:val="18"/>
                </w:rPr>
                <w:t>ed as delay-reporting PDCP data volume</w:t>
              </w:r>
            </w:ins>
            <w:ins w:id="27" w:author="LGE-SeungJune" w:date="2025-02-04T16:52:00Z">
              <w:r w:rsidRPr="00EC365E">
                <w:rPr>
                  <w:sz w:val="18"/>
                  <w:szCs w:val="18"/>
                </w:rPr>
                <w:t xml:space="preserve"> associated with </w:t>
              </w:r>
            </w:ins>
            <w:ins w:id="28" w:author="LGE-SeungJune" w:date="2025-02-07T10:57:00Z">
              <w:r w:rsidRPr="00EC365E">
                <w:rPr>
                  <w:sz w:val="18"/>
                  <w:szCs w:val="18"/>
                </w:rPr>
                <w:t xml:space="preserve">any of </w:t>
              </w:r>
            </w:ins>
            <w:ins w:id="29" w:author="LGE-SeungJune" w:date="2025-02-04T16:52:00Z">
              <w:r w:rsidRPr="00EC365E">
                <w:rPr>
                  <w:sz w:val="18"/>
                  <w:szCs w:val="18"/>
                </w:rPr>
                <w:t xml:space="preserve">the </w:t>
              </w:r>
            </w:ins>
            <w:proofErr w:type="spellStart"/>
            <w:ins w:id="30" w:author="LGE-SeungJune" w:date="2025-02-04T16:53:00Z">
              <w:r w:rsidRPr="00EC365E">
                <w:rPr>
                  <w:sz w:val="18"/>
                  <w:szCs w:val="18"/>
                </w:rPr>
                <w:t>k</w:t>
              </w:r>
            </w:ins>
            <w:ins w:id="31" w:author="LGE-SeungJune" w:date="2025-02-04T16:52:00Z">
              <w:r w:rsidRPr="00EC365E">
                <w:rPr>
                  <w:sz w:val="18"/>
                  <w:szCs w:val="18"/>
                </w:rPr>
                <w:t>:th</w:t>
              </w:r>
              <w:proofErr w:type="spellEnd"/>
              <w:r w:rsidRPr="00EC365E">
                <w:rPr>
                  <w:sz w:val="18"/>
                  <w:szCs w:val="18"/>
                </w:rPr>
                <w:t xml:space="preserve"> </w:t>
              </w:r>
              <w:proofErr w:type="spellStart"/>
              <w:r w:rsidRPr="00EC365E">
                <w:rPr>
                  <w:i/>
                  <w:iCs/>
                  <w:sz w:val="18"/>
                  <w:szCs w:val="18"/>
                </w:rPr>
                <w:t>dsr-ReportingThreshold</w:t>
              </w:r>
            </w:ins>
            <w:proofErr w:type="spellEnd"/>
            <w:ins w:id="32" w:author="LGE-SeungJune" w:date="2025-02-04T16:53:00Z">
              <w:r w:rsidRPr="00EC365E">
                <w:rPr>
                  <w:i/>
                  <w:iCs/>
                  <w:sz w:val="18"/>
                  <w:szCs w:val="18"/>
                </w:rPr>
                <w:t xml:space="preserve"> </w:t>
              </w:r>
              <w:r w:rsidRPr="00EC365E">
                <w:rPr>
                  <w:iCs/>
                  <w:sz w:val="18"/>
                  <w:szCs w:val="18"/>
                </w:rPr>
                <w:t xml:space="preserve">where k &lt; </w:t>
              </w:r>
              <w:proofErr w:type="spellStart"/>
              <w:proofErr w:type="gramStart"/>
              <w:r w:rsidRPr="00EC365E">
                <w:rPr>
                  <w:iCs/>
                  <w:sz w:val="18"/>
                  <w:szCs w:val="18"/>
                </w:rPr>
                <w:t>i</w:t>
              </w:r>
            </w:ins>
            <w:proofErr w:type="spellEnd"/>
            <w:ins w:id="33" w:author="LGE-SeungJune" w:date="2025-01-08T16:54:00Z">
              <w:r w:rsidRPr="00EC365E">
                <w:rPr>
                  <w:sz w:val="18"/>
                  <w:szCs w:val="18"/>
                </w:rPr>
                <w:t>;</w:t>
              </w:r>
              <w:proofErr w:type="gramEnd"/>
            </w:ins>
          </w:p>
          <w:p w14:paraId="644C05D4" w14:textId="77777777"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p>
          <w:p w14:paraId="355D290A" w14:textId="2B72003E"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r w:rsidRPr="00EC365E">
              <w:rPr>
                <w:rFonts w:ascii="Times New Roman" w:hAnsi="Times New Roman"/>
                <w:szCs w:val="18"/>
                <w:lang w:eastAsia="ko-KR"/>
              </w:rPr>
              <w:t xml:space="preserve">Shouldn’t also the </w:t>
            </w:r>
            <w:r w:rsidRPr="00EC365E">
              <w:rPr>
                <w:rFonts w:ascii="Times New Roman" w:hAnsi="Times New Roman"/>
                <w:szCs w:val="18"/>
                <w:highlight w:val="green"/>
                <w:lang w:eastAsia="ko-KR"/>
              </w:rPr>
              <w:t>non-delay-reporting PDCP SDUs part</w:t>
            </w:r>
            <w:r w:rsidRPr="00EC365E">
              <w:rPr>
                <w:rFonts w:ascii="Times New Roman" w:hAnsi="Times New Roman"/>
                <w:szCs w:val="18"/>
                <w:lang w:eastAsia="ko-KR"/>
              </w:rPr>
              <w:t xml:space="preserve"> below include the highlighted text? Otherwise, it seems that the 1</w:t>
            </w:r>
            <w:r w:rsidRPr="00EC365E">
              <w:rPr>
                <w:rFonts w:ascii="Times New Roman" w:hAnsi="Times New Roman"/>
                <w:szCs w:val="18"/>
                <w:vertAlign w:val="superscript"/>
                <w:lang w:eastAsia="ko-KR"/>
              </w:rPr>
              <w:t>st</w:t>
            </w:r>
            <w:r w:rsidRPr="00EC365E">
              <w:rPr>
                <w:rFonts w:ascii="Times New Roman" w:hAnsi="Times New Roman"/>
                <w:szCs w:val="18"/>
                <w:lang w:eastAsia="ko-KR"/>
              </w:rPr>
              <w:t xml:space="preserve"> bullet will also report the SDUs of the 2</w:t>
            </w:r>
            <w:r w:rsidRPr="00EC365E">
              <w:rPr>
                <w:rFonts w:ascii="Times New Roman" w:hAnsi="Times New Roman"/>
                <w:szCs w:val="18"/>
                <w:vertAlign w:val="superscript"/>
                <w:lang w:eastAsia="ko-KR"/>
              </w:rPr>
              <w:t>nd</w:t>
            </w:r>
            <w:r w:rsidRPr="00EC365E">
              <w:rPr>
                <w:rFonts w:ascii="Times New Roman" w:hAnsi="Times New Roman"/>
                <w:szCs w:val="18"/>
                <w:lang w:eastAsia="ko-KR"/>
              </w:rPr>
              <w:t xml:space="preserve"> bullet, which may result in double reporting?</w:t>
            </w:r>
          </w:p>
          <w:p w14:paraId="6E74FC4D" w14:textId="77777777" w:rsidR="00EC365E" w:rsidRPr="00EC365E" w:rsidRDefault="00EC365E">
            <w:pPr>
              <w:rPr>
                <w:ins w:id="34" w:author="LGE-SeungJune" w:date="2025-02-03T13:14:00Z"/>
                <w:sz w:val="18"/>
                <w:szCs w:val="18"/>
              </w:rPr>
              <w:pPrChange w:id="35" w:author="LGE-SeungJune" w:date="2025-02-03T13:14:00Z">
                <w:pPr>
                  <w:pStyle w:val="B1"/>
                </w:pPr>
              </w:pPrChange>
            </w:pPr>
            <w:ins w:id="36" w:author="LGE-SeungJune" w:date="2025-02-03T13:14:00Z">
              <w:r w:rsidRPr="00EC365E">
                <w:rPr>
                  <w:sz w:val="18"/>
                  <w:szCs w:val="18"/>
                </w:rPr>
                <w:t xml:space="preserve">If </w:t>
              </w:r>
              <w:proofErr w:type="spellStart"/>
              <w:r w:rsidRPr="00EC365E">
                <w:rPr>
                  <w:i/>
                  <w:sz w:val="18"/>
                  <w:szCs w:val="18"/>
                </w:rPr>
                <w:t>dsr-ReportNonDelayCriticalData</w:t>
              </w:r>
              <w:proofErr w:type="spellEnd"/>
              <w:r w:rsidRPr="00EC365E">
                <w:rPr>
                  <w:sz w:val="18"/>
                  <w:szCs w:val="18"/>
                </w:rPr>
                <w:t xml:space="preserve"> is configured, the transmitting PDCP entity shall </w:t>
              </w:r>
            </w:ins>
            <w:ins w:id="37" w:author="LGE-SeungJune" w:date="2025-02-03T13:15:00Z">
              <w:r w:rsidRPr="00EC365E">
                <w:rPr>
                  <w:sz w:val="18"/>
                  <w:szCs w:val="18"/>
                </w:rPr>
                <w:t xml:space="preserve">further </w:t>
              </w:r>
            </w:ins>
            <w:ins w:id="38" w:author="LGE-SeungJune" w:date="2025-02-03T13:14:00Z">
              <w:r w:rsidRPr="00EC365E">
                <w:rPr>
                  <w:sz w:val="18"/>
                  <w:szCs w:val="18"/>
                </w:rPr>
                <w:t xml:space="preserve">consider the following as delay-reporting PDCP data volume associated with the </w:t>
              </w:r>
              <w:proofErr w:type="spellStart"/>
              <w:r w:rsidRPr="00EC365E">
                <w:rPr>
                  <w:sz w:val="18"/>
                  <w:szCs w:val="18"/>
                </w:rPr>
                <w:t>i:th</w:t>
              </w:r>
              <w:proofErr w:type="spellEnd"/>
              <w:r w:rsidRPr="00EC365E">
                <w:rPr>
                  <w:sz w:val="18"/>
                  <w:szCs w:val="18"/>
                </w:rPr>
                <w:t xml:space="preserve"> </w:t>
              </w:r>
              <w:proofErr w:type="spellStart"/>
              <w:r w:rsidRPr="00EC365E">
                <w:rPr>
                  <w:i/>
                  <w:iCs/>
                  <w:sz w:val="18"/>
                  <w:szCs w:val="18"/>
                </w:rPr>
                <w:t>dsr-ReportingThreshold</w:t>
              </w:r>
              <w:proofErr w:type="spellEnd"/>
              <w:r w:rsidRPr="00EC365E">
                <w:rPr>
                  <w:sz w:val="18"/>
                  <w:szCs w:val="18"/>
                </w:rPr>
                <w:t>:</w:t>
              </w:r>
            </w:ins>
          </w:p>
          <w:p w14:paraId="190019D9" w14:textId="77777777" w:rsidR="00EC365E" w:rsidRPr="00EC365E" w:rsidRDefault="00EC365E">
            <w:pPr>
              <w:pStyle w:val="B1"/>
              <w:rPr>
                <w:ins w:id="39" w:author="LGE-SeungJune" w:date="2025-02-03T13:19:00Z"/>
                <w:iCs/>
                <w:sz w:val="18"/>
                <w:szCs w:val="18"/>
              </w:rPr>
              <w:pPrChange w:id="40" w:author="LGE-SeungJune" w:date="2025-02-03T13:16:00Z">
                <w:pPr/>
              </w:pPrChange>
            </w:pPr>
            <w:ins w:id="41" w:author="LGE-SeungJune" w:date="2025-02-03T13:16:00Z">
              <w:r w:rsidRPr="00EC365E">
                <w:rPr>
                  <w:sz w:val="18"/>
                  <w:szCs w:val="18"/>
                </w:rPr>
                <w:t>-</w:t>
              </w:r>
              <w:r w:rsidRPr="00EC365E">
                <w:rPr>
                  <w:sz w:val="18"/>
                  <w:szCs w:val="18"/>
                </w:rPr>
                <w:tab/>
              </w:r>
            </w:ins>
            <w:ins w:id="42" w:author="LGE-SeungJune" w:date="2025-02-03T13:14:00Z">
              <w:r w:rsidRPr="00EC365E">
                <w:rPr>
                  <w:sz w:val="18"/>
                  <w:szCs w:val="18"/>
                </w:rPr>
                <w:t xml:space="preserve">the </w:t>
              </w:r>
            </w:ins>
            <w:ins w:id="43" w:author="LGE-SeungJune" w:date="2025-02-03T13:18:00Z">
              <w:r w:rsidRPr="00EC365E">
                <w:rPr>
                  <w:sz w:val="18"/>
                  <w:szCs w:val="18"/>
                  <w:highlight w:val="green"/>
                </w:rPr>
                <w:t xml:space="preserve">non-delay-reporting </w:t>
              </w:r>
            </w:ins>
            <w:ins w:id="44" w:author="LGE-SeungJune" w:date="2025-02-03T13:14:00Z">
              <w:r w:rsidRPr="00EC365E">
                <w:rPr>
                  <w:sz w:val="18"/>
                  <w:szCs w:val="18"/>
                  <w:highlight w:val="green"/>
                </w:rPr>
                <w:t xml:space="preserve">PDCP SDUs </w:t>
              </w:r>
              <w:r w:rsidRPr="00EC365E">
                <w:rPr>
                  <w:sz w:val="18"/>
                  <w:szCs w:val="18"/>
                  <w:highlight w:val="green"/>
                  <w:lang w:eastAsia="ko-KR"/>
                </w:rPr>
                <w:t xml:space="preserve">associated with the </w:t>
              </w:r>
              <w:proofErr w:type="spellStart"/>
              <w:r w:rsidRPr="00EC365E">
                <w:rPr>
                  <w:sz w:val="18"/>
                  <w:szCs w:val="18"/>
                  <w:highlight w:val="green"/>
                  <w:lang w:eastAsia="ko-KR"/>
                </w:rPr>
                <w:t>i:th</w:t>
              </w:r>
              <w:proofErr w:type="spellEnd"/>
              <w:r w:rsidRPr="00EC365E">
                <w:rPr>
                  <w:sz w:val="18"/>
                  <w:szCs w:val="18"/>
                  <w:highlight w:val="green"/>
                  <w:lang w:eastAsia="ko-KR"/>
                </w:rPr>
                <w:t xml:space="preserve"> </w:t>
              </w:r>
              <w:proofErr w:type="spellStart"/>
              <w:r w:rsidRPr="00EC365E">
                <w:rPr>
                  <w:i/>
                  <w:sz w:val="18"/>
                  <w:szCs w:val="18"/>
                  <w:highlight w:val="green"/>
                </w:rPr>
                <w:t>dsr-ReportingThreshold</w:t>
              </w:r>
            </w:ins>
            <w:proofErr w:type="spellEnd"/>
            <w:ins w:id="45" w:author="LGE-SeungJune" w:date="2025-02-04T14:40:00Z">
              <w:r w:rsidRPr="00EC365E">
                <w:rPr>
                  <w:sz w:val="18"/>
                  <w:szCs w:val="18"/>
                </w:rPr>
                <w:t xml:space="preserve">, and </w:t>
              </w:r>
            </w:ins>
            <w:ins w:id="46" w:author="LGE-SeungJune" w:date="2025-02-07T10:57:00Z">
              <w:r w:rsidRPr="00EC365E">
                <w:rPr>
                  <w:sz w:val="18"/>
                  <w:szCs w:val="18"/>
                </w:rPr>
                <w:t xml:space="preserve">are not considered as delay-reporting PDCP data volume associated with any of the </w:t>
              </w:r>
              <w:proofErr w:type="spellStart"/>
              <w:r w:rsidRPr="00EC365E">
                <w:rPr>
                  <w:sz w:val="18"/>
                  <w:szCs w:val="18"/>
                </w:rPr>
                <w:t>k:th</w:t>
              </w:r>
              <w:proofErr w:type="spellEnd"/>
              <w:r w:rsidRPr="00EC365E">
                <w:rPr>
                  <w:sz w:val="18"/>
                  <w:szCs w:val="18"/>
                </w:rPr>
                <w:t xml:space="preserve"> </w:t>
              </w:r>
              <w:proofErr w:type="spellStart"/>
              <w:r w:rsidRPr="00EC365E">
                <w:rPr>
                  <w:i/>
                  <w:iCs/>
                  <w:sz w:val="18"/>
                  <w:szCs w:val="18"/>
                </w:rPr>
                <w:t>dsr-ReportingThreshold</w:t>
              </w:r>
              <w:proofErr w:type="spellEnd"/>
              <w:r w:rsidRPr="00EC365E">
                <w:rPr>
                  <w:i/>
                  <w:iCs/>
                  <w:sz w:val="18"/>
                  <w:szCs w:val="18"/>
                </w:rPr>
                <w:t xml:space="preserve"> </w:t>
              </w:r>
              <w:r w:rsidRPr="00EC365E">
                <w:rPr>
                  <w:iCs/>
                  <w:sz w:val="18"/>
                  <w:szCs w:val="18"/>
                </w:rPr>
                <w:t xml:space="preserve">where k &lt; </w:t>
              </w:r>
              <w:proofErr w:type="spellStart"/>
              <w:proofErr w:type="gramStart"/>
              <w:r w:rsidRPr="00EC365E">
                <w:rPr>
                  <w:iCs/>
                  <w:sz w:val="18"/>
                  <w:szCs w:val="18"/>
                </w:rPr>
                <w:t>i</w:t>
              </w:r>
            </w:ins>
            <w:proofErr w:type="spellEnd"/>
            <w:ins w:id="47" w:author="LGE-SeungJune" w:date="2025-02-03T13:19:00Z">
              <w:r w:rsidRPr="00EC365E">
                <w:rPr>
                  <w:iCs/>
                  <w:sz w:val="18"/>
                  <w:szCs w:val="18"/>
                </w:rPr>
                <w:t>;</w:t>
              </w:r>
              <w:proofErr w:type="gramEnd"/>
            </w:ins>
          </w:p>
          <w:p w14:paraId="0F7CF2D1" w14:textId="1B33F467" w:rsidR="00EC365E" w:rsidRPr="00EC365E" w:rsidRDefault="00EC365E" w:rsidP="00EC365E">
            <w:pPr>
              <w:pStyle w:val="B1"/>
              <w:rPr>
                <w:sz w:val="18"/>
                <w:szCs w:val="18"/>
                <w:lang w:eastAsia="ko-KR"/>
              </w:rPr>
            </w:pPr>
            <w:ins w:id="48" w:author="LGE-SeungJune" w:date="2025-02-03T13:19:00Z">
              <w:r w:rsidRPr="00EC365E">
                <w:rPr>
                  <w:iCs/>
                  <w:sz w:val="18"/>
                  <w:szCs w:val="18"/>
                </w:rPr>
                <w:t>-</w:t>
              </w:r>
              <w:r w:rsidRPr="00EC365E">
                <w:rPr>
                  <w:iCs/>
                  <w:sz w:val="18"/>
                  <w:szCs w:val="18"/>
                </w:rPr>
                <w:tab/>
                <w:t xml:space="preserve">the PDCP Data PDUs that contain the non-delay-reporting PDCP SDUs associated with the </w:t>
              </w:r>
              <w:proofErr w:type="spellStart"/>
              <w:r w:rsidRPr="00EC365E">
                <w:rPr>
                  <w:iCs/>
                  <w:sz w:val="18"/>
                  <w:szCs w:val="18"/>
                </w:rPr>
                <w:t>i:th</w:t>
              </w:r>
              <w:proofErr w:type="spellEnd"/>
              <w:r w:rsidRPr="00EC365E">
                <w:rPr>
                  <w:iCs/>
                  <w:sz w:val="18"/>
                  <w:szCs w:val="18"/>
                </w:rPr>
                <w:t xml:space="preserve"> </w:t>
              </w:r>
              <w:proofErr w:type="spellStart"/>
              <w:r w:rsidRPr="00EC365E">
                <w:rPr>
                  <w:i/>
                  <w:iCs/>
                  <w:sz w:val="18"/>
                  <w:szCs w:val="18"/>
                  <w:rPrChange w:id="49" w:author="LGE-SeungJune" w:date="2025-02-03T13:25:00Z">
                    <w:rPr>
                      <w:iCs/>
                    </w:rPr>
                  </w:rPrChange>
                </w:rPr>
                <w:t>dsr-ReportingThreshold</w:t>
              </w:r>
              <w:proofErr w:type="spellEnd"/>
              <w:r w:rsidRPr="00EC365E">
                <w:rPr>
                  <w:iCs/>
                  <w:sz w:val="18"/>
                  <w:szCs w:val="18"/>
                </w:rPr>
                <w:t xml:space="preserve"> and have not been submitted to lower layers</w:t>
              </w:r>
            </w:ins>
            <w:ins w:id="50" w:author="LGE-SeungJune" w:date="2025-02-04T14:40:00Z">
              <w:r w:rsidRPr="00EC365E">
                <w:rPr>
                  <w:iCs/>
                  <w:sz w:val="18"/>
                  <w:szCs w:val="18"/>
                </w:rPr>
                <w:t>,</w:t>
              </w:r>
              <w:r w:rsidRPr="00EC365E">
                <w:rPr>
                  <w:sz w:val="18"/>
                  <w:szCs w:val="18"/>
                </w:rPr>
                <w:t xml:space="preserve"> and </w:t>
              </w:r>
            </w:ins>
            <w:ins w:id="51" w:author="LGE-SeungJune" w:date="2025-02-07T10:58:00Z">
              <w:r w:rsidRPr="00EC365E">
                <w:rPr>
                  <w:sz w:val="18"/>
                  <w:szCs w:val="18"/>
                </w:rPr>
                <w:t xml:space="preserve">are not considered as delay-reporting PDCP data volume associated with any of the </w:t>
              </w:r>
              <w:proofErr w:type="spellStart"/>
              <w:r w:rsidRPr="00EC365E">
                <w:rPr>
                  <w:sz w:val="18"/>
                  <w:szCs w:val="18"/>
                </w:rPr>
                <w:t>k:th</w:t>
              </w:r>
              <w:proofErr w:type="spellEnd"/>
              <w:r w:rsidRPr="00EC365E">
                <w:rPr>
                  <w:sz w:val="18"/>
                  <w:szCs w:val="18"/>
                </w:rPr>
                <w:t xml:space="preserve"> </w:t>
              </w:r>
              <w:proofErr w:type="spellStart"/>
              <w:r w:rsidRPr="00EC365E">
                <w:rPr>
                  <w:i/>
                  <w:iCs/>
                  <w:sz w:val="18"/>
                  <w:szCs w:val="18"/>
                </w:rPr>
                <w:t>dsr-ReportingThreshold</w:t>
              </w:r>
              <w:proofErr w:type="spellEnd"/>
              <w:r w:rsidRPr="00EC365E">
                <w:rPr>
                  <w:i/>
                  <w:iCs/>
                  <w:sz w:val="18"/>
                  <w:szCs w:val="18"/>
                </w:rPr>
                <w:t xml:space="preserve"> </w:t>
              </w:r>
              <w:r w:rsidRPr="00EC365E">
                <w:rPr>
                  <w:iCs/>
                  <w:sz w:val="18"/>
                  <w:szCs w:val="18"/>
                </w:rPr>
                <w:t xml:space="preserve">where k &lt; </w:t>
              </w:r>
              <w:proofErr w:type="spellStart"/>
              <w:r w:rsidRPr="00EC365E">
                <w:rPr>
                  <w:iCs/>
                  <w:sz w:val="18"/>
                  <w:szCs w:val="18"/>
                </w:rPr>
                <w:t>i</w:t>
              </w:r>
            </w:ins>
            <w:proofErr w:type="spellEnd"/>
            <w:ins w:id="52" w:author="LGE-SeungJune" w:date="2025-02-03T13:20:00Z">
              <w:r w:rsidRPr="00EC365E">
                <w:rPr>
                  <w:iCs/>
                  <w:sz w:val="18"/>
                  <w:szCs w:val="18"/>
                </w:rPr>
                <w:t>.</w:t>
              </w:r>
            </w:ins>
          </w:p>
        </w:tc>
        <w:tc>
          <w:tcPr>
            <w:tcW w:w="2971" w:type="dxa"/>
          </w:tcPr>
          <w:p w14:paraId="477BE8BC" w14:textId="77777777" w:rsidR="00EC365E" w:rsidRPr="0089330D" w:rsidRDefault="00EC365E"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Malgun Gothic"/>
          <w:lang w:eastAsia="ko-KR"/>
        </w:rPr>
      </w:pPr>
    </w:p>
    <w:p w14:paraId="6D280C01" w14:textId="52C6F7C8" w:rsidR="00A44635" w:rsidRDefault="00A44635" w:rsidP="00535376"/>
    <w:p w14:paraId="7F25618C" w14:textId="129DC83F" w:rsidR="00C250BC" w:rsidRDefault="00C250BC" w:rsidP="00C250BC">
      <w:pPr>
        <w:pStyle w:val="Heading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Malgun Gothic"/>
          <w:lang w:eastAsia="ko-KR"/>
        </w:rPr>
      </w:pPr>
      <w:r>
        <w:rPr>
          <w:rFonts w:eastAsia="Malgun Gothic"/>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49EBA" w14:textId="77777777" w:rsidR="00775D9C" w:rsidRDefault="00775D9C">
      <w:r>
        <w:separator/>
      </w:r>
    </w:p>
  </w:endnote>
  <w:endnote w:type="continuationSeparator" w:id="0">
    <w:p w14:paraId="730644DC" w14:textId="77777777" w:rsidR="00775D9C" w:rsidRDefault="00775D9C">
      <w:r>
        <w:continuationSeparator/>
      </w:r>
    </w:p>
  </w:endnote>
  <w:endnote w:type="continuationNotice" w:id="1">
    <w:p w14:paraId="77A05138" w14:textId="77777777" w:rsidR="00775D9C" w:rsidRDefault="00775D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DEB3" w14:textId="77777777" w:rsidR="00775D9C" w:rsidRDefault="00775D9C">
      <w:r>
        <w:separator/>
      </w:r>
    </w:p>
  </w:footnote>
  <w:footnote w:type="continuationSeparator" w:id="0">
    <w:p w14:paraId="3F55BA19" w14:textId="77777777" w:rsidR="00775D9C" w:rsidRDefault="00775D9C">
      <w:r>
        <w:continuationSeparator/>
      </w:r>
    </w:p>
  </w:footnote>
  <w:footnote w:type="continuationNotice" w:id="1">
    <w:p w14:paraId="2F71680A" w14:textId="77777777" w:rsidR="00775D9C" w:rsidRDefault="00775D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644117127">
    <w:abstractNumId w:val="24"/>
  </w:num>
  <w:num w:numId="2" w16cid:durableId="426344097">
    <w:abstractNumId w:val="25"/>
  </w:num>
  <w:num w:numId="3" w16cid:durableId="1410151937">
    <w:abstractNumId w:val="9"/>
  </w:num>
  <w:num w:numId="4" w16cid:durableId="1193180499">
    <w:abstractNumId w:val="3"/>
  </w:num>
  <w:num w:numId="5" w16cid:durableId="653604218">
    <w:abstractNumId w:val="14"/>
  </w:num>
  <w:num w:numId="6" w16cid:durableId="1455976610">
    <w:abstractNumId w:val="17"/>
  </w:num>
  <w:num w:numId="7" w16cid:durableId="748045341">
    <w:abstractNumId w:val="26"/>
  </w:num>
  <w:num w:numId="8" w16cid:durableId="1736467708">
    <w:abstractNumId w:val="15"/>
  </w:num>
  <w:num w:numId="9" w16cid:durableId="492649447">
    <w:abstractNumId w:val="31"/>
  </w:num>
  <w:num w:numId="10" w16cid:durableId="1291935337">
    <w:abstractNumId w:val="16"/>
  </w:num>
  <w:num w:numId="11" w16cid:durableId="222640234">
    <w:abstractNumId w:val="21"/>
  </w:num>
  <w:num w:numId="12" w16cid:durableId="494880344">
    <w:abstractNumId w:val="7"/>
  </w:num>
  <w:num w:numId="13" w16cid:durableId="292059457">
    <w:abstractNumId w:val="4"/>
  </w:num>
  <w:num w:numId="14" w16cid:durableId="1716197188">
    <w:abstractNumId w:val="28"/>
  </w:num>
  <w:num w:numId="15" w16cid:durableId="1259868790">
    <w:abstractNumId w:val="18"/>
  </w:num>
  <w:num w:numId="16" w16cid:durableId="399400911">
    <w:abstractNumId w:val="6"/>
  </w:num>
  <w:num w:numId="17" w16cid:durableId="1126661592">
    <w:abstractNumId w:val="12"/>
  </w:num>
  <w:num w:numId="18" w16cid:durableId="1274049742">
    <w:abstractNumId w:val="11"/>
  </w:num>
  <w:num w:numId="19" w16cid:durableId="1539851904">
    <w:abstractNumId w:val="23"/>
  </w:num>
  <w:num w:numId="20" w16cid:durableId="743719042">
    <w:abstractNumId w:val="33"/>
  </w:num>
  <w:num w:numId="21" w16cid:durableId="1665161959">
    <w:abstractNumId w:val="36"/>
  </w:num>
  <w:num w:numId="22" w16cid:durableId="906262875">
    <w:abstractNumId w:val="5"/>
  </w:num>
  <w:num w:numId="23" w16cid:durableId="2016762416">
    <w:abstractNumId w:val="22"/>
  </w:num>
  <w:num w:numId="24" w16cid:durableId="1622496844">
    <w:abstractNumId w:val="2"/>
  </w:num>
  <w:num w:numId="25" w16cid:durableId="28343744">
    <w:abstractNumId w:val="1"/>
  </w:num>
  <w:num w:numId="26" w16cid:durableId="451873393">
    <w:abstractNumId w:val="0"/>
  </w:num>
  <w:num w:numId="27" w16cid:durableId="1926497250">
    <w:abstractNumId w:val="13"/>
  </w:num>
  <w:num w:numId="28" w16cid:durableId="2120371695">
    <w:abstractNumId w:val="10"/>
  </w:num>
  <w:num w:numId="29" w16cid:durableId="543828675">
    <w:abstractNumId w:val="8"/>
  </w:num>
  <w:num w:numId="30" w16cid:durableId="2001076839">
    <w:abstractNumId w:val="30"/>
  </w:num>
  <w:num w:numId="31" w16cid:durableId="1779567974">
    <w:abstractNumId w:val="34"/>
  </w:num>
  <w:num w:numId="32" w16cid:durableId="2130514015">
    <w:abstractNumId w:val="27"/>
  </w:num>
  <w:num w:numId="33" w16cid:durableId="585266747">
    <w:abstractNumId w:val="35"/>
  </w:num>
  <w:num w:numId="34" w16cid:durableId="1621105305">
    <w:abstractNumId w:val="19"/>
  </w:num>
  <w:num w:numId="35" w16cid:durableId="93525460">
    <w:abstractNumId w:val="20"/>
  </w:num>
  <w:num w:numId="36" w16cid:durableId="289436186">
    <w:abstractNumId w:val="29"/>
  </w:num>
  <w:num w:numId="37" w16cid:durableId="79444271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w15:presenceInfo w15:providerId="None" w15:userId="Xiaomi"/>
  </w15:person>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oNotDisplayPageBoundaries/>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6B46"/>
    <w:rsid w:val="004B7414"/>
    <w:rsid w:val="004B75B7"/>
    <w:rsid w:val="004B76F3"/>
    <w:rsid w:val="004B7DBA"/>
    <w:rsid w:val="004C03F6"/>
    <w:rsid w:val="004C046A"/>
    <w:rsid w:val="004C1DF2"/>
    <w:rsid w:val="004C220D"/>
    <w:rsid w:val="004C2E51"/>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3785"/>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64073-5CE8-4E0E-8D2F-2161120BA5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C:\Users\s84317903\AppData\Roaming\Microsoft\Templates\3gpp_70.dot</Template>
  <TotalTime>3</TotalTime>
  <Pages>8</Pages>
  <Words>3034</Words>
  <Characters>17295</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20289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SunYoung Lee (Nokia)</cp:lastModifiedBy>
  <cp:revision>6</cp:revision>
  <cp:lastPrinted>1900-01-01T07:59:08Z</cp:lastPrinted>
  <dcterms:created xsi:type="dcterms:W3CDTF">2025-03-21T01:57:00Z</dcterms:created>
  <dcterms:modified xsi:type="dcterms:W3CDTF">2025-03-21T02:00:00Z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