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af"/>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[POST129][035][AIoT] Paging (Qualcomm)</w:t>
      </w:r>
    </w:p>
    <w:p w14:paraId="203366FE" w14:textId="77777777" w:rsidR="00773A66" w:rsidRDefault="00B951AA">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Below is the list of RAN2#129 agreements with yellow highlights added to the FFSes:</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2"/>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[POST129][035][AIoT] Paging.</w:t>
      </w:r>
    </w:p>
    <w:p w14:paraId="56800E66" w14:textId="77777777" w:rsidR="00773A66" w:rsidRDefault="00773A66">
      <w:pPr>
        <w:spacing w:line="276" w:lineRule="auto"/>
      </w:pPr>
    </w:p>
    <w:p w14:paraId="09B54363" w14:textId="77777777" w:rsidR="00773A66" w:rsidRDefault="00B951AA">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922294"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r>
              <w:rPr>
                <w:rFonts w:hint="eastAsia"/>
                <w:lang w:eastAsia="zh-CN"/>
              </w:rPr>
              <w:t>Spreadtrum</w:t>
            </w:r>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af1"/>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af1"/>
                <w:rFonts w:eastAsiaTheme="minorEastAsia"/>
                <w:lang w:val="en-US" w:eastAsia="zh-CN"/>
              </w:rPr>
            </w:pPr>
            <w:hyperlink r:id="rId14" w:history="1">
              <w:r>
                <w:rPr>
                  <w:rStyle w:val="af1"/>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r>
              <w:rPr>
                <w:rFonts w:eastAsiaTheme="minorEastAsia"/>
                <w:lang w:val="en-US" w:eastAsia="zh-CN"/>
              </w:rPr>
              <w:t>InterDigital</w:t>
            </w:r>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af1"/>
                <w:rFonts w:eastAsiaTheme="minorEastAsia"/>
                <w:lang w:val="en-US" w:eastAsia="zh-CN"/>
              </w:rPr>
            </w:pPr>
            <w:r>
              <w:rPr>
                <w:rStyle w:val="af1"/>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af1"/>
                <w:rFonts w:eastAsiaTheme="minorEastAsia"/>
                <w:lang w:val="en-US" w:eastAsia="zh-CN"/>
              </w:rPr>
            </w:pPr>
            <w:hyperlink r:id="rId15" w:history="1">
              <w:r>
                <w:rPr>
                  <w:rStyle w:val="af1"/>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af1"/>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r>
              <w:rPr>
                <w:lang w:eastAsia="zh-CN"/>
              </w:rPr>
              <w:t>Zonghui Xie/</w:t>
            </w:r>
          </w:p>
          <w:p w14:paraId="76F409A3" w14:textId="77777777" w:rsidR="00773A66" w:rsidRDefault="00B951AA">
            <w:pPr>
              <w:spacing w:after="120"/>
              <w:jc w:val="center"/>
              <w:rPr>
                <w:rFonts w:eastAsiaTheme="minorEastAsia"/>
                <w:lang w:val="en-US" w:eastAsia="zh-CN"/>
              </w:rPr>
            </w:pPr>
            <w:r>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af1"/>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r>
              <w:rPr>
                <w:rFonts w:eastAsiaTheme="minorEastAsia" w:hint="eastAsia"/>
                <w:lang w:val="en-US" w:eastAsia="zh-CN"/>
              </w:rPr>
              <w:t>Transsion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Wen wu</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r>
              <w:rPr>
                <w:rFonts w:eastAsia="PMingLiU"/>
                <w:lang w:val="en-US" w:eastAsia="zh-TW"/>
              </w:rPr>
              <w:t>Jhihmin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맑은 고딕"/>
                <w:lang w:eastAsia="ko-KR"/>
              </w:rPr>
            </w:pPr>
            <w:r>
              <w:rPr>
                <w:rFonts w:eastAsia="MS Mincho"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맑은 고딕"/>
                <w:lang w:val="en-US" w:eastAsia="ko-KR"/>
              </w:rPr>
            </w:pPr>
            <w:r>
              <w:rPr>
                <w:rFonts w:eastAsia="MS Mincho" w:hint="eastAsia"/>
                <w:lang w:eastAsia="ja-JP"/>
              </w:rPr>
              <w:t>Masato Fujishiro</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맑은 고딕"/>
                <w:lang w:eastAsia="ko-KR"/>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r w:rsidR="00922294" w14:paraId="3B06DB92"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4EC96F1" w14:textId="5EFDD7E0" w:rsidR="00922294" w:rsidRDefault="00922294" w:rsidP="00922294">
            <w:pPr>
              <w:spacing w:after="120"/>
              <w:jc w:val="both"/>
              <w:rPr>
                <w:rFonts w:eastAsia="MS Mincho" w:hint="eastAsia"/>
                <w:lang w:eastAsia="ja-JP"/>
              </w:rPr>
            </w:pPr>
            <w:r>
              <w:rPr>
                <w:rFonts w:eastAsia="맑은 고딕"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23676582" w14:textId="4B4F93ED" w:rsidR="00922294" w:rsidRDefault="00922294" w:rsidP="00922294">
            <w:pPr>
              <w:spacing w:after="120"/>
              <w:jc w:val="center"/>
              <w:rPr>
                <w:rFonts w:eastAsia="MS Mincho" w:hint="eastAsia"/>
                <w:lang w:eastAsia="ja-JP"/>
              </w:rPr>
            </w:pPr>
            <w:r>
              <w:rPr>
                <w:rFonts w:eastAsia="맑은 고딕" w:hint="eastAsia"/>
                <w:lang w:val="en-US" w:eastAsia="ko-KR"/>
              </w:rPr>
              <w:t>Hongchan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0ADEA6B" w14:textId="46EAC5FC" w:rsidR="00922294" w:rsidRDefault="00922294" w:rsidP="00922294">
            <w:pPr>
              <w:spacing w:after="120"/>
              <w:jc w:val="center"/>
              <w:rPr>
                <w:rFonts w:eastAsia="MS Mincho" w:hint="eastAsia"/>
                <w:lang w:eastAsia="ja-JP"/>
              </w:rPr>
            </w:pPr>
            <w:r>
              <w:rPr>
                <w:rFonts w:eastAsia="맑은 고딕" w:hint="eastAsia"/>
                <w:lang w:eastAsia="ko-KR"/>
              </w:rPr>
              <w:t>hongchan5.kim@lge.com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1"/>
        <w:spacing w:line="276" w:lineRule="auto"/>
        <w:ind w:left="450"/>
      </w:pPr>
      <w:r>
        <w:t>Discussion on device behaviour if multiple requests are received in parallel</w:t>
      </w:r>
    </w:p>
    <w:p w14:paraId="0B8346D0" w14:textId="77777777" w:rsidR="00773A66" w:rsidRDefault="00B951AA">
      <w:pPr>
        <w:pStyle w:val="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af3"/>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lastRenderedPageBreak/>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lastRenderedPageBreak/>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So it may be common assumption that the device would not handle (or ignore) 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AIoT service procedure that is currently being executed targeting one or a group of devices, e.g., via a Paging triggered by a reader (e.g., reader-A) and may last for a certain time period. Then it may be possible that, another different </w:t>
            </w:r>
            <w:r>
              <w:rPr>
                <w:rFonts w:eastAsiaTheme="minorEastAsia"/>
                <w:lang w:val="en-US" w:eastAsia="zh-CN"/>
              </w:rPr>
              <w:lastRenderedPageBreak/>
              <w:t>AIoT service is triggered during this time period and the targeting devices are the same as those of the previous AIoT service. Furthermore:</w:t>
            </w:r>
          </w:p>
          <w:p w14:paraId="4EA55CE7"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delay the processing on it.</w:t>
            </w:r>
          </w:p>
          <w:p w14:paraId="38E9F597"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Since it’s hardly to assume reasonable motivation for the CN/AF to perform different AIoT services on the same group of devices simultaneously or within a very short interval, we think this sub-cases can be (need to be) avoided by the CN/AF implementation;</w:t>
            </w:r>
          </w:p>
          <w:p w14:paraId="6FD30C2B"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In a summary, the two scenarios for comparison in Q1 are either already prevented due to existing RAN2 agreement, or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lastRenderedPageBreak/>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af3"/>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af3"/>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A common “transaction ID” would be enough for an Aiot device to identify the same service and only one procedure is performed by an Aiot device.</w:t>
            </w:r>
          </w:p>
        </w:tc>
      </w:tr>
      <w:tr w:rsidR="00773A66" w14:paraId="034C405C" w14:textId="77777777">
        <w:tc>
          <w:tcPr>
            <w:tcW w:w="1200" w:type="dxa"/>
          </w:tcPr>
          <w:p w14:paraId="13B32C82" w14:textId="77777777" w:rsidR="00773A66" w:rsidRDefault="00B951AA">
            <w:pPr>
              <w:rPr>
                <w:rFonts w:eastAsia="SimSun"/>
                <w:lang w:val="en-US" w:eastAsia="zh-CN"/>
              </w:rPr>
            </w:pPr>
            <w:r>
              <w:rPr>
                <w:rFonts w:eastAsia="SimSun"/>
                <w:lang w:val="en-US" w:eastAsia="zh-CN"/>
              </w:rPr>
              <w:t>Futurewei</w:t>
            </w:r>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 xml:space="preserve">The device can differentiate different service requests based on the Transaction ID. Without reader ID, the device may suspect a Transaction ID far away its </w:t>
            </w:r>
            <w:r>
              <w:rPr>
                <w:rFonts w:eastAsia="SimSun"/>
                <w:lang w:val="en-US" w:eastAsia="zh-CN"/>
              </w:rPr>
              <w:lastRenderedPageBreak/>
              <w:t>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lastRenderedPageBreak/>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For example, a device may know whether a procedure is completed if the reader transmits a NACK message indicating an unsuccessful transmission from the device or a QueryRep-like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r>
              <w:rPr>
                <w:rFonts w:eastAsia="SimSun" w:hint="eastAsia"/>
                <w:lang w:val="en-US" w:eastAsia="zh-CN"/>
              </w:rPr>
              <w:t>Transsion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distinguish  whether the new service request is received from the same reader or  a different reader. If the scenario exist,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85030D" w14:paraId="2A84EE6E" w14:textId="77777777">
        <w:tc>
          <w:tcPr>
            <w:tcW w:w="1200" w:type="dxa"/>
          </w:tcPr>
          <w:p w14:paraId="0E6DE94F" w14:textId="38708241" w:rsidR="0085030D" w:rsidRPr="0074648D" w:rsidRDefault="0085030D" w:rsidP="0085030D">
            <w:pPr>
              <w:rPr>
                <w:rFonts w:eastAsia="맑은 고딕"/>
                <w:color w:val="FF0000"/>
                <w:lang w:val="en-US" w:eastAsia="ko-KR"/>
              </w:rPr>
            </w:pPr>
            <w:r>
              <w:rPr>
                <w:rFonts w:eastAsia="MS Mincho" w:hint="eastAsia"/>
                <w:lang w:val="en-US" w:eastAsia="ja-JP"/>
              </w:rPr>
              <w:t>Kyocera</w:t>
            </w:r>
          </w:p>
        </w:tc>
        <w:tc>
          <w:tcPr>
            <w:tcW w:w="1410" w:type="dxa"/>
          </w:tcPr>
          <w:p w14:paraId="299C389E" w14:textId="4F41B98D" w:rsidR="0085030D" w:rsidRDefault="0085030D" w:rsidP="0085030D">
            <w:pPr>
              <w:rPr>
                <w:rFonts w:eastAsia="맑은 고딕"/>
                <w:color w:val="FF0000"/>
                <w:lang w:val="en-US" w:eastAsia="ko-KR"/>
              </w:rPr>
            </w:pPr>
            <w:r>
              <w:rPr>
                <w:rFonts w:eastAsia="MS Mincho" w:hint="eastAsia"/>
                <w:lang w:val="en-US" w:eastAsia="ja-JP"/>
              </w:rPr>
              <w:t>No</w:t>
            </w:r>
          </w:p>
        </w:tc>
        <w:tc>
          <w:tcPr>
            <w:tcW w:w="6740" w:type="dxa"/>
          </w:tcPr>
          <w:p w14:paraId="6934D2B9" w14:textId="27782A12" w:rsidR="0085030D" w:rsidRPr="0001364B" w:rsidRDefault="0085030D" w:rsidP="0085030D">
            <w:pPr>
              <w:rPr>
                <w:rFonts w:eastAsia="맑은 고딕"/>
                <w:color w:val="FF0000"/>
                <w:lang w:eastAsia="ko-KR"/>
              </w:rPr>
            </w:pPr>
            <w:r>
              <w:rPr>
                <w:rFonts w:eastAsia="MS Mincho" w:hint="eastAsia"/>
                <w:lang w:val="en-US" w:eastAsia="ja-JP"/>
              </w:rPr>
              <w:t>We agree with other companies</w:t>
            </w:r>
            <w:r>
              <w:rPr>
                <w:rFonts w:eastAsia="MS Mincho"/>
                <w:lang w:val="en-US" w:eastAsia="ja-JP"/>
              </w:rPr>
              <w:t>’</w:t>
            </w:r>
            <w:r>
              <w:rPr>
                <w:rFonts w:eastAsia="MS Mincho" w:hint="eastAsia"/>
                <w:lang w:val="en-US" w:eastAsia="ja-JP"/>
              </w:rPr>
              <w:t xml:space="preserve"> comments, and we think it</w:t>
            </w:r>
            <w:r>
              <w:rPr>
                <w:rFonts w:eastAsia="MS Mincho"/>
                <w:lang w:val="en-US" w:eastAsia="ja-JP"/>
              </w:rPr>
              <w:t>’</w:t>
            </w:r>
            <w:r>
              <w:rPr>
                <w:rFonts w:eastAsia="MS Mincho" w:hint="eastAsia"/>
                <w:lang w:val="en-US" w:eastAsia="ja-JP"/>
              </w:rPr>
              <w:t xml:space="preserve">s better to simplify the device behaviour as much as possible, i.e., the device does not need to be aware of single or multiple reader(s). </w:t>
            </w:r>
          </w:p>
        </w:tc>
      </w:tr>
      <w:tr w:rsidR="00B27AFB" w14:paraId="1F5430D2" w14:textId="77777777">
        <w:tc>
          <w:tcPr>
            <w:tcW w:w="1200" w:type="dxa"/>
          </w:tcPr>
          <w:p w14:paraId="0BFB54C5" w14:textId="44D5AA57" w:rsidR="00B27AFB" w:rsidRDefault="00B27AFB" w:rsidP="00B27AFB">
            <w:pPr>
              <w:rPr>
                <w:rFonts w:eastAsia="MS Mincho" w:hint="eastAsia"/>
                <w:lang w:val="en-US" w:eastAsia="ja-JP"/>
              </w:rPr>
            </w:pPr>
            <w:r w:rsidRPr="00470554">
              <w:rPr>
                <w:rFonts w:eastAsia="맑은 고딕" w:hint="eastAsia"/>
                <w:lang w:val="en-US" w:eastAsia="ko-KR"/>
              </w:rPr>
              <w:t>LGE</w:t>
            </w:r>
          </w:p>
        </w:tc>
        <w:tc>
          <w:tcPr>
            <w:tcW w:w="1410" w:type="dxa"/>
          </w:tcPr>
          <w:p w14:paraId="43EFB28D" w14:textId="53F4A7C4" w:rsidR="00B27AFB" w:rsidRDefault="00B27AFB" w:rsidP="00B27AFB">
            <w:pPr>
              <w:rPr>
                <w:rFonts w:eastAsia="MS Mincho" w:hint="eastAsia"/>
                <w:lang w:val="en-US" w:eastAsia="ja-JP"/>
              </w:rPr>
            </w:pPr>
            <w:r w:rsidRPr="00470554">
              <w:rPr>
                <w:rFonts w:eastAsia="맑은 고딕" w:hint="eastAsia"/>
                <w:lang w:val="en-US" w:eastAsia="ko-KR"/>
              </w:rPr>
              <w:t>Yes</w:t>
            </w:r>
          </w:p>
        </w:tc>
        <w:tc>
          <w:tcPr>
            <w:tcW w:w="6740" w:type="dxa"/>
          </w:tcPr>
          <w:p w14:paraId="6BD4F413" w14:textId="77777777" w:rsidR="00B27AFB" w:rsidRPr="00470554" w:rsidRDefault="00B27AFB" w:rsidP="00B27AFB">
            <w:pPr>
              <w:rPr>
                <w:rFonts w:eastAsia="맑은 고딕"/>
                <w:lang w:val="en-US" w:eastAsia="ko-KR"/>
              </w:rPr>
            </w:pPr>
            <w:r w:rsidRPr="00470554">
              <w:rPr>
                <w:rFonts w:eastAsia="맑은 고딕"/>
                <w:lang w:eastAsia="ko-KR"/>
              </w:rPr>
              <w:t xml:space="preserve">First, the definition of "a procedure" may differ between the device's perspective and the reader's perspective. For a reader, </w:t>
            </w:r>
            <w:r w:rsidRPr="00470554">
              <w:rPr>
                <w:rFonts w:eastAsia="맑은 고딕"/>
                <w:lang w:val="en-US" w:eastAsia="ko-KR"/>
              </w:rPr>
              <w:t>completing the operation for all targeted devices may define the end of a procedure,</w:t>
            </w:r>
            <w:r w:rsidRPr="00470554">
              <w:rPr>
                <w:rFonts w:eastAsia="맑은 고딕"/>
                <w:lang w:eastAsia="ko-KR"/>
              </w:rPr>
              <w:t xml:space="preserve"> whereas a device may consider its procedure complete once it finishes its own operation, which could be earlier than the reader’s perspective.</w:t>
            </w:r>
          </w:p>
          <w:p w14:paraId="63A46FFE" w14:textId="77777777" w:rsidR="00B27AFB" w:rsidRPr="00470554" w:rsidRDefault="00B27AFB" w:rsidP="00B27AFB">
            <w:pPr>
              <w:rPr>
                <w:rFonts w:eastAsia="맑은 고딕"/>
                <w:lang w:val="en-US" w:eastAsia="ko-KR"/>
              </w:rPr>
            </w:pPr>
            <w:r w:rsidRPr="00470554">
              <w:rPr>
                <w:rFonts w:eastAsia="맑은 고딕"/>
                <w:lang w:eastAsia="ko-KR"/>
              </w:rPr>
              <w:t>Since it has been agreed that a single reader does not request services in parallel, a scenario where a different service request comes from the same reader while its procedure is still ongoing is not expected and should not occur. Considering the agreed subsequent paging and re-access, additional paging messages may occur during the reader's procedure. Since a device's procedure can end earlier, some devices may receive these paging messages after completing their operation.</w:t>
            </w:r>
            <w:r w:rsidRPr="00470554">
              <w:rPr>
                <w:rFonts w:eastAsia="맑은 고딕" w:hint="eastAsia"/>
                <w:lang w:eastAsia="ko-KR"/>
              </w:rPr>
              <w:t xml:space="preserve"> However</w:t>
            </w:r>
            <w:r w:rsidRPr="00470554">
              <w:rPr>
                <w:rFonts w:eastAsia="맑은 고딕"/>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36693D1D" w14:textId="77777777" w:rsidR="00B27AFB" w:rsidRPr="00470554" w:rsidRDefault="00B27AFB" w:rsidP="00B27AFB">
            <w:pPr>
              <w:rPr>
                <w:rFonts w:eastAsia="맑은 고딕"/>
                <w:lang w:val="en-US" w:eastAsia="ko-KR"/>
              </w:rPr>
            </w:pPr>
            <w:r w:rsidRPr="00470554">
              <w:rPr>
                <w:rFonts w:eastAsia="맑은 고딕"/>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470554">
              <w:rPr>
                <w:rFonts w:eastAsia="맑은 고딕"/>
                <w:lang w:val="en-US" w:eastAsia="ko-KR"/>
              </w:rPr>
              <w:t xml:space="preserve">its procedure with reader A finished. </w:t>
            </w:r>
            <w:r w:rsidRPr="00470554">
              <w:rPr>
                <w:rFonts w:eastAsia="맑은 고딕"/>
                <w:lang w:eastAsia="ko-KR"/>
              </w:rPr>
              <w:t>Then, reader B sends another service request targeting the same device X. From reader A’s perspective, the procedure may still be ongoing, but since device X has already completed its operation with reader A,</w:t>
            </w:r>
            <w:r w:rsidRPr="00470554">
              <w:rPr>
                <w:rFonts w:eastAsia="맑은 고딕"/>
                <w:lang w:val="en-US" w:eastAsia="ko-KR"/>
              </w:rPr>
              <w:t xml:space="preserve"> it may</w:t>
            </w:r>
            <w:r w:rsidRPr="00470554">
              <w:rPr>
                <w:rFonts w:eastAsia="맑은 고딕" w:hint="eastAsia"/>
                <w:lang w:val="en-US" w:eastAsia="ko-KR"/>
              </w:rPr>
              <w:t xml:space="preserve"> be able to</w:t>
            </w:r>
            <w:r w:rsidRPr="00470554">
              <w:rPr>
                <w:rFonts w:eastAsia="맑은 고딕"/>
                <w:lang w:val="en-US" w:eastAsia="ko-KR"/>
              </w:rPr>
              <w:t xml:space="preserve"> respond to reader B’s request.</w:t>
            </w:r>
          </w:p>
          <w:p w14:paraId="5DA1B2C6" w14:textId="7E5A5334" w:rsidR="00B27AFB" w:rsidRDefault="00B27AFB" w:rsidP="00B27AFB">
            <w:pPr>
              <w:rPr>
                <w:rFonts w:eastAsia="MS Mincho" w:hint="eastAsia"/>
                <w:lang w:val="en-US" w:eastAsia="ja-JP"/>
              </w:rPr>
            </w:pPr>
            <w:r w:rsidRPr="00470554">
              <w:rPr>
                <w:rFonts w:eastAsia="맑은 고딕"/>
                <w:lang w:eastAsia="ko-KR"/>
              </w:rPr>
              <w:t xml:space="preserve">As described above, since different service requests do not arrive </w:t>
            </w:r>
            <w:r w:rsidRPr="00470554">
              <w:rPr>
                <w:rFonts w:eastAsia="맑은 고딕" w:hint="eastAsia"/>
                <w:lang w:eastAsia="ko-KR"/>
              </w:rPr>
              <w:t xml:space="preserve">in parallel </w:t>
            </w:r>
            <w:r w:rsidRPr="00470554">
              <w:rPr>
                <w:rFonts w:eastAsia="맑은 고딕"/>
                <w:lang w:eastAsia="ko-KR"/>
              </w:rPr>
              <w:t xml:space="preserve">from the same reader, a device can generally recognize when a request originates from </w:t>
            </w:r>
            <w:r w:rsidRPr="00470554">
              <w:rPr>
                <w:rFonts w:eastAsia="맑은 고딕" w:hint="eastAsia"/>
                <w:lang w:eastAsia="ko-KR"/>
              </w:rPr>
              <w:lastRenderedPageBreak/>
              <w:t>different</w:t>
            </w:r>
            <w:r w:rsidRPr="00470554">
              <w:rPr>
                <w:rFonts w:eastAsia="맑은 고딕"/>
                <w:lang w:eastAsia="ko-KR"/>
              </w:rPr>
              <w:t xml:space="preserve"> readers. However, distinguishing between requests can be challenging</w:t>
            </w:r>
            <w:r w:rsidRPr="00470554">
              <w:rPr>
                <w:rFonts w:eastAsia="맑은 고딕" w:hint="eastAsia"/>
                <w:lang w:eastAsia="ko-KR"/>
              </w:rPr>
              <w:t xml:space="preserve">. For example, </w:t>
            </w:r>
            <w:r w:rsidRPr="00470554">
              <w:rPr>
                <w:rFonts w:eastAsia="맑은 고딕"/>
                <w:lang w:eastAsia="ko-KR"/>
              </w:rPr>
              <w:t xml:space="preserve">if </w:t>
            </w:r>
            <w:r w:rsidRPr="00470554">
              <w:rPr>
                <w:rFonts w:eastAsia="맑은 고딕" w:hint="eastAsia"/>
                <w:lang w:eastAsia="ko-KR"/>
              </w:rPr>
              <w:t xml:space="preserve">a </w:t>
            </w:r>
            <w:r w:rsidRPr="00470554">
              <w:rPr>
                <w:rFonts w:eastAsia="맑은 고딕"/>
                <w:lang w:eastAsia="ko-KR"/>
              </w:rPr>
              <w:t>reader ID is not included in the paging message and the transaction ID remains unchanged across paging messages from different readers. In such cases, the device may not be able to differentiate between a new 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bl>
    <w:p w14:paraId="106AF9F1" w14:textId="77777777" w:rsidR="00773A66" w:rsidRDefault="00773A66"/>
    <w:p w14:paraId="7303456D" w14:textId="77777777" w:rsidR="00773A66" w:rsidRDefault="00B951AA">
      <w:pPr>
        <w:rPr>
          <w:lang w:val="en-US" w:eastAsia="ja-JP"/>
        </w:rPr>
      </w:pPr>
      <w:r>
        <w:rPr>
          <w:b/>
          <w:bCs/>
          <w:lang w:val="en-US" w:eastAsia="ja-JP"/>
        </w:rPr>
        <w:t xml:space="preserve">Summary: </w:t>
      </w:r>
      <w:r>
        <w:rPr>
          <w:lang w:val="en-US" w:eastAsia="ja-JP"/>
        </w:rPr>
        <w:t>TBD</w:t>
      </w:r>
    </w:p>
    <w:p w14:paraId="5F8B4D3F" w14:textId="77777777" w:rsidR="00773A66" w:rsidRDefault="00773A66">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See conment</w:t>
            </w:r>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Pr="00470554" w:rsidRDefault="00BC5E69" w:rsidP="00BC5E69">
            <w:pPr>
              <w:rPr>
                <w:rFonts w:eastAsiaTheme="minorEastAsia"/>
                <w:lang w:val="en-US" w:eastAsia="zh-CN"/>
              </w:rPr>
            </w:pPr>
            <w:r w:rsidRPr="00470554">
              <w:rPr>
                <w:rFonts w:eastAsia="맑은 고딕" w:hint="eastAsia"/>
                <w:lang w:val="en-US" w:eastAsia="ko-KR"/>
              </w:rPr>
              <w:t>LGE</w:t>
            </w:r>
          </w:p>
        </w:tc>
        <w:tc>
          <w:tcPr>
            <w:tcW w:w="1039" w:type="dxa"/>
          </w:tcPr>
          <w:p w14:paraId="59E9129F" w14:textId="79840F65" w:rsidR="00BC5E69" w:rsidRPr="00470554" w:rsidRDefault="00BC5E69" w:rsidP="00BC5E69">
            <w:pPr>
              <w:rPr>
                <w:lang w:val="en-US" w:eastAsia="ja-JP"/>
              </w:rPr>
            </w:pPr>
            <w:r w:rsidRPr="00470554">
              <w:rPr>
                <w:rFonts w:eastAsia="맑은 고딕" w:hint="eastAsia"/>
                <w:lang w:val="en-US" w:eastAsia="ko-KR"/>
              </w:rPr>
              <w:t>Yes</w:t>
            </w:r>
          </w:p>
        </w:tc>
        <w:tc>
          <w:tcPr>
            <w:tcW w:w="7127" w:type="dxa"/>
          </w:tcPr>
          <w:p w14:paraId="5D7C43A0" w14:textId="5A4F8303" w:rsidR="00BC5E69" w:rsidRPr="00470554" w:rsidRDefault="00BC5E69" w:rsidP="00BC5E69">
            <w:pPr>
              <w:rPr>
                <w:lang w:val="en-US" w:eastAsia="ja-JP"/>
              </w:rPr>
            </w:pPr>
            <w:r w:rsidRPr="00470554">
              <w:rPr>
                <w:rFonts w:eastAsia="맑은 고딕" w:hint="eastAsia"/>
                <w:lang w:val="en-US" w:eastAsia="ko-KR"/>
              </w:rPr>
              <w:t>See our response in Q1.</w:t>
            </w:r>
          </w:p>
        </w:tc>
      </w:tr>
      <w:tr w:rsidR="0085030D" w14:paraId="47A4BFBF" w14:textId="77777777">
        <w:tc>
          <w:tcPr>
            <w:tcW w:w="1184" w:type="dxa"/>
          </w:tcPr>
          <w:p w14:paraId="2DAE847E" w14:textId="77777777" w:rsidR="0085030D" w:rsidRPr="0074648D" w:rsidRDefault="0085030D" w:rsidP="00BC5E69">
            <w:pPr>
              <w:rPr>
                <w:rFonts w:eastAsia="맑은 고딕"/>
                <w:color w:val="FF0000"/>
                <w:lang w:val="en-US" w:eastAsia="ko-KR"/>
              </w:rPr>
            </w:pPr>
          </w:p>
        </w:tc>
        <w:tc>
          <w:tcPr>
            <w:tcW w:w="1039" w:type="dxa"/>
          </w:tcPr>
          <w:p w14:paraId="1B1DA38D" w14:textId="77777777" w:rsidR="0085030D" w:rsidRDefault="0085030D" w:rsidP="00BC5E69">
            <w:pPr>
              <w:rPr>
                <w:rFonts w:eastAsia="맑은 고딕"/>
                <w:color w:val="FF0000"/>
                <w:lang w:val="en-US" w:eastAsia="ko-KR"/>
              </w:rPr>
            </w:pPr>
          </w:p>
        </w:tc>
        <w:tc>
          <w:tcPr>
            <w:tcW w:w="7127" w:type="dxa"/>
          </w:tcPr>
          <w:p w14:paraId="5B182087" w14:textId="77777777" w:rsidR="0085030D" w:rsidRPr="00C0589C" w:rsidRDefault="0085030D" w:rsidP="00BC5E69">
            <w:pPr>
              <w:rPr>
                <w:rFonts w:eastAsia="맑은 고딕"/>
                <w:color w:val="FF0000"/>
                <w:lang w:val="en-US" w:eastAsia="ko-KR"/>
              </w:rPr>
            </w:pPr>
          </w:p>
        </w:tc>
      </w:tr>
    </w:tbl>
    <w:p w14:paraId="1272DA4F" w14:textId="77777777" w:rsidR="00773A66" w:rsidRDefault="00773A66"/>
    <w:p w14:paraId="5B2DB535" w14:textId="77777777" w:rsidR="00773A66" w:rsidRDefault="00B951AA">
      <w:pPr>
        <w:rPr>
          <w:lang w:val="en-US" w:eastAsia="ja-JP"/>
        </w:rPr>
      </w:pPr>
      <w:r>
        <w:rPr>
          <w:b/>
          <w:bCs/>
          <w:lang w:val="en-US" w:eastAsia="ja-JP"/>
        </w:rPr>
        <w:t xml:space="preserve">Summary: </w:t>
      </w:r>
      <w:r>
        <w:rPr>
          <w:lang w:val="en-US" w:eastAsia="ja-JP"/>
        </w:rPr>
        <w:t>TBD</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lastRenderedPageBreak/>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r>
              <w:rPr>
                <w:rFonts w:eastAsia="SimSun"/>
                <w:lang w:val="en-US" w:eastAsia="zh-CN"/>
              </w:rPr>
              <w:t>InterDigital</w:t>
            </w:r>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af3"/>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af3"/>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As we 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w:t>
            </w:r>
            <w:r>
              <w:rPr>
                <w:rFonts w:eastAsia="SimSun"/>
                <w:lang w:val="en-US" w:eastAsia="zh-CN"/>
              </w:rPr>
              <w:lastRenderedPageBreak/>
              <w:t>ended (by a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As agreed that “parallel service requests by the same reader is not supported”, Aiot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r>
              <w:rPr>
                <w:rFonts w:eastAsia="SimSun"/>
                <w:lang w:val="en-US" w:eastAsia="zh-CN"/>
              </w:rPr>
              <w:t>Futurewei</w:t>
            </w:r>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r>
              <w:rPr>
                <w:bCs/>
              </w:rPr>
              <w:t>arallel service requests by the same reader is not supported</w:t>
            </w:r>
            <w:r>
              <w:rPr>
                <w:rFonts w:eastAsia="SimSun" w:hint="eastAsia"/>
                <w:bCs/>
                <w:lang w:val="en-US" w:eastAsia="zh-CN"/>
              </w:rPr>
              <w:t>, so this case is not exists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85030D" w14:paraId="62327BBE" w14:textId="77777777">
        <w:tc>
          <w:tcPr>
            <w:tcW w:w="1342" w:type="dxa"/>
          </w:tcPr>
          <w:p w14:paraId="3525B3F2" w14:textId="5C8F0370" w:rsidR="0085030D" w:rsidRPr="0074648D" w:rsidRDefault="0085030D" w:rsidP="0085030D">
            <w:pPr>
              <w:rPr>
                <w:rFonts w:eastAsia="맑은 고딕"/>
                <w:color w:val="FF0000"/>
                <w:lang w:val="en-US" w:eastAsia="ko-KR"/>
              </w:rPr>
            </w:pPr>
            <w:r>
              <w:rPr>
                <w:rFonts w:eastAsia="MS Mincho" w:hint="eastAsia"/>
                <w:lang w:val="en-US" w:eastAsia="ja-JP"/>
              </w:rPr>
              <w:t>Kyocera</w:t>
            </w:r>
          </w:p>
        </w:tc>
        <w:tc>
          <w:tcPr>
            <w:tcW w:w="7650" w:type="dxa"/>
          </w:tcPr>
          <w:p w14:paraId="02751EFD" w14:textId="7583D7A5" w:rsidR="0085030D" w:rsidRPr="008F0BCA" w:rsidRDefault="0085030D" w:rsidP="0085030D">
            <w:pPr>
              <w:rPr>
                <w:rFonts w:eastAsia="맑은 고딕"/>
                <w:color w:val="FF0000"/>
                <w:lang w:val="en-US" w:eastAsia="ko-KR"/>
              </w:rPr>
            </w:pPr>
            <w:r>
              <w:rPr>
                <w:rFonts w:eastAsia="MS Mincho" w:hint="eastAsia"/>
                <w:lang w:val="en-US" w:eastAsia="ja-JP"/>
              </w:rPr>
              <w:t xml:space="preserve">We agree with other companies that RAN2 agreed </w:t>
            </w:r>
            <w:r>
              <w:rPr>
                <w:rFonts w:eastAsia="MS Mincho"/>
                <w:lang w:val="en-US" w:eastAsia="ja-JP"/>
              </w:rPr>
              <w:t>“</w:t>
            </w:r>
            <w:r w:rsidRPr="0086351F">
              <w:rPr>
                <w:rFonts w:eastAsia="MS Mincho"/>
                <w:i/>
                <w:iCs/>
                <w:lang w:val="en-US" w:eastAsia="ja-JP"/>
              </w:rPr>
              <w:t>Parallel service requests by the same reader is not supported</w:t>
            </w:r>
            <w:r>
              <w:rPr>
                <w:rFonts w:eastAsia="MS Mincho"/>
                <w:lang w:val="en-US" w:eastAsia="ja-JP"/>
              </w:rPr>
              <w:t>”</w:t>
            </w:r>
            <w:r>
              <w:rPr>
                <w:rFonts w:eastAsia="MS Mincho" w:hint="eastAsia"/>
                <w:lang w:val="en-US" w:eastAsia="ja-JP"/>
              </w:rPr>
              <w:t xml:space="preserve">, so this case </w:t>
            </w:r>
            <w:r>
              <w:rPr>
                <w:rFonts w:eastAsia="MS Mincho"/>
                <w:lang w:val="en-US" w:eastAsia="ja-JP"/>
              </w:rPr>
              <w:t>should</w:t>
            </w:r>
            <w:r>
              <w:rPr>
                <w:rFonts w:eastAsia="MS Mincho" w:hint="eastAsia"/>
                <w:lang w:val="en-US" w:eastAsia="ja-JP"/>
              </w:rPr>
              <w:t xml:space="preserve"> be avoided by reader implementations. </w:t>
            </w:r>
          </w:p>
        </w:tc>
      </w:tr>
      <w:tr w:rsidR="00B27AFB" w14:paraId="5D1EE047" w14:textId="77777777">
        <w:tc>
          <w:tcPr>
            <w:tcW w:w="1342" w:type="dxa"/>
          </w:tcPr>
          <w:p w14:paraId="4DF8BE3E" w14:textId="00BC4E92" w:rsidR="00B27AFB" w:rsidRDefault="00B27AFB" w:rsidP="00B27AFB">
            <w:pPr>
              <w:rPr>
                <w:rFonts w:eastAsia="MS Mincho" w:hint="eastAsia"/>
                <w:lang w:val="en-US" w:eastAsia="ja-JP"/>
              </w:rPr>
            </w:pPr>
            <w:r w:rsidRPr="00470554">
              <w:rPr>
                <w:rFonts w:eastAsia="맑은 고딕" w:hint="eastAsia"/>
                <w:lang w:val="en-US" w:eastAsia="ko-KR"/>
              </w:rPr>
              <w:t>LGE</w:t>
            </w:r>
          </w:p>
        </w:tc>
        <w:tc>
          <w:tcPr>
            <w:tcW w:w="7650" w:type="dxa"/>
          </w:tcPr>
          <w:p w14:paraId="531EE98A" w14:textId="77777777" w:rsidR="00B27AFB" w:rsidRPr="00470554" w:rsidRDefault="00B27AFB" w:rsidP="00B27AFB">
            <w:pPr>
              <w:rPr>
                <w:rFonts w:eastAsia="맑은 고딕"/>
                <w:lang w:val="en-US" w:eastAsia="ko-KR"/>
              </w:rPr>
            </w:pPr>
            <w:r w:rsidRPr="00470554">
              <w:rPr>
                <w:rFonts w:eastAsia="맑은 고딕"/>
                <w:lang w:val="en-US" w:eastAsia="ko-KR"/>
              </w:rPr>
              <w:t>As other companies have commented, we can assume that this scenario—where another (different) service request is received from the same reader while an ongoing procedure is still in progress—does not occur.</w:t>
            </w:r>
          </w:p>
          <w:p w14:paraId="63F23D4E" w14:textId="77777777" w:rsidR="00B27AFB" w:rsidRPr="00470554" w:rsidRDefault="00B27AFB" w:rsidP="00B27AFB">
            <w:pPr>
              <w:rPr>
                <w:rFonts w:eastAsia="맑은 고딕"/>
                <w:lang w:val="en-US" w:eastAsia="ko-KR"/>
              </w:rPr>
            </w:pPr>
            <w:r w:rsidRPr="00470554">
              <w:rPr>
                <w:rFonts w:eastAsia="맑은 고딕"/>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5AA73EBE" w14:textId="5F26CD66" w:rsidR="00B27AFB" w:rsidRDefault="00B27AFB" w:rsidP="00B27AFB">
            <w:pPr>
              <w:rPr>
                <w:rFonts w:eastAsia="MS Mincho" w:hint="eastAsia"/>
                <w:lang w:val="en-US" w:eastAsia="ja-JP"/>
              </w:rPr>
            </w:pPr>
            <w:r w:rsidRPr="00470554">
              <w:rPr>
                <w:rFonts w:eastAsia="맑은 고딕"/>
                <w:lang w:val="en-US" w:eastAsia="ko-KR"/>
              </w:rPr>
              <w:t>Therefore, in this same-reader case, no different device behavior is needed.</w:t>
            </w:r>
          </w:p>
        </w:tc>
      </w:tr>
    </w:tbl>
    <w:p w14:paraId="347C6352" w14:textId="77777777" w:rsidR="00773A66" w:rsidRDefault="00773A66"/>
    <w:p w14:paraId="22FB0726" w14:textId="77777777" w:rsidR="00773A66" w:rsidRDefault="00B951AA">
      <w:pPr>
        <w:rPr>
          <w:lang w:val="en-US" w:eastAsia="ja-JP"/>
        </w:rPr>
      </w:pPr>
      <w:r>
        <w:rPr>
          <w:b/>
          <w:bCs/>
          <w:lang w:val="en-US" w:eastAsia="ja-JP"/>
        </w:rPr>
        <w:t xml:space="preserve">Summary: </w:t>
      </w:r>
      <w:r>
        <w:rPr>
          <w:lang w:val="en-US" w:eastAsia="ja-JP"/>
        </w:rPr>
        <w:t>TBD</w:t>
      </w:r>
    </w:p>
    <w:p w14:paraId="134E05CA" w14:textId="77777777"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lastRenderedPageBreak/>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Therefore, this issue has to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r>
              <w:rPr>
                <w:rFonts w:eastAsia="SimSun" w:hint="eastAsia"/>
                <w:lang w:val="en-US" w:eastAsia="zh-CN"/>
              </w:rPr>
              <w:t xml:space="preserve">hebavior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lastRenderedPageBreak/>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For those devices which have already finished their RA/data transmission procedure (successfully or failed) within the current Paging procedure, if the device can determine by some way that the latter Paging message was triggered by a CN AIoT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r>
              <w:rPr>
                <w:rFonts w:eastAsia="SimSun"/>
                <w:lang w:val="en-US" w:eastAsia="zh-CN"/>
              </w:rPr>
              <w:t>InterDigital</w:t>
            </w:r>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af3"/>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af3"/>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8D005F2" w14:textId="77777777" w:rsidR="00773A66" w:rsidRDefault="00B951AA">
            <w:pPr>
              <w:pStyle w:val="af3"/>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af3"/>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lastRenderedPageBreak/>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r>
              <w:rPr>
                <w:rFonts w:eastAsia="SimSun"/>
                <w:lang w:val="en-US" w:eastAsia="zh-CN"/>
              </w:rPr>
              <w:t>Futurewei</w:t>
            </w:r>
          </w:p>
        </w:tc>
        <w:tc>
          <w:tcPr>
            <w:tcW w:w="7602" w:type="dxa"/>
          </w:tcPr>
          <w:p w14:paraId="196F1D06" w14:textId="77777777"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inline with the subsequent paging mechanism.</w:t>
            </w:r>
          </w:p>
          <w:p w14:paraId="0C1907B0" w14:textId="77777777" w:rsidR="00773A66" w:rsidRDefault="00B951AA">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r>
              <w:rPr>
                <w:rFonts w:eastAsia="SimSun" w:hint="eastAsia"/>
                <w:lang w:val="en-US" w:eastAsia="zh-CN"/>
              </w:rPr>
              <w:t>Transsion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view,  the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85030D" w14:paraId="5D50B066" w14:textId="77777777">
        <w:tc>
          <w:tcPr>
            <w:tcW w:w="1714" w:type="dxa"/>
          </w:tcPr>
          <w:p w14:paraId="1624799A" w14:textId="7D17098A" w:rsidR="0085030D" w:rsidRPr="0074648D" w:rsidRDefault="0085030D" w:rsidP="0085030D">
            <w:pPr>
              <w:rPr>
                <w:rFonts w:eastAsia="맑은 고딕"/>
                <w:color w:val="FF0000"/>
                <w:lang w:val="en-US" w:eastAsia="ko-KR"/>
              </w:rPr>
            </w:pPr>
            <w:r>
              <w:rPr>
                <w:rFonts w:eastAsia="MS Mincho"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MS Mincho" w:hint="eastAsia"/>
                <w:lang w:val="en-US" w:eastAsia="ja-JP"/>
              </w:rPr>
              <w:t>We assume, regardless of whether it</w:t>
            </w:r>
            <w:r>
              <w:rPr>
                <w:rFonts w:eastAsia="MS Mincho"/>
                <w:lang w:val="en-US" w:eastAsia="ja-JP"/>
              </w:rPr>
              <w:t>’</w:t>
            </w:r>
            <w:r>
              <w:rPr>
                <w:rFonts w:eastAsia="MS Mincho" w:hint="eastAsia"/>
                <w:lang w:val="en-US" w:eastAsia="ja-JP"/>
              </w:rPr>
              <w:t xml:space="preserve">s sent from the same reader or a different reader, the device behaviour during the procedure is performed is just to ignore another service request, since RAN2 agreed </w:t>
            </w:r>
            <w:r>
              <w:rPr>
                <w:rFonts w:eastAsia="MS Mincho"/>
                <w:lang w:val="en-US" w:eastAsia="ja-JP"/>
              </w:rPr>
              <w:t>“</w:t>
            </w:r>
            <w:r w:rsidRPr="00F575E3">
              <w:rPr>
                <w:rFonts w:eastAsia="MS Mincho"/>
                <w:i/>
                <w:iCs/>
                <w:lang w:val="en-US" w:eastAsia="ja-JP"/>
              </w:rPr>
              <w:t>The device is expected to only perform one procedure at a time</w:t>
            </w:r>
            <w:r w:rsidRPr="00F575E3">
              <w:rPr>
                <w:rFonts w:eastAsia="MS Mincho" w:hint="eastAsia"/>
                <w:i/>
                <w:iCs/>
                <w:lang w:val="en-US" w:eastAsia="ja-JP"/>
              </w:rPr>
              <w:t>.</w:t>
            </w:r>
            <w:r>
              <w:rPr>
                <w:rFonts w:eastAsia="MS Mincho"/>
                <w:lang w:val="en-US" w:eastAsia="ja-JP"/>
              </w:rPr>
              <w:t>”</w:t>
            </w:r>
            <w:r>
              <w:rPr>
                <w:rFonts w:eastAsia="MS Mincho" w:hint="eastAsia"/>
                <w:lang w:val="en-US" w:eastAsia="ja-JP"/>
              </w:rPr>
              <w:t xml:space="preserve"> </w:t>
            </w:r>
          </w:p>
        </w:tc>
      </w:tr>
      <w:tr w:rsidR="00001F9C" w14:paraId="479A5190" w14:textId="77777777">
        <w:tc>
          <w:tcPr>
            <w:tcW w:w="1714" w:type="dxa"/>
          </w:tcPr>
          <w:p w14:paraId="56B9F8B3" w14:textId="202817AD" w:rsidR="00001F9C" w:rsidRDefault="00001F9C" w:rsidP="00001F9C">
            <w:pPr>
              <w:rPr>
                <w:rFonts w:eastAsia="MS Mincho" w:hint="eastAsia"/>
                <w:lang w:val="en-US" w:eastAsia="ja-JP"/>
              </w:rPr>
            </w:pPr>
            <w:r w:rsidRPr="00470554">
              <w:rPr>
                <w:rFonts w:eastAsia="맑은 고딕" w:hint="eastAsia"/>
                <w:lang w:val="en-US" w:eastAsia="ko-KR"/>
              </w:rPr>
              <w:t>LGE</w:t>
            </w:r>
          </w:p>
        </w:tc>
        <w:tc>
          <w:tcPr>
            <w:tcW w:w="7602" w:type="dxa"/>
          </w:tcPr>
          <w:p w14:paraId="3786C0AC" w14:textId="3D20FBD9" w:rsidR="00001F9C" w:rsidRDefault="00001F9C" w:rsidP="00001F9C">
            <w:pPr>
              <w:rPr>
                <w:rFonts w:eastAsia="MS Mincho" w:hint="eastAsia"/>
                <w:lang w:val="en-US" w:eastAsia="ja-JP"/>
              </w:rPr>
            </w:pPr>
            <w:r w:rsidRPr="00470554">
              <w:rPr>
                <w:rFonts w:eastAsia="SimSun"/>
                <w:lang w:eastAsia="zh-CN"/>
              </w:rPr>
              <w:t xml:space="preserve">As we </w:t>
            </w:r>
            <w:r w:rsidRPr="00470554">
              <w:rPr>
                <w:rFonts w:eastAsia="맑은 고딕" w:hint="eastAsia"/>
                <w:lang w:eastAsia="ko-KR"/>
              </w:rPr>
              <w:t>answered</w:t>
            </w:r>
            <w:r w:rsidRPr="00470554">
              <w:rPr>
                <w:rFonts w:eastAsia="SimSun"/>
                <w:lang w:eastAsia="zh-CN"/>
              </w:rPr>
              <w:t xml:space="preserve"> in Q1, if another (different) service request is received from a different reader while an ongoing procedure is in progress, the device behaviour can be as follows: For devices that have already completed their operation for the ongoing procedure, if the device</w:t>
            </w:r>
            <w:r w:rsidRPr="00470554">
              <w:rPr>
                <w:rFonts w:eastAsia="맑은 고딕" w:hint="eastAsia"/>
                <w:lang w:eastAsia="ko-KR"/>
              </w:rPr>
              <w:t>s</w:t>
            </w:r>
            <w:r w:rsidRPr="00470554">
              <w:rPr>
                <w:rFonts w:eastAsia="SimSun"/>
                <w:lang w:eastAsia="zh-CN"/>
              </w:rPr>
              <w:t xml:space="preserve"> can recognize that the </w:t>
            </w:r>
            <w:r w:rsidRPr="00470554">
              <w:rPr>
                <w:rFonts w:eastAsia="맑은 고딕" w:hint="eastAsia"/>
                <w:lang w:eastAsia="ko-KR"/>
              </w:rPr>
              <w:t>newly received</w:t>
            </w:r>
            <w:r w:rsidRPr="00470554">
              <w:rPr>
                <w:rFonts w:eastAsia="SimSun"/>
                <w:lang w:eastAsia="zh-CN"/>
              </w:rPr>
              <w:t xml:space="preserve"> </w:t>
            </w:r>
            <w:r w:rsidRPr="00470554">
              <w:rPr>
                <w:rFonts w:eastAsia="맑은 고딕" w:hint="eastAsia"/>
                <w:lang w:eastAsia="ko-KR"/>
              </w:rPr>
              <w:t>p</w:t>
            </w:r>
            <w:r w:rsidRPr="00470554">
              <w:rPr>
                <w:rFonts w:eastAsia="SimSun"/>
                <w:lang w:eastAsia="zh-CN"/>
              </w:rPr>
              <w:t>aging message</w:t>
            </w:r>
            <w:r w:rsidRPr="00470554">
              <w:rPr>
                <w:rFonts w:eastAsia="맑은 고딕" w:hint="eastAsia"/>
                <w:lang w:eastAsia="ko-KR"/>
              </w:rPr>
              <w:t xml:space="preserve"> is </w:t>
            </w:r>
            <w:r w:rsidRPr="00470554">
              <w:rPr>
                <w:rFonts w:eastAsia="SimSun"/>
                <w:lang w:eastAsia="zh-CN"/>
              </w:rPr>
              <w:t xml:space="preserve">sent by a different reader, it may </w:t>
            </w:r>
            <w:r w:rsidRPr="00470554">
              <w:rPr>
                <w:rFonts w:eastAsia="맑은 고딕" w:hint="eastAsia"/>
                <w:lang w:eastAsia="ko-KR"/>
              </w:rPr>
              <w:t xml:space="preserve">be able to </w:t>
            </w:r>
            <w:r w:rsidRPr="00470554">
              <w:rPr>
                <w:rFonts w:eastAsia="SimSun"/>
                <w:lang w:eastAsia="zh-CN"/>
              </w:rPr>
              <w:t xml:space="preserve">respond to the new </w:t>
            </w:r>
            <w:r w:rsidRPr="00470554">
              <w:rPr>
                <w:rFonts w:eastAsia="맑은 고딕" w:hint="eastAsia"/>
                <w:lang w:eastAsia="ko-KR"/>
              </w:rPr>
              <w:t>p</w:t>
            </w:r>
            <w:r w:rsidRPr="00470554">
              <w:rPr>
                <w:rFonts w:eastAsia="SimSun"/>
                <w:lang w:eastAsia="zh-CN"/>
              </w:rPr>
              <w:t>aging message.</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77777777" w:rsidR="00773A66" w:rsidRDefault="00773A66"/>
    <w:p w14:paraId="76AE8E6A" w14:textId="77777777" w:rsidR="00773A66" w:rsidRDefault="00773A66"/>
    <w:p w14:paraId="219A6109" w14:textId="77777777" w:rsidR="00773A66" w:rsidRDefault="00B951AA">
      <w:r>
        <w:lastRenderedPageBreak/>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w:t>
            </w:r>
            <w:r>
              <w:rPr>
                <w:rFonts w:eastAsiaTheme="minorEastAsia"/>
                <w:lang w:val="en-US" w:eastAsia="zh-CN"/>
              </w:rPr>
              <w:lastRenderedPageBreak/>
              <w:t>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맑은 고딕"/>
                <w:lang w:val="en-US" w:eastAsia="ko-KR"/>
              </w:rPr>
            </w:pPr>
            <w:r>
              <w:rPr>
                <w:rFonts w:eastAsia="SimSun" w:hint="eastAsia"/>
                <w:lang w:val="en-US" w:eastAsia="zh-CN"/>
              </w:rPr>
              <w:lastRenderedPageBreak/>
              <w:t>H</w:t>
            </w:r>
            <w:r>
              <w:rPr>
                <w:rFonts w:eastAsia="SimSun"/>
                <w:lang w:val="en-US" w:eastAsia="zh-CN"/>
              </w:rPr>
              <w:t>uawei, HiSilicon</w:t>
            </w:r>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w:t>
            </w:r>
            <w:r>
              <w:rPr>
                <w:rFonts w:eastAsia="SimSun"/>
                <w:lang w:val="en-US" w:eastAsia="zh-CN"/>
              </w:rPr>
              <w:lastRenderedPageBreak/>
              <w:t xml:space="preserve">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lastRenderedPageBreak/>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included.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Similar as the discussion for Q1, we think for Q5, we also needs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As mentioned in some above comments, RAN2 has already agreed that one reader (e.g., reader-A) can trigger multiple Paging (rounds) for the same service request to increase the successful AIoT inventory rate, so we understand the Scenario #3 is possible, e.g., another Paging corresponding to the same AIoT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Meanwhile, it’s also possible that an adjacent reader, e.g., reader-B receives same CN AIoT service (targeting the same group of devices) as that received by reader-A. The possible reason for this could be that one CN AIoT service request is sent to multiple AIoT readers, e.g., reader-A and B (due to that CN has no priori/existing knowledge on the association between the reader and the target devices). So we understand from network perspective, the Scenario #4 may be possible:</w:t>
            </w:r>
          </w:p>
          <w:p w14:paraId="3272D368"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AIoT service request, it is unlikely the device could demodulate two paging messages at the same time. </w:t>
            </w:r>
          </w:p>
          <w:p w14:paraId="7A25175E"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r>
              <w:rPr>
                <w:rFonts w:eastAsiaTheme="minorEastAsia"/>
                <w:lang w:val="en-US" w:eastAsia="zh-CN"/>
              </w:rPr>
              <w:lastRenderedPageBreak/>
              <w:t>InterDigital</w:t>
            </w:r>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No,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77777777" w:rsidR="00773A66" w:rsidRDefault="00773A66">
            <w:pPr>
              <w:rPr>
                <w:rFonts w:eastAsiaTheme="minorEastAsia"/>
                <w:lang w:val="en-US" w:eastAsia="zh-CN"/>
              </w:rPr>
            </w:pP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af3"/>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af3"/>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af3"/>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af3"/>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lastRenderedPageBreak/>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lastRenderedPageBreak/>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s we response in Q1, a common transaction ID could avoid to distinguish this case.</w:t>
            </w:r>
          </w:p>
        </w:tc>
      </w:tr>
      <w:tr w:rsidR="00773A66" w14:paraId="38785B2E" w14:textId="77777777">
        <w:tc>
          <w:tcPr>
            <w:tcW w:w="1200" w:type="dxa"/>
          </w:tcPr>
          <w:p w14:paraId="066FEA3B" w14:textId="77777777" w:rsidR="00773A66" w:rsidRDefault="00B951AA">
            <w:pPr>
              <w:rPr>
                <w:rFonts w:eastAsia="SimSun"/>
                <w:lang w:val="en-US" w:eastAsia="zh-CN"/>
              </w:rPr>
            </w:pPr>
            <w:r>
              <w:rPr>
                <w:rFonts w:eastAsia="SimSun"/>
                <w:lang w:val="en-US" w:eastAsia="zh-CN"/>
              </w:rPr>
              <w:t>Futurewei</w:t>
            </w:r>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r>
              <w:rPr>
                <w:rFonts w:eastAsia="SimSun" w:hint="eastAsia"/>
                <w:lang w:val="en-US" w:eastAsia="zh-CN"/>
              </w:rPr>
              <w:t>Transsion  Holdings</w:t>
            </w:r>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r>
              <w:rPr>
                <w:rFonts w:eastAsia="SimSun" w:hint="eastAsia"/>
                <w:lang w:val="en-US" w:eastAsia="zh-CN"/>
              </w:rPr>
              <w:t xml:space="preserve">We  think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85030D" w14:paraId="59B96A44" w14:textId="77777777">
        <w:tc>
          <w:tcPr>
            <w:tcW w:w="1200" w:type="dxa"/>
          </w:tcPr>
          <w:p w14:paraId="2D223055" w14:textId="4347AE1E"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1472" w:type="dxa"/>
          </w:tcPr>
          <w:p w14:paraId="13A4EC0C" w14:textId="2FEF8346" w:rsidR="0085030D" w:rsidRPr="002305C2" w:rsidRDefault="0085030D" w:rsidP="0085030D">
            <w:pPr>
              <w:rPr>
                <w:rFonts w:eastAsia="맑은 고딕"/>
                <w:color w:val="FF0000"/>
                <w:lang w:val="en-US" w:eastAsia="ko-KR"/>
              </w:rPr>
            </w:pPr>
            <w:r>
              <w:rPr>
                <w:rFonts w:eastAsia="MS Mincho"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MS Mincho"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r w:rsidR="00CC39A4" w14:paraId="53939429" w14:textId="77777777">
        <w:tc>
          <w:tcPr>
            <w:tcW w:w="1200" w:type="dxa"/>
          </w:tcPr>
          <w:p w14:paraId="2BF6DF2F" w14:textId="060A0F13" w:rsidR="00CC39A4" w:rsidRDefault="00CC39A4" w:rsidP="00CC39A4">
            <w:pPr>
              <w:rPr>
                <w:rFonts w:eastAsia="MS Mincho" w:hint="eastAsia"/>
                <w:lang w:val="en-US" w:eastAsia="ja-JP"/>
              </w:rPr>
            </w:pPr>
            <w:r w:rsidRPr="00470554">
              <w:rPr>
                <w:rFonts w:eastAsia="맑은 고딕" w:hint="eastAsia"/>
                <w:lang w:val="en-US" w:eastAsia="ko-KR"/>
              </w:rPr>
              <w:t>LGE</w:t>
            </w:r>
          </w:p>
        </w:tc>
        <w:tc>
          <w:tcPr>
            <w:tcW w:w="1472" w:type="dxa"/>
          </w:tcPr>
          <w:p w14:paraId="38DCE36B" w14:textId="4AF0EDEB" w:rsidR="00CC39A4" w:rsidRDefault="00CC39A4" w:rsidP="00CC39A4">
            <w:pPr>
              <w:rPr>
                <w:rFonts w:eastAsia="MS Mincho" w:hint="eastAsia"/>
                <w:lang w:val="en-US" w:eastAsia="ja-JP"/>
              </w:rPr>
            </w:pPr>
            <w:r w:rsidRPr="00470554">
              <w:rPr>
                <w:rFonts w:eastAsia="맑은 고딕" w:hint="eastAsia"/>
                <w:lang w:val="en-US" w:eastAsia="ko-KR"/>
              </w:rPr>
              <w:t>Yes</w:t>
            </w:r>
          </w:p>
        </w:tc>
        <w:tc>
          <w:tcPr>
            <w:tcW w:w="6678" w:type="dxa"/>
          </w:tcPr>
          <w:p w14:paraId="17E43C0C" w14:textId="77777777" w:rsidR="00CC39A4" w:rsidRPr="00470554" w:rsidRDefault="00CC39A4" w:rsidP="00CC39A4">
            <w:pPr>
              <w:rPr>
                <w:rFonts w:eastAsia="맑은 고딕"/>
                <w:lang w:val="en-US" w:eastAsia="ko-KR"/>
              </w:rPr>
            </w:pPr>
            <w:r w:rsidRPr="00470554">
              <w:rPr>
                <w:rFonts w:eastAsia="SimSun"/>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470554">
              <w:rPr>
                <w:rFonts w:eastAsia="맑은 고딕" w:hint="eastAsia"/>
                <w:lang w:val="en-US" w:eastAsia="ko-KR"/>
              </w:rPr>
              <w:t xml:space="preserve"> </w:t>
            </w:r>
            <w:r w:rsidRPr="00470554">
              <w:rPr>
                <w:rFonts w:eastAsia="SimSun"/>
                <w:lang w:val="en-US" w:eastAsia="zh-CN"/>
              </w:rPr>
              <w:t xml:space="preserve">If a new transaction ID is received, the device should respond accordingly. </w:t>
            </w:r>
          </w:p>
          <w:p w14:paraId="29E04C83" w14:textId="77777777" w:rsidR="00CC39A4" w:rsidRPr="00470554" w:rsidRDefault="00CC39A4" w:rsidP="00CC39A4">
            <w:pPr>
              <w:rPr>
                <w:rFonts w:eastAsia="맑은 고딕"/>
                <w:lang w:eastAsia="ko-KR"/>
              </w:rPr>
            </w:pPr>
            <w:r w:rsidRPr="00470554">
              <w:rPr>
                <w:rFonts w:eastAsia="SimSun"/>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470554">
              <w:rPr>
                <w:rFonts w:eastAsia="맑은 고딕" w:hint="eastAsia"/>
                <w:lang w:eastAsia="ko-KR"/>
              </w:rPr>
              <w:t>service</w:t>
            </w:r>
            <w:r w:rsidRPr="00470554">
              <w:rPr>
                <w:rFonts w:eastAsia="SimSun"/>
                <w:lang w:eastAsia="zh-CN"/>
              </w:rPr>
              <w:t xml:space="preserve">. However, as pointed out by RAN3, for location purposes, it may be necessary to </w:t>
            </w:r>
            <w:r w:rsidRPr="00470554">
              <w:rPr>
                <w:rFonts w:eastAsia="SimSun"/>
                <w:lang w:eastAsia="zh-CN"/>
              </w:rPr>
              <w:lastRenderedPageBreak/>
              <w:t>send the same service request to multiple readers, and the device may need to respond to each reader separately.</w:t>
            </w:r>
          </w:p>
          <w:p w14:paraId="1CE40141" w14:textId="77777777" w:rsidR="00CC39A4" w:rsidRPr="00470554" w:rsidRDefault="00CC39A4" w:rsidP="00CC39A4">
            <w:pPr>
              <w:rPr>
                <w:rFonts w:eastAsia="맑은 고딕"/>
                <w:lang w:eastAsia="ko-KR"/>
              </w:rPr>
            </w:pPr>
            <w:r w:rsidRPr="00470554">
              <w:rPr>
                <w:rFonts w:eastAsia="맑은 고딕"/>
                <w:lang w:eastAsia="ko-KR"/>
              </w:rPr>
              <w:t>At least for the last-mentioned location purposes, we believe that the device should be able to distinguish whether the same service request is received from the same reader or from a different reader.</w:t>
            </w:r>
          </w:p>
          <w:p w14:paraId="0D0D5571" w14:textId="7210CEE9" w:rsidR="00CC39A4" w:rsidRDefault="00CC39A4" w:rsidP="00CC39A4">
            <w:pPr>
              <w:rPr>
                <w:rFonts w:eastAsia="MS Mincho" w:hint="eastAsia"/>
                <w:lang w:val="en-US" w:eastAsia="ja-JP"/>
              </w:rPr>
            </w:pPr>
            <w:r w:rsidRPr="00470554">
              <w:rPr>
                <w:rFonts w:eastAsia="맑은 고딕"/>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77777777" w:rsidR="00773A66" w:rsidRDefault="00773A66"/>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맑은 고딕"/>
                <w:lang w:val="en-US" w:eastAsia="ko-KR"/>
              </w:rPr>
            </w:pPr>
            <w:r>
              <w:rPr>
                <w:rFonts w:eastAsia="맑은 고딕"/>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The device behaviour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맑은 고딕"/>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맑은 고딕"/>
                <w:lang w:val="en-US" w:eastAsia="ko-KR"/>
              </w:rPr>
            </w:pPr>
            <w:r>
              <w:rPr>
                <w:rFonts w:eastAsia="맑은 고딕"/>
                <w:lang w:val="en-US" w:eastAsia="ko-KR"/>
              </w:rPr>
              <w:t>InterDigital</w:t>
            </w:r>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맑은 고딕"/>
                <w:lang w:val="en-US" w:eastAsia="ko-KR"/>
              </w:rPr>
            </w:pPr>
            <w:r>
              <w:rPr>
                <w:rFonts w:eastAsia="맑은 고딕"/>
                <w:lang w:val="en-US" w:eastAsia="ko-KR"/>
              </w:rPr>
              <w:t>MedisTek</w:t>
            </w:r>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773A66" w14:paraId="7B8B5A5C" w14:textId="77777777">
        <w:tc>
          <w:tcPr>
            <w:tcW w:w="1185" w:type="dxa"/>
          </w:tcPr>
          <w:p w14:paraId="74E93FC7" w14:textId="77777777" w:rsidR="00773A66" w:rsidRDefault="00B951AA">
            <w:pPr>
              <w:rPr>
                <w:rFonts w:eastAsia="맑은 고딕"/>
                <w:lang w:val="en-US" w:eastAsia="ko-KR"/>
              </w:rPr>
            </w:pPr>
            <w:r>
              <w:rPr>
                <w:rFonts w:eastAsia="맑은 고딕"/>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Agree with Mediatek</w:t>
            </w:r>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lastRenderedPageBreak/>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470554" w:rsidRDefault="00BC5E69" w:rsidP="00BC5E69">
            <w:pPr>
              <w:rPr>
                <w:rFonts w:eastAsiaTheme="minorEastAsia"/>
                <w:lang w:val="en-US" w:eastAsia="zh-CN"/>
              </w:rPr>
            </w:pPr>
            <w:r w:rsidRPr="00470554">
              <w:rPr>
                <w:rFonts w:eastAsia="맑은 고딕" w:hint="eastAsia"/>
                <w:lang w:val="en-US" w:eastAsia="ko-KR"/>
              </w:rPr>
              <w:t>LGE</w:t>
            </w:r>
          </w:p>
        </w:tc>
        <w:tc>
          <w:tcPr>
            <w:tcW w:w="1238" w:type="dxa"/>
          </w:tcPr>
          <w:p w14:paraId="5DAE8C02" w14:textId="5A031B37" w:rsidR="00BC5E69" w:rsidRPr="00470554" w:rsidRDefault="00BC5E69" w:rsidP="00BC5E69">
            <w:pPr>
              <w:rPr>
                <w:rFonts w:eastAsiaTheme="minorEastAsia"/>
                <w:lang w:val="en-US" w:eastAsia="zh-CN"/>
              </w:rPr>
            </w:pPr>
            <w:r w:rsidRPr="00470554">
              <w:rPr>
                <w:rFonts w:eastAsia="맑은 고딕" w:hint="eastAsia"/>
                <w:lang w:val="en-US" w:eastAsia="ko-KR"/>
              </w:rPr>
              <w:t>Yes</w:t>
            </w:r>
          </w:p>
        </w:tc>
        <w:tc>
          <w:tcPr>
            <w:tcW w:w="6927" w:type="dxa"/>
          </w:tcPr>
          <w:p w14:paraId="0C3E15E7" w14:textId="4437E7DE" w:rsidR="00BC5E69" w:rsidRPr="00470554" w:rsidRDefault="00BC5E69" w:rsidP="00BC5E69">
            <w:pPr>
              <w:rPr>
                <w:rFonts w:eastAsiaTheme="minorEastAsia"/>
                <w:lang w:val="en-US" w:eastAsia="zh-CN"/>
              </w:rPr>
            </w:pPr>
            <w:r w:rsidRPr="00470554">
              <w:rPr>
                <w:rFonts w:eastAsia="맑은 고딕" w:hint="eastAsia"/>
                <w:lang w:val="en-US" w:eastAsia="ko-KR"/>
              </w:rPr>
              <w:t>See our response in Q5. Similar view as Lenovo and OPPO.</w:t>
            </w:r>
          </w:p>
        </w:tc>
      </w:tr>
    </w:tbl>
    <w:p w14:paraId="5CF71EEC" w14:textId="77777777" w:rsidR="00773A66" w:rsidRDefault="00773A66"/>
    <w:p w14:paraId="0F6A328E" w14:textId="77777777" w:rsidR="00773A66" w:rsidRDefault="00B951AA">
      <w:pPr>
        <w:rPr>
          <w:lang w:val="en-US" w:eastAsia="ja-JP"/>
        </w:rPr>
      </w:pPr>
      <w:r>
        <w:rPr>
          <w:b/>
          <w:bCs/>
          <w:lang w:val="en-US" w:eastAsia="ja-JP"/>
        </w:rPr>
        <w:t xml:space="preserve">Summary: </w:t>
      </w:r>
      <w:r>
        <w:rPr>
          <w:lang w:val="en-US" w:eastAsia="ja-JP"/>
        </w:rPr>
        <w:t>TBD</w:t>
      </w:r>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lastRenderedPageBreak/>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AIoT service request need to be </w:t>
            </w:r>
            <w:r>
              <w:rPr>
                <w:rFonts w:eastAsiaTheme="minorEastAsia"/>
                <w:b/>
                <w:lang w:val="en-US" w:eastAsia="zh-CN"/>
              </w:rPr>
              <w:t>same</w:t>
            </w:r>
            <w:r>
              <w:rPr>
                <w:rFonts w:eastAsiaTheme="minorEastAsia"/>
                <w:lang w:val="en-US" w:eastAsia="zh-CN"/>
              </w:rPr>
              <w:t>. By this way the device can determine whether the Paging messages received previously and subsequently belong to the same AIoT service.</w:t>
            </w:r>
          </w:p>
        </w:tc>
      </w:tr>
      <w:tr w:rsidR="00773A66" w14:paraId="20323658" w14:textId="77777777">
        <w:tc>
          <w:tcPr>
            <w:tcW w:w="1342" w:type="dxa"/>
          </w:tcPr>
          <w:p w14:paraId="003EE5ED" w14:textId="77777777" w:rsidR="00773A66" w:rsidRDefault="00B951AA">
            <w:pPr>
              <w:rPr>
                <w:rFonts w:eastAsiaTheme="minorEastAsia"/>
                <w:lang w:val="en-US" w:eastAsia="zh-CN"/>
              </w:rPr>
            </w:pPr>
            <w:r>
              <w:rPr>
                <w:rFonts w:eastAsiaTheme="minorEastAsia"/>
                <w:lang w:val="en-US" w:eastAsia="zh-CN"/>
              </w:rPr>
              <w:lastRenderedPageBreak/>
              <w:t>InterDigital</w:t>
            </w:r>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af3"/>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af3"/>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r>
              <w:rPr>
                <w:rFonts w:eastAsia="SimSun"/>
                <w:lang w:val="en-US" w:eastAsia="zh-CN"/>
              </w:rPr>
              <w:t>Futurewei</w:t>
            </w:r>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85030D" w14:paraId="17E8C94D" w14:textId="77777777">
        <w:tc>
          <w:tcPr>
            <w:tcW w:w="1342" w:type="dxa"/>
          </w:tcPr>
          <w:p w14:paraId="57BB5897" w14:textId="177AA18F"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7650" w:type="dxa"/>
          </w:tcPr>
          <w:p w14:paraId="494284AD" w14:textId="56949CDA" w:rsidR="0085030D" w:rsidRDefault="0085030D" w:rsidP="0085030D">
            <w:pPr>
              <w:rPr>
                <w:rFonts w:eastAsia="맑은 고딕"/>
                <w:color w:val="FF0000"/>
                <w:lang w:eastAsia="ko-KR"/>
              </w:rPr>
            </w:pPr>
            <w:r>
              <w:rPr>
                <w:rFonts w:eastAsia="MS Mincho" w:hint="eastAsia"/>
                <w:lang w:val="en-US" w:eastAsia="ja-JP"/>
              </w:rPr>
              <w:t xml:space="preserve">We agree with other companies that this case is the same as the subsequent paging, so the device behaviour is different depending whether the device has already responded to the same Transaction ID. </w:t>
            </w:r>
          </w:p>
        </w:tc>
      </w:tr>
      <w:tr w:rsidR="000A6D2B" w14:paraId="471C01AD" w14:textId="77777777">
        <w:tc>
          <w:tcPr>
            <w:tcW w:w="1342" w:type="dxa"/>
          </w:tcPr>
          <w:p w14:paraId="15FE1CD1" w14:textId="694E4683" w:rsidR="000A6D2B" w:rsidRDefault="000A6D2B" w:rsidP="000A6D2B">
            <w:pPr>
              <w:rPr>
                <w:rFonts w:eastAsia="MS Mincho" w:hint="eastAsia"/>
                <w:lang w:val="en-US" w:eastAsia="ja-JP"/>
              </w:rPr>
            </w:pPr>
            <w:r w:rsidRPr="00470554">
              <w:rPr>
                <w:rFonts w:eastAsia="맑은 고딕" w:hint="eastAsia"/>
                <w:lang w:val="en-US" w:eastAsia="ko-KR"/>
              </w:rPr>
              <w:t>LGE</w:t>
            </w:r>
          </w:p>
        </w:tc>
        <w:tc>
          <w:tcPr>
            <w:tcW w:w="7650" w:type="dxa"/>
          </w:tcPr>
          <w:p w14:paraId="50A43898" w14:textId="7AF3FABC" w:rsidR="000A6D2B" w:rsidRDefault="000A6D2B" w:rsidP="000A6D2B">
            <w:pPr>
              <w:rPr>
                <w:rFonts w:eastAsia="MS Mincho" w:hint="eastAsia"/>
                <w:lang w:val="en-US" w:eastAsia="ja-JP"/>
              </w:rPr>
            </w:pPr>
            <w:r w:rsidRPr="00470554">
              <w:rPr>
                <w:rFonts w:eastAsia="맑은 고딕" w:hint="eastAsia"/>
                <w:lang w:eastAsia="ko-KR"/>
              </w:rPr>
              <w:t>I</w:t>
            </w:r>
            <w:r w:rsidRPr="00470554">
              <w:rPr>
                <w:rFonts w:eastAsia="맑은 고딕"/>
                <w:lang w:eastAsia="ko-KR"/>
              </w:rPr>
              <w:t>f the device has already responded successfully and receives another request with the same transaction ID, it should not respond. However, if the device receives a request with a new transaction ID, it should respond accordingly.</w:t>
            </w:r>
          </w:p>
        </w:tc>
      </w:tr>
    </w:tbl>
    <w:p w14:paraId="1C27CF8E" w14:textId="77777777" w:rsidR="00773A66" w:rsidRDefault="00773A66"/>
    <w:p w14:paraId="3E522E83" w14:textId="77777777" w:rsidR="00773A66" w:rsidRDefault="00B951AA">
      <w:pPr>
        <w:rPr>
          <w:lang w:val="en-US" w:eastAsia="ja-JP"/>
        </w:rPr>
      </w:pPr>
      <w:r>
        <w:rPr>
          <w:b/>
          <w:bCs/>
          <w:lang w:val="en-US" w:eastAsia="ja-JP"/>
        </w:rPr>
        <w:t xml:space="preserve">Summary: </w:t>
      </w:r>
      <w:r>
        <w:rPr>
          <w:lang w:val="en-US" w:eastAsia="ja-JP"/>
        </w:rPr>
        <w:t>TBD</w:t>
      </w:r>
    </w:p>
    <w:p w14:paraId="71CF2CB5" w14:textId="77777777"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7C72EFA" w14:textId="77777777" w:rsidR="00773A66" w:rsidRDefault="00B951AA">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In Q5, we have analyzed the possibility of this Scenario #4 and the reasons that lead to Scenario #4. So we think the UE behavior needs to be discussed in details:</w:t>
            </w:r>
          </w:p>
          <w:p w14:paraId="2977D456"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lastRenderedPageBreak/>
              <w:t>(sub-case#4-1) A general thinking is that for a certain device, e.g., devic-1, if it can determine a received Paging is from another reader and corresponds to the same AIoT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AIoT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So for those devices which have already finished their RA/data transmission procedure within the current Paging procedure, if the device can determine by some way that, the latter Paging message comes from a different reader and triggered by a same AIoT service request, but redundant response is still required, the device needs to respond to the latter Paging:</w:t>
            </w:r>
          </w:p>
          <w:p w14:paraId="701413B9"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To facilitate such device behavior, one option is that, similar as that in sub-case#4-1, to make Paging messages from different readers but triggered by the same AIoT service still contain the same transaction ID, while giving additional information about reader or other indication that redundant response is needed.</w:t>
            </w:r>
          </w:p>
          <w:p w14:paraId="4D4580CA"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AIoT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14:paraId="670B1F10"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AIoT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Also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r>
              <w:rPr>
                <w:rFonts w:eastAsia="SimSun"/>
                <w:lang w:val="en-US" w:eastAsia="zh-CN"/>
              </w:rPr>
              <w:lastRenderedPageBreak/>
              <w:t>InterDigital</w:t>
            </w:r>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lastRenderedPageBreak/>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lastRenderedPageBreak/>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af3"/>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af3"/>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r>
              <w:rPr>
                <w:rFonts w:eastAsia="SimSun"/>
                <w:lang w:val="en-US" w:eastAsia="zh-CN"/>
              </w:rPr>
              <w:t>Futurewei</w:t>
            </w:r>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 i.e., same principle as in Q7. This is based on the assumption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From our understanding, the same service request means the service request(i.e.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lastRenderedPageBreak/>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Agree with Futurewei. But is it clear what is a service request, i.e. if the service request is and inventory or command, then it may be the same.</w:t>
            </w:r>
          </w:p>
        </w:tc>
      </w:tr>
      <w:tr w:rsidR="0085030D" w14:paraId="77CA471C" w14:textId="77777777">
        <w:tc>
          <w:tcPr>
            <w:tcW w:w="1342" w:type="dxa"/>
          </w:tcPr>
          <w:p w14:paraId="2914B23A" w14:textId="3C889DF5"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7650" w:type="dxa"/>
          </w:tcPr>
          <w:p w14:paraId="1A061E6F" w14:textId="60209A84" w:rsidR="0085030D" w:rsidRDefault="0085030D" w:rsidP="0085030D">
            <w:pPr>
              <w:rPr>
                <w:rFonts w:eastAsia="맑은 고딕"/>
                <w:color w:val="FF0000"/>
                <w:lang w:val="en-US" w:eastAsia="ko-KR"/>
              </w:rPr>
            </w:pPr>
            <w:r>
              <w:rPr>
                <w:rFonts w:eastAsia="MS Mincho" w:hint="eastAsia"/>
                <w:lang w:val="en-US" w:eastAsia="ja-JP"/>
              </w:rPr>
              <w:t>We think the device performs no action since the device only checks the Transaction ID and has already responded, regardless of whether the service request comes from the same or a different reader.</w:t>
            </w:r>
          </w:p>
        </w:tc>
      </w:tr>
      <w:tr w:rsidR="000A6D2B" w14:paraId="2D34F153" w14:textId="77777777">
        <w:tc>
          <w:tcPr>
            <w:tcW w:w="1342" w:type="dxa"/>
          </w:tcPr>
          <w:p w14:paraId="52D7F988" w14:textId="241DEC25" w:rsidR="000A6D2B" w:rsidRDefault="000A6D2B" w:rsidP="000A6D2B">
            <w:pPr>
              <w:rPr>
                <w:rFonts w:eastAsia="MS Mincho" w:hint="eastAsia"/>
                <w:lang w:val="en-US" w:eastAsia="ja-JP"/>
              </w:rPr>
            </w:pPr>
            <w:r w:rsidRPr="00470554">
              <w:rPr>
                <w:rFonts w:eastAsia="맑은 고딕" w:hint="eastAsia"/>
                <w:lang w:val="en-US" w:eastAsia="ko-KR"/>
              </w:rPr>
              <w:t>LGE</w:t>
            </w:r>
          </w:p>
        </w:tc>
        <w:tc>
          <w:tcPr>
            <w:tcW w:w="7650" w:type="dxa"/>
          </w:tcPr>
          <w:p w14:paraId="428CC381" w14:textId="2AF91BD0" w:rsidR="000A6D2B" w:rsidRDefault="000A6D2B" w:rsidP="000A6D2B">
            <w:pPr>
              <w:rPr>
                <w:rFonts w:eastAsia="MS Mincho" w:hint="eastAsia"/>
                <w:lang w:val="en-US" w:eastAsia="ja-JP"/>
              </w:rPr>
            </w:pPr>
            <w:r w:rsidRPr="00470554">
              <w:rPr>
                <w:rFonts w:eastAsia="맑은 고딕" w:hint="eastAsia"/>
                <w:lang w:val="en-US" w:eastAsia="ko-KR"/>
              </w:rPr>
              <w:t xml:space="preserve">See our response in Q5. We share </w:t>
            </w:r>
            <w:r w:rsidRPr="00470554">
              <w:rPr>
                <w:rFonts w:eastAsia="맑은 고딕"/>
                <w:lang w:val="en-US" w:eastAsia="ko-KR"/>
              </w:rPr>
              <w:t>similar views</w:t>
            </w:r>
            <w:r w:rsidRPr="00470554">
              <w:rPr>
                <w:rFonts w:eastAsia="맑은 고딕" w:hint="eastAsia"/>
                <w:lang w:val="en-US" w:eastAsia="ko-KR"/>
              </w:rPr>
              <w:t xml:space="preserve"> as </w:t>
            </w:r>
            <w:r w:rsidRPr="00470554">
              <w:rPr>
                <w:rFonts w:eastAsia="SimSun"/>
                <w:lang w:val="en-US" w:eastAsia="zh-CN"/>
              </w:rPr>
              <w:t>ZTE</w:t>
            </w:r>
            <w:r w:rsidRPr="00470554">
              <w:rPr>
                <w:rFonts w:eastAsia="맑은 고딕" w:hint="eastAsia"/>
                <w:lang w:val="en-US" w:eastAsia="ko-KR"/>
              </w:rPr>
              <w:t xml:space="preserve"> and InterDigital</w:t>
            </w:r>
            <w:r w:rsidRPr="00470554">
              <w:rPr>
                <w:rFonts w:eastAsia="SimSun"/>
                <w:lang w:val="en-US" w:eastAsia="zh-CN"/>
              </w:rPr>
              <w:t xml:space="preserve">. </w:t>
            </w:r>
            <w:r w:rsidRPr="00470554">
              <w:rPr>
                <w:rFonts w:eastAsia="SimSun"/>
                <w:lang w:eastAsia="zh-CN"/>
              </w:rPr>
              <w:t>Regarding the alternatives</w:t>
            </w:r>
            <w:r w:rsidRPr="00470554">
              <w:rPr>
                <w:rFonts w:eastAsia="맑은 고딕" w:hint="eastAsia"/>
                <w:lang w:eastAsia="ko-KR"/>
              </w:rPr>
              <w:t xml:space="preserve"> mentioned by ZTE</w:t>
            </w:r>
            <w:r w:rsidRPr="00470554">
              <w:rPr>
                <w:rFonts w:eastAsia="SimSun"/>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bl>
    <w:p w14:paraId="4B2DA9C4" w14:textId="77777777" w:rsidR="00773A66" w:rsidRDefault="00773A66"/>
    <w:p w14:paraId="31D69EF1" w14:textId="77777777" w:rsidR="00773A66" w:rsidRDefault="00B951AA">
      <w:pPr>
        <w:rPr>
          <w:lang w:val="en-US" w:eastAsia="ja-JP"/>
        </w:rPr>
      </w:pPr>
      <w:r>
        <w:rPr>
          <w:b/>
          <w:bCs/>
          <w:lang w:val="en-US" w:eastAsia="ja-JP"/>
        </w:rPr>
        <w:t xml:space="preserve">Summary: </w:t>
      </w:r>
      <w:r>
        <w:rPr>
          <w:lang w:val="en-US" w:eastAsia="ja-JP"/>
        </w:rPr>
        <w:t>TBD</w:t>
      </w:r>
    </w:p>
    <w:p w14:paraId="119C5C1F" w14:textId="77777777" w:rsidR="00773A66" w:rsidRDefault="00773A66"/>
    <w:p w14:paraId="3686B933" w14:textId="77777777" w:rsidR="00773A66" w:rsidRDefault="00B951AA">
      <w:pPr>
        <w:pStyle w:val="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af3"/>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af3"/>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 xml:space="preserve">For multi-reader scenario, only if transaction ID bit space is quite large, then even without reader ID or coordination between the different readers on usage of the transaction ID, the probability of collision of the transaction IDs to be used for </w:t>
            </w:r>
            <w:r>
              <w:rPr>
                <w:rFonts w:eastAsia="SimSun"/>
                <w:lang w:val="en-US" w:eastAsia="zh-CN"/>
              </w:rPr>
              <w:lastRenderedPageBreak/>
              <w:t>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맑은 고딕"/>
                <w:lang w:val="en-US" w:eastAsia="ko-KR"/>
              </w:rPr>
            </w:pPr>
            <w:r>
              <w:rPr>
                <w:rFonts w:eastAsia="SimSun" w:hint="eastAsia"/>
                <w:lang w:val="en-US" w:eastAsia="zh-CN"/>
              </w:rPr>
              <w:lastRenderedPageBreak/>
              <w:t>H</w:t>
            </w:r>
            <w:r>
              <w:rPr>
                <w:rFonts w:eastAsia="SimSun"/>
                <w:lang w:val="en-US" w:eastAsia="zh-CN"/>
              </w:rPr>
              <w:t>uawei, HiSilicon</w:t>
            </w:r>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As agreed in RAN2#129 meeting, one transcation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r>
              <w:rPr>
                <w:rFonts w:ascii="Arial" w:eastAsia="MS Mincho" w:hAnsi="Arial"/>
                <w:bCs/>
                <w:szCs w:val="24"/>
                <w:lang w:eastAsia="en-GB"/>
              </w:rPr>
              <w:t>We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r>
              <w:rPr>
                <w:rFonts w:eastAsia="SimSun"/>
                <w:lang w:val="en-US" w:eastAsia="zh-CN"/>
              </w:rPr>
              <w:t>InterDigital</w:t>
            </w:r>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The transaction ID is sufficient if it includes the service information</w:t>
            </w:r>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lastRenderedPageBreak/>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r>
              <w:rPr>
                <w:rFonts w:eastAsia="SimSun"/>
                <w:lang w:val="en-US" w:eastAsia="zh-CN"/>
              </w:rPr>
              <w:t>Futurewei</w:t>
            </w:r>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r>
              <w:rPr>
                <w:rFonts w:eastAsia="SimSun" w:hint="eastAsia"/>
                <w:lang w:val="en-US" w:eastAsia="zh-CN"/>
              </w:rPr>
              <w:t>Transsion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r w:rsidRPr="0026168D">
              <w:rPr>
                <w:rFonts w:eastAsiaTheme="minorEastAsia"/>
                <w:lang w:val="en-US" w:eastAsia="zh-CN"/>
              </w:rPr>
              <w:t>D</w:t>
            </w:r>
            <w:r w:rsidRPr="006F4E3A">
              <w:rPr>
                <w:rFonts w:eastAsiaTheme="minorEastAsia"/>
                <w:lang w:val="en-US" w:eastAsia="zh-CN"/>
              </w:rPr>
              <w:t>epends</w:t>
            </w:r>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85030D" w14:paraId="5CC2C28A" w14:textId="77777777">
        <w:tc>
          <w:tcPr>
            <w:tcW w:w="1200" w:type="dxa"/>
          </w:tcPr>
          <w:p w14:paraId="4B61D73F" w14:textId="04EF5C36"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1205" w:type="dxa"/>
          </w:tcPr>
          <w:p w14:paraId="038B6D86" w14:textId="6DB13824" w:rsidR="0085030D" w:rsidRPr="002305C2" w:rsidRDefault="0085030D" w:rsidP="0085030D">
            <w:pPr>
              <w:rPr>
                <w:rFonts w:eastAsia="맑은 고딕"/>
                <w:color w:val="FF0000"/>
                <w:lang w:val="en-US" w:eastAsia="ko-KR"/>
              </w:rPr>
            </w:pPr>
            <w:r>
              <w:rPr>
                <w:rFonts w:eastAsia="MS Mincho" w:hint="eastAsia"/>
                <w:lang w:val="en-US" w:eastAsia="ja-JP"/>
              </w:rPr>
              <w:t>Yes</w:t>
            </w:r>
          </w:p>
        </w:tc>
        <w:tc>
          <w:tcPr>
            <w:tcW w:w="6804" w:type="dxa"/>
          </w:tcPr>
          <w:p w14:paraId="16F554CC" w14:textId="42C3A395" w:rsidR="0085030D" w:rsidRPr="003C24F9" w:rsidRDefault="0085030D" w:rsidP="0085030D">
            <w:pPr>
              <w:rPr>
                <w:rFonts w:eastAsia="맑은 고딕"/>
                <w:color w:val="FF0000"/>
                <w:lang w:val="en-US" w:eastAsia="ko-KR"/>
              </w:rPr>
            </w:pPr>
            <w:r>
              <w:rPr>
                <w:rFonts w:eastAsia="MS Mincho" w:hint="eastAsia"/>
                <w:lang w:val="en-US" w:eastAsia="ja-JP"/>
              </w:rPr>
              <w:t>We think it</w:t>
            </w:r>
            <w:r>
              <w:rPr>
                <w:rFonts w:eastAsia="MS Mincho"/>
                <w:lang w:val="en-US" w:eastAsia="ja-JP"/>
              </w:rPr>
              <w:t>’</w:t>
            </w:r>
            <w:r>
              <w:rPr>
                <w:rFonts w:eastAsia="MS Mincho" w:hint="eastAsia"/>
                <w:lang w:val="en-US" w:eastAsia="ja-JP"/>
              </w:rPr>
              <w:t xml:space="preserve">s indicated in RAN2 agreement that </w:t>
            </w:r>
            <w:r>
              <w:rPr>
                <w:rFonts w:eastAsia="MS Mincho"/>
                <w:lang w:val="en-US" w:eastAsia="ja-JP"/>
              </w:rPr>
              <w:t>“</w:t>
            </w:r>
            <w:r w:rsidRPr="0048157D">
              <w:rPr>
                <w:rFonts w:eastAsia="MS Mincho"/>
                <w:i/>
                <w:iCs/>
                <w:lang w:val="en-US" w:eastAsia="ja-JP"/>
              </w:rPr>
              <w:t>RAN2 acknowledges that multi-reader scenario may exist but we will not specify something specific for this purpose.</w:t>
            </w:r>
            <w:r w:rsidRPr="0048157D">
              <w:rPr>
                <w:rFonts w:eastAsia="MS Mincho" w:hint="eastAsia"/>
                <w:i/>
                <w:iCs/>
                <w:lang w:val="en-US" w:eastAsia="ja-JP"/>
              </w:rPr>
              <w:t xml:space="preserve"> </w:t>
            </w:r>
            <w:r w:rsidRPr="004D2D61">
              <w:rPr>
                <w:rFonts w:eastAsia="MS Mincho"/>
                <w:i/>
                <w:iCs/>
                <w:lang w:val="en-US" w:eastAsia="ja-JP"/>
              </w:rPr>
              <w:t>We can rely on transaction ID and implementation to handle it</w:t>
            </w:r>
            <w:r>
              <w:rPr>
                <w:rFonts w:eastAsia="MS Mincho"/>
                <w:lang w:val="en-US" w:eastAsia="ja-JP"/>
              </w:rPr>
              <w:t>”</w:t>
            </w:r>
          </w:p>
        </w:tc>
      </w:tr>
      <w:tr w:rsidR="000A6D2B" w14:paraId="062CD0EE" w14:textId="77777777">
        <w:tc>
          <w:tcPr>
            <w:tcW w:w="1200" w:type="dxa"/>
          </w:tcPr>
          <w:p w14:paraId="1B3F088C" w14:textId="1CFE701F" w:rsidR="000A6D2B" w:rsidRDefault="000A6D2B" w:rsidP="000A6D2B">
            <w:pPr>
              <w:rPr>
                <w:rFonts w:eastAsia="MS Mincho" w:hint="eastAsia"/>
                <w:lang w:val="en-US" w:eastAsia="ja-JP"/>
              </w:rPr>
            </w:pPr>
            <w:r w:rsidRPr="00470554">
              <w:rPr>
                <w:rFonts w:eastAsia="맑은 고딕" w:hint="eastAsia"/>
                <w:lang w:val="en-US" w:eastAsia="ko-KR"/>
              </w:rPr>
              <w:t>LGE</w:t>
            </w:r>
          </w:p>
        </w:tc>
        <w:tc>
          <w:tcPr>
            <w:tcW w:w="1205" w:type="dxa"/>
          </w:tcPr>
          <w:p w14:paraId="5C37907D" w14:textId="6820250F" w:rsidR="000A6D2B" w:rsidRDefault="000A6D2B" w:rsidP="000A6D2B">
            <w:pPr>
              <w:rPr>
                <w:rFonts w:eastAsia="MS Mincho" w:hint="eastAsia"/>
                <w:lang w:val="en-US" w:eastAsia="ja-JP"/>
              </w:rPr>
            </w:pPr>
            <w:r w:rsidRPr="00470554">
              <w:rPr>
                <w:rFonts w:eastAsia="맑은 고딕" w:hint="eastAsia"/>
                <w:lang w:val="en-US" w:eastAsia="ko-KR"/>
              </w:rPr>
              <w:t>No</w:t>
            </w:r>
          </w:p>
        </w:tc>
        <w:tc>
          <w:tcPr>
            <w:tcW w:w="6804" w:type="dxa"/>
          </w:tcPr>
          <w:p w14:paraId="5AAEFD00" w14:textId="343A9B73" w:rsidR="000A6D2B" w:rsidRDefault="000A6D2B" w:rsidP="000A6D2B">
            <w:pPr>
              <w:rPr>
                <w:rFonts w:eastAsia="MS Mincho" w:hint="eastAsia"/>
                <w:lang w:val="en-US" w:eastAsia="ja-JP"/>
              </w:rPr>
            </w:pPr>
            <w:r w:rsidRPr="00470554">
              <w:rPr>
                <w:rFonts w:eastAsia="맑은 고딕"/>
                <w:lang w:val="en-US" w:eastAsia="ko-KR"/>
              </w:rPr>
              <w:t xml:space="preserve">As </w:t>
            </w:r>
            <w:r w:rsidRPr="00470554">
              <w:rPr>
                <w:rFonts w:eastAsia="맑은 고딕" w:hint="eastAsia"/>
                <w:lang w:val="en-US" w:eastAsia="ko-KR"/>
              </w:rPr>
              <w:t>answered</w:t>
            </w:r>
            <w:r w:rsidRPr="00470554">
              <w:rPr>
                <w:rFonts w:eastAsia="맑은 고딕"/>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bl>
    <w:p w14:paraId="47842BB4" w14:textId="77777777" w:rsidR="00773A66" w:rsidRDefault="00773A66"/>
    <w:p w14:paraId="348D723B" w14:textId="77777777" w:rsidR="00773A66" w:rsidRDefault="00B951AA">
      <w:pPr>
        <w:rPr>
          <w:lang w:val="en-US" w:eastAsia="ja-JP"/>
        </w:rPr>
      </w:pPr>
      <w:r>
        <w:rPr>
          <w:b/>
          <w:bCs/>
          <w:lang w:val="en-US" w:eastAsia="ja-JP"/>
        </w:rPr>
        <w:t xml:space="preserve">Summary: </w:t>
      </w:r>
      <w:r>
        <w:rPr>
          <w:lang w:val="en-US" w:eastAsia="ja-JP"/>
        </w:rPr>
        <w:t>TBD</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lastRenderedPageBreak/>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맑은 고딕"/>
                <w:lang w:val="en-US" w:eastAsia="ko-KR"/>
              </w:rPr>
            </w:pPr>
            <w:r>
              <w:rPr>
                <w:rFonts w:eastAsia="맑은 고딕"/>
                <w:lang w:val="en-US" w:eastAsia="ko-KR"/>
              </w:rPr>
              <w:t>InterDigital</w:t>
            </w:r>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af3"/>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af3"/>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information(e.g.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470554" w:rsidRDefault="00BC5E69" w:rsidP="00BC5E69">
            <w:pPr>
              <w:rPr>
                <w:rFonts w:eastAsiaTheme="minorEastAsia"/>
                <w:lang w:val="en-US" w:eastAsia="zh-CN"/>
              </w:rPr>
            </w:pPr>
            <w:r w:rsidRPr="00470554">
              <w:rPr>
                <w:rFonts w:eastAsia="맑은 고딕" w:hint="eastAsia"/>
                <w:lang w:val="en-US" w:eastAsia="ko-KR"/>
              </w:rPr>
              <w:t>LGE</w:t>
            </w:r>
          </w:p>
        </w:tc>
        <w:tc>
          <w:tcPr>
            <w:tcW w:w="7650" w:type="dxa"/>
          </w:tcPr>
          <w:p w14:paraId="6E0B56D0" w14:textId="09FF1D10" w:rsidR="00BC5E69" w:rsidRPr="00470554" w:rsidRDefault="00BC5E69" w:rsidP="00BC5E69">
            <w:pPr>
              <w:rPr>
                <w:rFonts w:eastAsiaTheme="minorEastAsia"/>
                <w:lang w:val="en-US" w:eastAsia="zh-CN"/>
              </w:rPr>
            </w:pPr>
            <w:r w:rsidRPr="00470554">
              <w:rPr>
                <w:rFonts w:eastAsia="맑은 고딕"/>
                <w:lang w:val="en-US" w:eastAsia="ko-KR"/>
              </w:rPr>
              <w:t>We share a similar understanding with other companies and also believe that a reader ID is needed. As Qualcomm mentioned, the reader ID does not have to be the same as the global reader ID; it could instead be a shortened ID that is locally unique.</w:t>
            </w:r>
            <w:r w:rsidRPr="00470554">
              <w:rPr>
                <w:rFonts w:eastAsia="맑은 고딕" w:hint="eastAsia"/>
                <w:lang w:val="en-US" w:eastAsia="ko-KR"/>
              </w:rPr>
              <w:t xml:space="preserve"> </w:t>
            </w:r>
            <w:r w:rsidRPr="00470554">
              <w:rPr>
                <w:rFonts w:eastAsia="맑은 고딕"/>
                <w:lang w:eastAsia="ko-KR"/>
              </w:rPr>
              <w:t>Additionally, informing the device whether multiple responses are required or if a single response is sufficient can help support the desired behaviour in scenarios such as location purposes.</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77777777" w:rsidR="00773A66" w:rsidRDefault="00773A66"/>
    <w:p w14:paraId="10994843" w14:textId="77777777" w:rsidR="00773A66" w:rsidRDefault="00B951AA">
      <w:pPr>
        <w:pStyle w:val="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af"/>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lastRenderedPageBreak/>
              <w:t>Lenovo</w:t>
            </w:r>
          </w:p>
        </w:tc>
        <w:tc>
          <w:tcPr>
            <w:tcW w:w="1083" w:type="dxa"/>
            <w:gridSpan w:val="2"/>
          </w:tcPr>
          <w:p w14:paraId="5D237C2E" w14:textId="77777777" w:rsidR="00773A66" w:rsidRDefault="00B951AA">
            <w:pPr>
              <w:rPr>
                <w:rFonts w:eastAsia="SimSun"/>
                <w:lang w:val="en-US" w:eastAsia="zh-CN"/>
              </w:rPr>
            </w:pPr>
            <w:r>
              <w:rPr>
                <w:rFonts w:eastAsia="SimSun" w:hint="eastAsia"/>
                <w:lang w:val="en-US" w:eastAsia="zh-CN"/>
              </w:rPr>
              <w:t>Depends</w:t>
            </w:r>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af3"/>
              <w:numPr>
                <w:ilvl w:val="0"/>
                <w:numId w:val="21"/>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af3"/>
              <w:numPr>
                <w:ilvl w:val="0"/>
                <w:numId w:val="21"/>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2" w:name="OLE_LINK2"/>
            <w:r>
              <w:rPr>
                <w:rFonts w:eastAsia="SimSun"/>
                <w:lang w:val="en-US" w:eastAsia="zh-CN"/>
              </w:rPr>
              <w:t>the lowest few bits of the correlation ID</w:t>
            </w:r>
            <w:bookmarkEnd w:id="2"/>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af3"/>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af3"/>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153962B4" w14:textId="77777777" w:rsidR="00773A66" w:rsidRDefault="00B951AA">
            <w:pPr>
              <w:rPr>
                <w:rFonts w:eastAsia="SimSun"/>
                <w:lang w:val="en-US" w:eastAsia="zh-CN"/>
              </w:rPr>
            </w:pPr>
            <w:r>
              <w:rPr>
                <w:rFonts w:eastAsia="SimSun" w:hint="eastAsia"/>
                <w:lang w:val="en-US" w:eastAsia="zh-CN"/>
              </w:rPr>
              <w:lastRenderedPageBreak/>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lastRenderedPageBreak/>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We think for one reader case, the setting of transaction ID should at least ensure that Paging messages triggered by two consecutive different AIoT service requests (with different correlation IDs) have distinct transaction IDs. Therefore:</w:t>
            </w:r>
          </w:p>
          <w:p w14:paraId="2B447DB1"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AIoT service request would have transaction ID #0, the second Paging message triggered by the secondly received AIoT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af3"/>
              <w:numPr>
                <w:ilvl w:val="0"/>
                <w:numId w:val="14"/>
              </w:numPr>
              <w:snapToGrid w:val="0"/>
              <w:spacing w:after="100"/>
              <w:contextualSpacing w:val="0"/>
              <w:rPr>
                <w:rFonts w:eastAsia="SimSun"/>
                <w:lang w:val="en-US" w:eastAsia="zh-CN"/>
              </w:rPr>
            </w:pPr>
            <w:r>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 That may be undesirable. For example, the transaction ID length is 2 bits (X=2), and the first AIoT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r>
              <w:rPr>
                <w:rFonts w:eastAsia="SimSun"/>
                <w:lang w:val="en-US" w:eastAsia="zh-CN"/>
              </w:rPr>
              <w:t>InterDigital</w:t>
            </w:r>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r>
              <w:rPr>
                <w:rFonts w:eastAsia="SimSun"/>
                <w:lang w:val="en-US" w:eastAsia="zh-CN"/>
              </w:rPr>
              <w:t>Depends</w:t>
            </w:r>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 xml:space="preserve">Depends how </w:t>
            </w:r>
            <w:r>
              <w:rPr>
                <w:rFonts w:eastAsia="SimSun"/>
                <w:lang w:val="en-US" w:eastAsia="zh-CN"/>
              </w:rPr>
              <w:lastRenderedPageBreak/>
              <w:t>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lastRenderedPageBreak/>
              <w:t xml:space="preserve">If there is a fixed rule defined between the correlation ID and transaction ID, then reader coordination does not seem to be needed. However, if transaction ID is to be </w:t>
            </w:r>
            <w:r>
              <w:rPr>
                <w:rFonts w:eastAsia="SimSun"/>
                <w:lang w:val="en-US" w:eastAsia="zh-CN"/>
              </w:rPr>
              <w:lastRenderedPageBreak/>
              <w:t>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af3"/>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af3"/>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af3"/>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af3"/>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af3"/>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r>
              <w:rPr>
                <w:rFonts w:eastAsia="SimSun"/>
                <w:lang w:val="en-US" w:eastAsia="zh-CN"/>
              </w:rPr>
              <w:t>Futurewei</w:t>
            </w:r>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r>
              <w:rPr>
                <w:rFonts w:eastAsia="SimSun" w:hint="eastAsia"/>
                <w:lang w:val="en-US" w:eastAsia="zh-CN"/>
              </w:rPr>
              <w:t>Transsion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r>
              <w:rPr>
                <w:rFonts w:eastAsia="PMingLiU"/>
                <w:lang w:val="en-US" w:eastAsia="zh-TW"/>
              </w:rPr>
              <w:t>Depends</w:t>
            </w:r>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85030D" w14:paraId="08A12D55" w14:textId="77777777">
        <w:tc>
          <w:tcPr>
            <w:tcW w:w="1200" w:type="dxa"/>
          </w:tcPr>
          <w:p w14:paraId="30D3E154" w14:textId="245F22B6"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MS Mincho"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MS Mincho" w:hint="eastAsia"/>
                <w:lang w:val="en-US" w:eastAsia="ja-JP"/>
              </w:rPr>
              <w:t xml:space="preserve">We assume the reader can generate the Transaction ID based on the </w:t>
            </w:r>
            <w:r w:rsidRPr="00315912">
              <w:rPr>
                <w:rFonts w:eastAsia="MS Mincho"/>
                <w:lang w:val="en-US" w:eastAsia="ja-JP"/>
              </w:rPr>
              <w:t>CN cor</w:t>
            </w:r>
            <w:r>
              <w:rPr>
                <w:rFonts w:eastAsia="MS Mincho" w:hint="eastAsia"/>
                <w:lang w:val="en-US" w:eastAsia="ja-JP"/>
              </w:rPr>
              <w:t>r</w:t>
            </w:r>
            <w:r w:rsidRPr="00315912">
              <w:rPr>
                <w:rFonts w:eastAsia="MS Mincho"/>
                <w:lang w:val="en-US" w:eastAsia="ja-JP"/>
              </w:rPr>
              <w:t>elation ID</w:t>
            </w:r>
            <w:r>
              <w:rPr>
                <w:rFonts w:eastAsia="MS Mincho" w:hint="eastAsia"/>
                <w:lang w:val="en-US" w:eastAsia="ja-JP"/>
              </w:rPr>
              <w:t xml:space="preserve"> (as agreed) and possibly its own reader ID (which is not visible to the devices), in order to generate orthogonal Transaction IDs among readers. However, we</w:t>
            </w:r>
            <w:r>
              <w:rPr>
                <w:rFonts w:eastAsia="MS Mincho"/>
                <w:lang w:val="en-US" w:eastAsia="ja-JP"/>
              </w:rPr>
              <w:t>’</w:t>
            </w:r>
            <w:r>
              <w:rPr>
                <w:rFonts w:eastAsia="MS Mincho" w:hint="eastAsia"/>
                <w:lang w:val="en-US" w:eastAsia="ja-JP"/>
              </w:rPr>
              <w:t xml:space="preserve">re wondering if some coordination with RAN3 needs to conclude this issue. </w:t>
            </w:r>
          </w:p>
        </w:tc>
      </w:tr>
      <w:tr w:rsidR="000A6D2B" w14:paraId="57700ADE" w14:textId="77777777">
        <w:tc>
          <w:tcPr>
            <w:tcW w:w="1200" w:type="dxa"/>
          </w:tcPr>
          <w:p w14:paraId="1DE3A29D" w14:textId="67F3BE7D" w:rsidR="000A6D2B" w:rsidRDefault="000A6D2B" w:rsidP="000A6D2B">
            <w:pPr>
              <w:rPr>
                <w:rFonts w:eastAsia="MS Mincho" w:hint="eastAsia"/>
                <w:lang w:val="en-US" w:eastAsia="ja-JP"/>
              </w:rPr>
            </w:pPr>
            <w:r w:rsidRPr="00470554">
              <w:rPr>
                <w:rFonts w:eastAsia="맑은 고딕" w:hint="eastAsia"/>
                <w:lang w:val="en-US" w:eastAsia="ko-KR"/>
              </w:rPr>
              <w:lastRenderedPageBreak/>
              <w:t>LGE</w:t>
            </w:r>
          </w:p>
        </w:tc>
        <w:tc>
          <w:tcPr>
            <w:tcW w:w="1083" w:type="dxa"/>
            <w:gridSpan w:val="2"/>
          </w:tcPr>
          <w:p w14:paraId="40E22D16" w14:textId="0CDFBC12" w:rsidR="000A6D2B" w:rsidRDefault="000A6D2B" w:rsidP="000A6D2B">
            <w:pPr>
              <w:rPr>
                <w:rFonts w:eastAsia="MS Mincho" w:hint="eastAsia"/>
                <w:lang w:val="en-US" w:eastAsia="ja-JP"/>
              </w:rPr>
            </w:pPr>
            <w:r w:rsidRPr="00470554">
              <w:rPr>
                <w:rFonts w:eastAsia="SimSun"/>
                <w:lang w:val="en-US" w:eastAsia="zh-CN"/>
              </w:rPr>
              <w:t>No</w:t>
            </w:r>
          </w:p>
        </w:tc>
        <w:tc>
          <w:tcPr>
            <w:tcW w:w="7067" w:type="dxa"/>
            <w:gridSpan w:val="2"/>
          </w:tcPr>
          <w:p w14:paraId="7E3EBF46" w14:textId="77777777" w:rsidR="000A6D2B" w:rsidRPr="00470554" w:rsidRDefault="000A6D2B" w:rsidP="000A6D2B">
            <w:pPr>
              <w:rPr>
                <w:rFonts w:eastAsia="맑은 고딕"/>
                <w:lang w:eastAsia="ko-KR"/>
              </w:rPr>
            </w:pPr>
            <w:r w:rsidRPr="00470554">
              <w:rPr>
                <w:rFonts w:eastAsia="SimSun"/>
                <w:lang w:eastAsia="zh-CN"/>
              </w:rPr>
              <w:t>We should avoid this.</w:t>
            </w:r>
            <w:r w:rsidRPr="00470554">
              <w:rPr>
                <w:rFonts w:eastAsia="맑은 고딕" w:hint="eastAsia"/>
                <w:lang w:eastAsia="ko-KR"/>
              </w:rPr>
              <w:t xml:space="preserve"> It would be d</w:t>
            </w:r>
            <w:r w:rsidRPr="00470554">
              <w:rPr>
                <w:rFonts w:eastAsia="맑은 고딕"/>
                <w:lang w:eastAsia="ko-KR"/>
              </w:rPr>
              <w:t>ifficult for the reader to know other reader’s situation.</w:t>
            </w:r>
          </w:p>
          <w:p w14:paraId="483CDE3C" w14:textId="77777777" w:rsidR="000A6D2B" w:rsidRPr="00470554" w:rsidRDefault="000A6D2B" w:rsidP="000A6D2B">
            <w:pPr>
              <w:rPr>
                <w:rFonts w:eastAsia="맑은 고딕"/>
                <w:lang w:eastAsia="ko-KR"/>
              </w:rPr>
            </w:pPr>
            <w:r w:rsidRPr="00470554">
              <w:rPr>
                <w:rFonts w:eastAsia="SimSun"/>
                <w:lang w:eastAsia="zh-CN"/>
              </w:rPr>
              <w:t>If reader ID is included in paging, as we answered in Q10, no coordination on transaction ID between readers would be needed.</w:t>
            </w:r>
          </w:p>
          <w:p w14:paraId="3FE88CD8" w14:textId="62267CBC" w:rsidR="000A6D2B" w:rsidRDefault="000A6D2B" w:rsidP="000A6D2B">
            <w:pPr>
              <w:rPr>
                <w:rFonts w:eastAsia="MS Mincho" w:hint="eastAsia"/>
                <w:lang w:val="en-US" w:eastAsia="ja-JP"/>
              </w:rPr>
            </w:pPr>
            <w:r w:rsidRPr="00470554">
              <w:rPr>
                <w:rFonts w:eastAsia="SimSun"/>
                <w:lang w:eastAsia="zh-CN"/>
              </w:rPr>
              <w:t>On the other hand, if CN coordinates the readers well enough that a reader ID is not required, then coordination between readers would not be necessary</w:t>
            </w:r>
          </w:p>
        </w:tc>
      </w:tr>
    </w:tbl>
    <w:p w14:paraId="348BD185" w14:textId="77777777" w:rsidR="00773A66" w:rsidRDefault="00773A66"/>
    <w:p w14:paraId="72F1A711" w14:textId="77777777" w:rsidR="00773A66" w:rsidRDefault="00B951AA">
      <w:pPr>
        <w:rPr>
          <w:lang w:val="en-US" w:eastAsia="ja-JP"/>
        </w:rPr>
      </w:pPr>
      <w:r>
        <w:rPr>
          <w:b/>
          <w:bCs/>
          <w:lang w:val="en-US" w:eastAsia="ja-JP"/>
        </w:rPr>
        <w:t xml:space="preserve">Summary: </w:t>
      </w:r>
      <w:r>
        <w:rPr>
          <w:lang w:val="en-US" w:eastAsia="ja-JP"/>
        </w:rPr>
        <w:t>TBD</w:t>
      </w:r>
    </w:p>
    <w:p w14:paraId="3BA32984" w14:textId="77777777"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af"/>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r>
              <w:rPr>
                <w:rFonts w:eastAsia="SimSun"/>
                <w:lang w:val="en-US" w:eastAsia="zh-CN"/>
              </w:rPr>
              <w:lastRenderedPageBreak/>
              <w:t>InterDigital</w:t>
            </w:r>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r>
              <w:rPr>
                <w:rFonts w:eastAsia="SimSun"/>
                <w:lang w:val="en-US" w:eastAsia="zh-CN"/>
              </w:rPr>
              <w:t>Futurewei</w:t>
            </w:r>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85030D" w14:paraId="238A741B" w14:textId="77777777">
        <w:tc>
          <w:tcPr>
            <w:tcW w:w="1342" w:type="dxa"/>
          </w:tcPr>
          <w:p w14:paraId="715D7E0B" w14:textId="4737FDF8"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7650" w:type="dxa"/>
          </w:tcPr>
          <w:p w14:paraId="2AB958A5" w14:textId="4A16E930" w:rsidR="0085030D" w:rsidRPr="002305C2" w:rsidRDefault="0085030D" w:rsidP="0085030D">
            <w:pPr>
              <w:rPr>
                <w:rFonts w:eastAsia="맑은 고딕"/>
                <w:color w:val="FF0000"/>
                <w:lang w:eastAsia="ko-KR"/>
              </w:rPr>
            </w:pPr>
            <w:r>
              <w:rPr>
                <w:rFonts w:eastAsia="MS Mincho" w:hint="eastAsia"/>
                <w:lang w:val="en-US" w:eastAsia="ja-JP"/>
              </w:rPr>
              <w:t>We assume it</w:t>
            </w:r>
            <w:r>
              <w:rPr>
                <w:rFonts w:eastAsia="MS Mincho"/>
                <w:lang w:val="en-US" w:eastAsia="ja-JP"/>
              </w:rPr>
              <w:t>’</w:t>
            </w:r>
            <w:r>
              <w:rPr>
                <w:rFonts w:eastAsia="MS Mincho" w:hint="eastAsia"/>
                <w:lang w:val="en-US" w:eastAsia="ja-JP"/>
              </w:rPr>
              <w:t>s up to reader implementation, and we</w:t>
            </w:r>
            <w:r>
              <w:rPr>
                <w:rFonts w:eastAsia="MS Mincho"/>
                <w:lang w:val="en-US" w:eastAsia="ja-JP"/>
              </w:rPr>
              <w:t>’</w:t>
            </w:r>
            <w:r>
              <w:rPr>
                <w:rFonts w:eastAsia="MS Mincho" w:hint="eastAsia"/>
                <w:lang w:val="en-US" w:eastAsia="ja-JP"/>
              </w:rPr>
              <w:t xml:space="preserve">re wondering if RAN3 should be involved in this issue (as same in Q11.) </w:t>
            </w:r>
          </w:p>
        </w:tc>
      </w:tr>
      <w:tr w:rsidR="000A6D2B" w14:paraId="2D8D7F96" w14:textId="77777777">
        <w:tc>
          <w:tcPr>
            <w:tcW w:w="1342" w:type="dxa"/>
          </w:tcPr>
          <w:p w14:paraId="36428512" w14:textId="55FBB7D1" w:rsidR="000A6D2B" w:rsidRDefault="000A6D2B" w:rsidP="000A6D2B">
            <w:pPr>
              <w:rPr>
                <w:rFonts w:eastAsia="MS Mincho" w:hint="eastAsia"/>
                <w:lang w:val="en-US" w:eastAsia="ja-JP"/>
              </w:rPr>
            </w:pPr>
            <w:r w:rsidRPr="00470554">
              <w:rPr>
                <w:rFonts w:eastAsia="맑은 고딕" w:hint="eastAsia"/>
                <w:lang w:val="en-US" w:eastAsia="ko-KR"/>
              </w:rPr>
              <w:t>LGE</w:t>
            </w:r>
          </w:p>
        </w:tc>
        <w:tc>
          <w:tcPr>
            <w:tcW w:w="7650" w:type="dxa"/>
          </w:tcPr>
          <w:p w14:paraId="30F7CD58" w14:textId="34C7BDB2" w:rsidR="000A6D2B" w:rsidRDefault="000A6D2B" w:rsidP="000A6D2B">
            <w:pPr>
              <w:rPr>
                <w:rFonts w:eastAsia="MS Mincho" w:hint="eastAsia"/>
                <w:lang w:val="en-US" w:eastAsia="ja-JP"/>
              </w:rPr>
            </w:pPr>
            <w:r w:rsidRPr="00470554">
              <w:rPr>
                <w:rFonts w:eastAsia="맑은 고딕"/>
                <w:lang w:eastAsia="ko-KR"/>
              </w:rPr>
              <w:t>This is an issue outside the scope of RAN2. We agree with MediaTek and Qualcomm that RAN2</w:t>
            </w:r>
            <w:r w:rsidRPr="00470554">
              <w:rPr>
                <w:rFonts w:eastAsia="맑은 고딕" w:hint="eastAsia"/>
                <w:lang w:eastAsia="ko-KR"/>
              </w:rPr>
              <w:t xml:space="preserve"> first</w:t>
            </w:r>
            <w:r w:rsidRPr="00470554">
              <w:rPr>
                <w:rFonts w:eastAsia="맑은 고딕"/>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bl>
    <w:p w14:paraId="11507ACE" w14:textId="77777777" w:rsidR="00773A66" w:rsidRDefault="00773A66"/>
    <w:p w14:paraId="5783F16C" w14:textId="77777777" w:rsidR="00773A66" w:rsidRDefault="00B951AA">
      <w:pPr>
        <w:rPr>
          <w:lang w:val="en-US" w:eastAsia="ja-JP"/>
        </w:rPr>
      </w:pPr>
      <w:r>
        <w:rPr>
          <w:b/>
          <w:bCs/>
          <w:lang w:val="en-US" w:eastAsia="ja-JP"/>
        </w:rPr>
        <w:t xml:space="preserve">Summary: </w:t>
      </w:r>
      <w:r>
        <w:rPr>
          <w:lang w:val="en-US" w:eastAsia="ja-JP"/>
        </w:rPr>
        <w:t>TBD</w:t>
      </w:r>
    </w:p>
    <w:p w14:paraId="7BD1AC19" w14:textId="77777777" w:rsidR="00773A66" w:rsidRDefault="00773A66">
      <w:pPr>
        <w:rPr>
          <w:lang w:val="en-US" w:eastAsia="ja-JP"/>
        </w:rPr>
      </w:pPr>
    </w:p>
    <w:p w14:paraId="35C4428E" w14:textId="77777777" w:rsidR="00773A66" w:rsidRDefault="00B951AA">
      <w:pPr>
        <w:pStyle w:val="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af3"/>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lastRenderedPageBreak/>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uawei, HiSilicon</w:t>
            </w:r>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 xml:space="preserve">As the number of services are limited (e,g.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r>
              <w:rPr>
                <w:rFonts w:eastAsia="SimSun"/>
                <w:lang w:val="en-US" w:eastAsia="zh-CN"/>
              </w:rPr>
              <w:t>InterDigital</w:t>
            </w:r>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Considering the signlling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r>
              <w:rPr>
                <w:rFonts w:eastAsia="SimSun"/>
                <w:lang w:val="en-US" w:eastAsia="zh-CN"/>
              </w:rPr>
              <w:t>Futurewei</w:t>
            </w:r>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Few bits is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85030D" w14:paraId="456D9E0D" w14:textId="77777777">
        <w:tc>
          <w:tcPr>
            <w:tcW w:w="1342" w:type="dxa"/>
          </w:tcPr>
          <w:p w14:paraId="3C6A1C65" w14:textId="461CEF55" w:rsidR="0085030D" w:rsidRPr="002305C2" w:rsidRDefault="0085030D" w:rsidP="0085030D">
            <w:pPr>
              <w:rPr>
                <w:rFonts w:eastAsia="맑은 고딕"/>
                <w:color w:val="FF0000"/>
                <w:lang w:val="en-US" w:eastAsia="ko-KR"/>
              </w:rPr>
            </w:pPr>
            <w:r>
              <w:rPr>
                <w:rFonts w:eastAsia="MS Mincho" w:hint="eastAsia"/>
                <w:lang w:val="en-US" w:eastAsia="ja-JP"/>
              </w:rPr>
              <w:t>Kyocera</w:t>
            </w:r>
          </w:p>
        </w:tc>
        <w:tc>
          <w:tcPr>
            <w:tcW w:w="7650" w:type="dxa"/>
          </w:tcPr>
          <w:p w14:paraId="4DD026CE" w14:textId="5F165C9B" w:rsidR="0085030D" w:rsidRPr="00B159DA" w:rsidRDefault="0085030D" w:rsidP="0085030D">
            <w:pPr>
              <w:spacing w:after="100"/>
              <w:rPr>
                <w:rFonts w:eastAsia="맑은 고딕"/>
                <w:color w:val="FF0000"/>
                <w:lang w:eastAsia="ko-KR"/>
              </w:rPr>
            </w:pPr>
            <w:r>
              <w:rPr>
                <w:rFonts w:eastAsia="MS Mincho" w:hint="eastAsia"/>
                <w:lang w:val="en-US" w:eastAsia="ja-JP"/>
              </w:rPr>
              <w:t>We</w:t>
            </w:r>
            <w:r>
              <w:rPr>
                <w:rFonts w:eastAsia="MS Mincho"/>
                <w:lang w:val="en-US" w:eastAsia="ja-JP"/>
              </w:rPr>
              <w:t>’</w:t>
            </w:r>
            <w:r>
              <w:rPr>
                <w:rFonts w:eastAsia="MS Mincho" w:hint="eastAsia"/>
                <w:lang w:val="en-US" w:eastAsia="ja-JP"/>
              </w:rPr>
              <w:t xml:space="preserve">re wondering if it needs some coordination with RAN3, since the Transaction ID is related to not only the subsequent paging but also the deployment aspects such as the multi-reader scenario. </w:t>
            </w:r>
          </w:p>
        </w:tc>
      </w:tr>
      <w:tr w:rsidR="000A6D2B" w14:paraId="6E63ABDE" w14:textId="77777777">
        <w:tc>
          <w:tcPr>
            <w:tcW w:w="1342" w:type="dxa"/>
          </w:tcPr>
          <w:p w14:paraId="6D207B8C" w14:textId="1BDD64B4" w:rsidR="000A6D2B" w:rsidRDefault="000A6D2B" w:rsidP="000A6D2B">
            <w:pPr>
              <w:rPr>
                <w:rFonts w:eastAsia="MS Mincho" w:hint="eastAsia"/>
                <w:lang w:val="en-US" w:eastAsia="ja-JP"/>
              </w:rPr>
            </w:pPr>
            <w:r w:rsidRPr="00470554">
              <w:rPr>
                <w:rFonts w:eastAsia="맑은 고딕" w:hint="eastAsia"/>
                <w:lang w:val="en-US" w:eastAsia="ko-KR"/>
              </w:rPr>
              <w:t>LGE</w:t>
            </w:r>
          </w:p>
        </w:tc>
        <w:tc>
          <w:tcPr>
            <w:tcW w:w="7650" w:type="dxa"/>
          </w:tcPr>
          <w:p w14:paraId="12309F80" w14:textId="176D06E7" w:rsidR="000A6D2B" w:rsidRDefault="000A6D2B" w:rsidP="000A6D2B">
            <w:pPr>
              <w:spacing w:after="100"/>
              <w:rPr>
                <w:rFonts w:eastAsia="MS Mincho" w:hint="eastAsia"/>
                <w:lang w:val="en-US" w:eastAsia="ja-JP"/>
              </w:rPr>
            </w:pPr>
            <w:r w:rsidRPr="00470554">
              <w:rPr>
                <w:rFonts w:eastAsia="맑은 고딕"/>
                <w:lang w:eastAsia="ko-KR"/>
              </w:rPr>
              <w:t xml:space="preserve">We share similar views with OPPO and Qualcomm. For the same-reader scenario, 2–4 bits </w:t>
            </w:r>
            <w:r w:rsidRPr="00470554">
              <w:rPr>
                <w:rFonts w:eastAsia="맑은 고딕" w:hint="eastAsia"/>
                <w:lang w:eastAsia="ko-KR"/>
              </w:rPr>
              <w:t>would</w:t>
            </w:r>
            <w:r w:rsidRPr="00470554">
              <w:rPr>
                <w:rFonts w:eastAsia="맑은 고딕"/>
                <w:lang w:eastAsia="ko-KR"/>
              </w:rPr>
              <w:t xml:space="preserve"> be sufficient. In the multi-reader scenario, the required size would depend on whether a reader ID is </w:t>
            </w:r>
            <w:r w:rsidRPr="00470554">
              <w:rPr>
                <w:rFonts w:eastAsia="맑은 고딕" w:hint="eastAsia"/>
                <w:lang w:eastAsia="ko-KR"/>
              </w:rPr>
              <w:t xml:space="preserve">separately </w:t>
            </w:r>
            <w:r w:rsidRPr="00470554">
              <w:rPr>
                <w:rFonts w:eastAsia="맑은 고딕"/>
                <w:lang w:eastAsia="ko-KR"/>
              </w:rPr>
              <w:t>included.</w:t>
            </w:r>
          </w:p>
        </w:tc>
      </w:tr>
    </w:tbl>
    <w:p w14:paraId="1BE5BCAE" w14:textId="77777777" w:rsidR="00773A66" w:rsidRDefault="00773A66"/>
    <w:p w14:paraId="57842B0A" w14:textId="77777777" w:rsidR="00773A66" w:rsidRDefault="00B951AA">
      <w:pPr>
        <w:rPr>
          <w:lang w:val="en-US" w:eastAsia="ja-JP"/>
        </w:rPr>
      </w:pPr>
      <w:r>
        <w:rPr>
          <w:b/>
          <w:bCs/>
          <w:lang w:val="en-US" w:eastAsia="ja-JP"/>
        </w:rPr>
        <w:t xml:space="preserve">Summary: </w:t>
      </w:r>
      <w:r>
        <w:rPr>
          <w:lang w:val="en-US" w:eastAsia="ja-JP"/>
        </w:rPr>
        <w:t>TBD</w:t>
      </w:r>
    </w:p>
    <w:p w14:paraId="0473F195" w14:textId="77777777" w:rsidR="00773A66" w:rsidRDefault="00773A66"/>
    <w:p w14:paraId="6F079786" w14:textId="77777777" w:rsidR="00773A66" w:rsidRDefault="00B951AA">
      <w:pPr>
        <w:pStyle w:val="1"/>
      </w:pPr>
      <w:r>
        <w:lastRenderedPageBreak/>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Separately, the reply LS from SA3 in R2-2501502 indicates the following SA3 conclusions captured in S3-251048:</w:t>
      </w:r>
    </w:p>
    <w:tbl>
      <w:tblPr>
        <w:tblStyle w:val="af"/>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AioT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AioT device ID, is to be used as AioT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one whether the paging identifier needs to be visible to the MAC layer. If yes, why?</w:t>
      </w:r>
    </w:p>
    <w:tbl>
      <w:tblPr>
        <w:tblStyle w:val="af"/>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3" w:name="OLE_LINK1"/>
            <w:r>
              <w:rPr>
                <w:rFonts w:eastAsia="SimSun"/>
                <w:lang w:val="en-US" w:eastAsia="zh-CN"/>
              </w:rPr>
              <w:t>paging identifier</w:t>
            </w:r>
            <w:bookmarkEnd w:id="3"/>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맑은 고딕"/>
                <w:lang w:val="en-US" w:eastAsia="ko-KR"/>
              </w:rPr>
            </w:pPr>
            <w:r>
              <w:rPr>
                <w:rFonts w:eastAsia="SimSun" w:hint="eastAsia"/>
                <w:lang w:val="en-US" w:eastAsia="zh-CN"/>
              </w:rPr>
              <w:lastRenderedPageBreak/>
              <w:t>H</w:t>
            </w:r>
            <w:r>
              <w:rPr>
                <w:rFonts w:eastAsia="SimSun"/>
                <w:lang w:val="en-US" w:eastAsia="zh-CN"/>
              </w:rPr>
              <w:t>uawei, HiSilicon</w:t>
            </w:r>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 with comment</w:t>
            </w:r>
          </w:p>
        </w:tc>
        <w:tc>
          <w:tcPr>
            <w:tcW w:w="7219" w:type="dxa"/>
            <w:gridSpan w:val="2"/>
          </w:tcPr>
          <w:p w14:paraId="0E365B67" w14:textId="77777777" w:rsidR="00773A66" w:rsidRDefault="00B951AA">
            <w:pPr>
              <w:rPr>
                <w:rFonts w:eastAsia="SimSun"/>
                <w:lang w:val="en-US" w:eastAsia="zh-CN"/>
              </w:rPr>
            </w:pPr>
            <w:bookmarkStart w:id="4"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4"/>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Pr>
                <w:rFonts w:eastAsia="SimSun"/>
                <w:lang w:val="en-US" w:eastAsia="zh-CN"/>
              </w:rPr>
              <w:t>i</w:t>
            </w:r>
            <w:r>
              <w:rPr>
                <w:rFonts w:eastAsia="SimSun" w:hint="eastAsia"/>
                <w:lang w:val="en-US" w:eastAsia="zh-CN"/>
              </w:rPr>
              <w:t>oT Device NAS layer data.</w:t>
            </w:r>
          </w:p>
          <w:tbl>
            <w:tblPr>
              <w:tblStyle w:val="af"/>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t xml:space="preserve">AioT Device NAS protocol is supported between the AioT Device and the AIOTF. </w:t>
                  </w:r>
                  <w:r>
                    <w:rPr>
                      <w:highlight w:val="yellow"/>
                    </w:rPr>
                    <w:t>The AioT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In our opinion, Paging identifier is allocated by AioTF and should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AIoT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af3"/>
              <w:numPr>
                <w:ilvl w:val="0"/>
                <w:numId w:val="14"/>
              </w:numPr>
              <w:snapToGrid w:val="0"/>
              <w:spacing w:after="100"/>
              <w:contextualSpacing w:val="0"/>
              <w:rPr>
                <w:rFonts w:eastAsia="SimSun"/>
                <w:lang w:val="en-US" w:eastAsia="zh-CN"/>
              </w:rPr>
            </w:pPr>
            <w:r>
              <w:rPr>
                <w:rFonts w:eastAsiaTheme="minorEastAsia"/>
                <w:lang w:val="en-US" w:eastAsia="zh-CN"/>
              </w:rPr>
              <w:lastRenderedPageBreak/>
              <w:t xml:space="preserve">In the case where a very large number of devices to be inventoried (this can be a typical/special service in AIoT which is not in general IoT system), the reader may need to perform sub-grouping (mask only a subset) according to its real resources situation. This is also the way to make this special service in AIoT truly feasible and to achieve the expected AIoT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af3"/>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r>
              <w:rPr>
                <w:rFonts w:eastAsia="SimSun"/>
                <w:lang w:val="en-US" w:eastAsia="zh-CN"/>
              </w:rPr>
              <w:lastRenderedPageBreak/>
              <w:t>InterDigital</w:t>
            </w:r>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The online discussion distinguished two different understandings of “transparent”.  Firstly, we think there is no need to allow the MAC layer to page based on subgroups, or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r>
              <w:rPr>
                <w:rFonts w:eastAsia="SimSun"/>
                <w:lang w:val="en-US" w:eastAsia="zh-CN"/>
              </w:rPr>
              <w:t xml:space="preserve">That being said, there should be no reason why the MAC layer cannot see the paging ID (similar to Uu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t>AIoT Device NAS protocol is supported between the AIoT Device and the AIOTF. The AIoT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af1"/>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AIoT NAS protocol supports the inventory response and command related signalling.”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AIoT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r>
              <w:rPr>
                <w:rFonts w:eastAsia="SimSun"/>
                <w:lang w:val="en-US" w:eastAsia="zh-CN"/>
              </w:rPr>
              <w:lastRenderedPageBreak/>
              <w:t xml:space="preserve">inventory+command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The visible assumption is also related to the design of SA2. RAN2 could further discuss if there is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r>
              <w:rPr>
                <w:rFonts w:eastAsia="SimSun"/>
                <w:lang w:val="en-US" w:eastAsia="zh-CN"/>
              </w:rPr>
              <w:t>Futurewei</w:t>
            </w:r>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We assume that temporary ID is intended for paging a single device, hence there is no need for sub-grouping and i</w:t>
            </w:r>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r>
              <w:rPr>
                <w:rFonts w:eastAsia="SimSun" w:hint="eastAsia"/>
                <w:lang w:val="en-US" w:eastAsia="zh-CN"/>
              </w:rPr>
              <w:t>Transsion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FC4F31" w14:paraId="3F8F0F2B" w14:textId="77777777">
        <w:tc>
          <w:tcPr>
            <w:tcW w:w="1114" w:type="dxa"/>
          </w:tcPr>
          <w:p w14:paraId="6CE53125" w14:textId="4639EDE4" w:rsidR="00FC4F31" w:rsidRDefault="00FC4F31" w:rsidP="00FC4F31">
            <w:pPr>
              <w:rPr>
                <w:rFonts w:eastAsia="맑은 고딕"/>
                <w:color w:val="FF0000"/>
                <w:lang w:val="en-US" w:eastAsia="ko-KR"/>
              </w:rPr>
            </w:pPr>
            <w:r>
              <w:rPr>
                <w:rFonts w:eastAsia="MS Mincho" w:hint="eastAsia"/>
                <w:lang w:val="en-US" w:eastAsia="ja-JP"/>
              </w:rPr>
              <w:lastRenderedPageBreak/>
              <w:t>Kyocera</w:t>
            </w:r>
          </w:p>
        </w:tc>
        <w:tc>
          <w:tcPr>
            <w:tcW w:w="1017" w:type="dxa"/>
          </w:tcPr>
          <w:p w14:paraId="2F9B5340" w14:textId="376827DC" w:rsidR="00FC4F31" w:rsidRPr="002305C2" w:rsidRDefault="00FC4F31" w:rsidP="00FC4F31">
            <w:pPr>
              <w:rPr>
                <w:rFonts w:eastAsia="맑은 고딕"/>
                <w:color w:val="FF0000"/>
                <w:lang w:val="en-US" w:eastAsia="ko-KR"/>
              </w:rPr>
            </w:pPr>
            <w:r>
              <w:rPr>
                <w:rFonts w:eastAsia="MS Mincho" w:hint="eastAsia"/>
                <w:lang w:val="en-US" w:eastAsia="ja-JP"/>
              </w:rPr>
              <w:t>No, but</w:t>
            </w:r>
            <w:r>
              <w:rPr>
                <w:rFonts w:eastAsia="MS Mincho"/>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MS Mincho" w:hint="eastAsia"/>
                <w:lang w:val="en-US" w:eastAsia="ja-JP"/>
              </w:rPr>
              <w:t>Although it</w:t>
            </w:r>
            <w:r>
              <w:rPr>
                <w:rFonts w:eastAsia="MS Mincho"/>
                <w:lang w:val="en-US" w:eastAsia="ja-JP"/>
              </w:rPr>
              <w:t>’</w:t>
            </w:r>
            <w:r>
              <w:rPr>
                <w:rFonts w:eastAsia="MS Mincho" w:hint="eastAsia"/>
                <w:lang w:val="en-US" w:eastAsia="ja-JP"/>
              </w:rPr>
              <w:t>s beneficial for the reader</w:t>
            </w:r>
            <w:r>
              <w:rPr>
                <w:rFonts w:eastAsia="MS Mincho"/>
                <w:lang w:val="en-US" w:eastAsia="ja-JP"/>
              </w:rPr>
              <w:t>’</w:t>
            </w:r>
            <w:r>
              <w:rPr>
                <w:rFonts w:eastAsia="MS Mincho" w:hint="eastAsia"/>
                <w:lang w:val="en-US" w:eastAsia="ja-JP"/>
              </w:rPr>
              <w:t xml:space="preserve">s MAC layer to understand the paging ID (e.g., for scheduling </w:t>
            </w:r>
            <w:r>
              <w:rPr>
                <w:rFonts w:eastAsia="MS Mincho"/>
                <w:lang w:val="en-US" w:eastAsia="ja-JP"/>
              </w:rPr>
              <w:t>purposes</w:t>
            </w:r>
            <w:r>
              <w:rPr>
                <w:rFonts w:eastAsia="MS Mincho" w:hint="eastAsia"/>
                <w:lang w:val="en-US" w:eastAsia="ja-JP"/>
              </w:rPr>
              <w:t>), we don</w:t>
            </w:r>
            <w:r>
              <w:rPr>
                <w:rFonts w:eastAsia="MS Mincho"/>
                <w:lang w:val="en-US" w:eastAsia="ja-JP"/>
              </w:rPr>
              <w:t>’</w:t>
            </w:r>
            <w:r>
              <w:rPr>
                <w:rFonts w:eastAsia="MS Mincho" w:hint="eastAsia"/>
                <w:lang w:val="en-US" w:eastAsia="ja-JP"/>
              </w:rPr>
              <w:t xml:space="preserve">t assume it needs to be fully visible, at least in Rel-19 since </w:t>
            </w:r>
            <w:r>
              <w:rPr>
                <w:rFonts w:eastAsia="MS Mincho"/>
                <w:lang w:val="en-US" w:eastAsia="ja-JP"/>
              </w:rPr>
              <w:t>“</w:t>
            </w:r>
            <w:r w:rsidRPr="00D20436">
              <w:rPr>
                <w:rFonts w:eastAsia="MS Mincho"/>
                <w:i/>
                <w:iCs/>
                <w:lang w:val="en-US" w:eastAsia="ja-JP"/>
              </w:rPr>
              <w:t>a paging message contains one identifier</w:t>
            </w:r>
            <w:r>
              <w:rPr>
                <w:rFonts w:eastAsia="MS Mincho"/>
                <w:lang w:val="en-US" w:eastAsia="ja-JP"/>
              </w:rPr>
              <w:t>”</w:t>
            </w:r>
            <w:r>
              <w:rPr>
                <w:rFonts w:eastAsia="MS Mincho" w:hint="eastAsia"/>
                <w:lang w:val="en-US" w:eastAsia="ja-JP"/>
              </w:rPr>
              <w:t xml:space="preserve"> at most as stated in the WID. Instead, we assume the reader</w:t>
            </w:r>
            <w:r>
              <w:rPr>
                <w:rFonts w:eastAsia="MS Mincho"/>
                <w:lang w:val="en-US" w:eastAsia="ja-JP"/>
              </w:rPr>
              <w:t>’</w:t>
            </w:r>
            <w:r>
              <w:rPr>
                <w:rFonts w:eastAsia="MS Mincho" w:hint="eastAsia"/>
                <w:lang w:val="en-US" w:eastAsia="ja-JP"/>
              </w:rPr>
              <w:t xml:space="preserve">s MAC layer </w:t>
            </w:r>
            <w:r>
              <w:rPr>
                <w:rFonts w:eastAsia="MS Mincho"/>
                <w:lang w:val="en-US" w:eastAsia="ja-JP"/>
              </w:rPr>
              <w:t>should</w:t>
            </w:r>
            <w:r>
              <w:rPr>
                <w:rFonts w:eastAsia="MS Mincho"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r w:rsidR="000A6D2B" w14:paraId="3D43363E" w14:textId="77777777">
        <w:tc>
          <w:tcPr>
            <w:tcW w:w="1114" w:type="dxa"/>
          </w:tcPr>
          <w:p w14:paraId="0BFD9F36" w14:textId="0F829A26" w:rsidR="000A6D2B" w:rsidRDefault="000A6D2B" w:rsidP="000A6D2B">
            <w:pPr>
              <w:rPr>
                <w:rFonts w:eastAsia="MS Mincho" w:hint="eastAsia"/>
                <w:lang w:val="en-US" w:eastAsia="ja-JP"/>
              </w:rPr>
            </w:pPr>
            <w:r w:rsidRPr="00470554">
              <w:rPr>
                <w:rFonts w:eastAsia="맑은 고딕" w:hint="eastAsia"/>
                <w:lang w:val="en-US" w:eastAsia="ko-KR"/>
              </w:rPr>
              <w:t>LGE</w:t>
            </w:r>
          </w:p>
        </w:tc>
        <w:tc>
          <w:tcPr>
            <w:tcW w:w="1017" w:type="dxa"/>
          </w:tcPr>
          <w:p w14:paraId="1BD19F8E" w14:textId="206055A2" w:rsidR="000A6D2B" w:rsidRDefault="000A6D2B" w:rsidP="000A6D2B">
            <w:pPr>
              <w:rPr>
                <w:rFonts w:eastAsia="MS Mincho" w:hint="eastAsia"/>
                <w:lang w:val="en-US" w:eastAsia="ja-JP"/>
              </w:rPr>
            </w:pPr>
            <w:r w:rsidRPr="00470554">
              <w:rPr>
                <w:rFonts w:eastAsia="맑은 고딕" w:hint="eastAsia"/>
                <w:lang w:val="en-US" w:eastAsia="ko-KR"/>
              </w:rPr>
              <w:t>No</w:t>
            </w:r>
          </w:p>
        </w:tc>
        <w:tc>
          <w:tcPr>
            <w:tcW w:w="7219" w:type="dxa"/>
            <w:gridSpan w:val="2"/>
          </w:tcPr>
          <w:p w14:paraId="53E2C242" w14:textId="2AC1F9AD" w:rsidR="000A6D2B" w:rsidRDefault="000A6D2B" w:rsidP="000A6D2B">
            <w:pPr>
              <w:rPr>
                <w:rFonts w:eastAsia="MS Mincho" w:hint="eastAsia"/>
                <w:lang w:val="en-US" w:eastAsia="ja-JP"/>
              </w:rPr>
            </w:pPr>
            <w:r w:rsidRPr="00470554">
              <w:rPr>
                <w:rFonts w:eastAsia="SimSun"/>
                <w:lang w:eastAsia="zh-CN"/>
              </w:rPr>
              <w:t>We do not see a clear reason for the paging ID to be visible at the MAC layer.</w:t>
            </w:r>
          </w:p>
        </w:tc>
      </w:tr>
    </w:tbl>
    <w:p w14:paraId="2DC64D95" w14:textId="77777777" w:rsidR="00773A66" w:rsidRDefault="00773A66"/>
    <w:p w14:paraId="2B9B1882" w14:textId="77777777" w:rsidR="00773A66" w:rsidRDefault="00B951AA">
      <w:pPr>
        <w:rPr>
          <w:lang w:val="en-US" w:eastAsia="ja-JP"/>
        </w:rPr>
      </w:pPr>
      <w:r>
        <w:rPr>
          <w:b/>
          <w:bCs/>
          <w:lang w:val="en-US" w:eastAsia="ja-JP"/>
        </w:rPr>
        <w:t xml:space="preserve">Summary: </w:t>
      </w:r>
      <w:r>
        <w:rPr>
          <w:lang w:val="en-US" w:eastAsia="ja-JP"/>
        </w:rPr>
        <w:t>TBD</w:t>
      </w:r>
    </w:p>
    <w:p w14:paraId="780802B9" w14:textId="77777777" w:rsidR="00773A66" w:rsidRDefault="00773A66"/>
    <w:p w14:paraId="665D68B1" w14:textId="77777777" w:rsidR="00773A66" w:rsidRDefault="00B951AA">
      <w:pPr>
        <w:pStyle w:val="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af"/>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맑은 고딕"/>
                <w:lang w:val="en-US" w:eastAsia="ko-KR"/>
              </w:rPr>
            </w:pPr>
          </w:p>
        </w:tc>
        <w:tc>
          <w:tcPr>
            <w:tcW w:w="1800" w:type="dxa"/>
          </w:tcPr>
          <w:p w14:paraId="3B59B1EC" w14:textId="77777777" w:rsidR="00773A66" w:rsidRDefault="00773A66">
            <w:pPr>
              <w:rPr>
                <w:rFonts w:eastAsia="맑은 고딕"/>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맑은 고딕"/>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1"/>
        <w:spacing w:line="276" w:lineRule="auto"/>
        <w:ind w:left="450"/>
      </w:pPr>
      <w:r>
        <w:t xml:space="preserve">Summary </w:t>
      </w:r>
    </w:p>
    <w:p w14:paraId="2A103035" w14:textId="77777777" w:rsidR="00773A66" w:rsidRDefault="00B951AA">
      <w:pPr>
        <w:spacing w:line="276" w:lineRule="auto"/>
        <w:jc w:val="both"/>
      </w:pPr>
      <w:r>
        <w:t>TBD</w:t>
      </w:r>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headerReference w:type="default" r:id="rId23"/>
      <w:footerReference w:type="even" r:id="rId24"/>
      <w:headerReference w:type="first" r:id="rId25"/>
      <w:footerReference w:type="first" r:id="rId2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2090D" w14:textId="77777777" w:rsidR="00921BA3" w:rsidRDefault="00921BA3">
      <w:pPr>
        <w:spacing w:after="0"/>
      </w:pPr>
      <w:r>
        <w:separator/>
      </w:r>
    </w:p>
  </w:endnote>
  <w:endnote w:type="continuationSeparator" w:id="0">
    <w:p w14:paraId="2CAF0B2B" w14:textId="77777777" w:rsidR="00921BA3" w:rsidRDefault="00921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773A66" w:rsidRDefault="00B951AA">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773A66" w:rsidRDefault="00B951AA">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21E8" w14:textId="77777777" w:rsidR="00921BA3" w:rsidRDefault="00921BA3">
      <w:pPr>
        <w:spacing w:after="0"/>
      </w:pPr>
      <w:r>
        <w:separator/>
      </w:r>
    </w:p>
  </w:footnote>
  <w:footnote w:type="continuationSeparator" w:id="0">
    <w:p w14:paraId="30D97E7E" w14:textId="77777777" w:rsidR="00921BA3" w:rsidRDefault="00921B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3B28C7FD" w:rsidR="00773A66" w:rsidRDefault="00B951AA">
    <w:pPr>
      <w:pStyle w:val="ab"/>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DC41" w14:textId="5F397ACC" w:rsidR="00CD74F6" w:rsidRDefault="00CD74F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0CCE3E52" w:rsidR="00773A66" w:rsidRDefault="00B951AA">
    <w:pPr>
      <w:pStyle w:val="ab"/>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7A6B19"/>
    <w:multiLevelType w:val="singleLevel"/>
    <w:tmpl w:val="747A6B19"/>
    <w:lvl w:ilvl="0">
      <w:start w:val="1"/>
      <w:numFmt w:val="decimal"/>
      <w:suff w:val="space"/>
      <w:lvlText w:val="%1)"/>
      <w:lvlJc w:val="left"/>
    </w:lvl>
  </w:abstractNum>
  <w:abstractNum w:abstractNumId="23"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92905465">
    <w:abstractNumId w:val="10"/>
  </w:num>
  <w:num w:numId="2" w16cid:durableId="863976577">
    <w:abstractNumId w:val="7"/>
  </w:num>
  <w:num w:numId="3" w16cid:durableId="291861241">
    <w:abstractNumId w:val="13"/>
  </w:num>
  <w:num w:numId="4" w16cid:durableId="637226418">
    <w:abstractNumId w:val="20"/>
  </w:num>
  <w:num w:numId="5" w16cid:durableId="31536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752641">
    <w:abstractNumId w:val="14"/>
  </w:num>
  <w:num w:numId="7" w16cid:durableId="1246527187">
    <w:abstractNumId w:val="17"/>
  </w:num>
  <w:num w:numId="8" w16cid:durableId="976689012">
    <w:abstractNumId w:val="8"/>
  </w:num>
  <w:num w:numId="9" w16cid:durableId="370617279">
    <w:abstractNumId w:val="3"/>
  </w:num>
  <w:num w:numId="10" w16cid:durableId="1941326703">
    <w:abstractNumId w:val="12"/>
  </w:num>
  <w:num w:numId="11" w16cid:durableId="1575433444">
    <w:abstractNumId w:val="5"/>
  </w:num>
  <w:num w:numId="12" w16cid:durableId="2138257760">
    <w:abstractNumId w:val="1"/>
  </w:num>
  <w:num w:numId="13" w16cid:durableId="2046755233">
    <w:abstractNumId w:val="0"/>
  </w:num>
  <w:num w:numId="14" w16cid:durableId="1851600785">
    <w:abstractNumId w:val="16"/>
  </w:num>
  <w:num w:numId="15" w16cid:durableId="1147161837">
    <w:abstractNumId w:val="4"/>
  </w:num>
  <w:num w:numId="16" w16cid:durableId="1301812918">
    <w:abstractNumId w:val="23"/>
  </w:num>
  <w:num w:numId="17" w16cid:durableId="1139373339">
    <w:abstractNumId w:val="22"/>
  </w:num>
  <w:num w:numId="18" w16cid:durableId="667055113">
    <w:abstractNumId w:val="11"/>
  </w:num>
  <w:num w:numId="19" w16cid:durableId="649987925">
    <w:abstractNumId w:val="18"/>
  </w:num>
  <w:num w:numId="20" w16cid:durableId="199972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7448747">
    <w:abstractNumId w:val="19"/>
  </w:num>
  <w:num w:numId="22" w16cid:durableId="784881986">
    <w:abstractNumId w:val="9"/>
  </w:num>
  <w:num w:numId="23" w16cid:durableId="1728724023">
    <w:abstractNumId w:val="21"/>
  </w:num>
  <w:num w:numId="24" w16cid:durableId="1355882085">
    <w:abstractNumId w:val="2"/>
  </w:num>
  <w:num w:numId="25" w16cid:durableId="7387950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1F9C"/>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4613"/>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6D2B"/>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3BD2"/>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2946"/>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554"/>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3FEF"/>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1BA3"/>
    <w:rsid w:val="00922294"/>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2DC"/>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27AFB"/>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C86"/>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41"/>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39A4"/>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20A"/>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맑은 고딕"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Char2">
    <w:name w:val="풍선 도움말 텍스트 Char"/>
    <w:link w:val="a9"/>
    <w:uiPriority w:val="99"/>
    <w:semiHidden/>
    <w:qFormat/>
    <w:rPr>
      <w:rFonts w:ascii="Tahoma" w:eastAsia="Times New Roman" w:hAnsi="Tahoma" w:cs="Tahoma"/>
      <w:sz w:val="16"/>
      <w:szCs w:val="16"/>
      <w:lang w:val="en-GB" w:eastAsia="en-US"/>
    </w:rPr>
  </w:style>
  <w:style w:type="character" w:customStyle="1" w:styleId="Char3">
    <w:name w:val="바닥글 Char"/>
    <w:link w:val="aa"/>
    <w:qFormat/>
    <w:rPr>
      <w:rFonts w:ascii="Arial" w:eastAsia="Times New Roman" w:hAnsi="Arial" w:cs="Times New Roman"/>
      <w:b/>
      <w:i/>
      <w:sz w:val="18"/>
      <w:szCs w:val="20"/>
      <w:lang w:eastAsia="en-US"/>
    </w:rPr>
  </w:style>
  <w:style w:type="character" w:customStyle="1" w:styleId="Char4">
    <w:name w:val="머리글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제목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본문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메모 텍스트 Char"/>
    <w:link w:val="a7"/>
    <w:uiPriority w:val="99"/>
    <w:qFormat/>
    <w:rPr>
      <w:rFonts w:ascii="Times New Roman" w:eastAsia="Times New Roman" w:hAnsi="Times New Roman"/>
      <w:lang w:val="en-GB"/>
    </w:rPr>
  </w:style>
  <w:style w:type="character" w:customStyle="1" w:styleId="Char6">
    <w:name w:val="메모 주제 Char"/>
    <w:link w:val="ae"/>
    <w:uiPriority w:val="99"/>
    <w:semiHidden/>
    <w:qFormat/>
    <w:rPr>
      <w:rFonts w:ascii="Times New Roman" w:eastAsia="Times New Roman" w:hAnsi="Times New Roman"/>
      <w:b/>
      <w:bCs/>
      <w:lang w:val="en-GB"/>
    </w:rPr>
  </w:style>
  <w:style w:type="character" w:customStyle="1" w:styleId="3Char">
    <w:name w:val="제목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제목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제목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제목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제목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276" w:lineRule="auto"/>
      <w:jc w:val="both"/>
    </w:pPr>
    <w:rPr>
      <w:b/>
    </w:rPr>
  </w:style>
  <w:style w:type="paragraph" w:customStyle="1" w:styleId="Proposal">
    <w:name w:val="Proposal"/>
    <w:basedOn w:val="af3"/>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목록 단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부제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문서 구조 Char"/>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paragraph" w:styleId="af6">
    <w:name w:val="Revision"/>
    <w:hidden/>
    <w:uiPriority w:val="99"/>
    <w:semiHidden/>
    <w:rsid w:val="00CD74F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6F6BF834-D915-4813-8B04-0379CBF670E5}">
  <ds:schemaRefs>
    <ds:schemaRef ds:uri="http://schemas.openxmlformats.org/officeDocument/2006/bibliography"/>
  </ds:schemaRefs>
</ds:datastoreItem>
</file>

<file path=customXml/itemProps6.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19</TotalTime>
  <Pages>42</Pages>
  <Words>19494</Words>
  <Characters>111118</Characters>
  <Application>Microsoft Office Word</Application>
  <DocSecurity>0</DocSecurity>
  <Lines>925</Lines>
  <Paragraphs>260</Paragraphs>
  <ScaleCrop>false</ScaleCrop>
  <HeadingPairs>
    <vt:vector size="2" baseType="variant">
      <vt:variant>
        <vt:lpstr>タイトル</vt:lpstr>
      </vt:variant>
      <vt:variant>
        <vt:i4>1</vt:i4>
      </vt:variant>
    </vt:vector>
  </HeadingPairs>
  <TitlesOfParts>
    <vt:vector size="1" baseType="lpstr">
      <vt:lpstr>DCC</vt:lpstr>
    </vt:vector>
  </TitlesOfParts>
  <Company>Qualcomm Incorporated</Company>
  <LinksUpToDate>false</LinksUpToDate>
  <CharactersWithSpaces>130352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LGE-Hongchan</cp:lastModifiedBy>
  <cp:revision>28</cp:revision>
  <cp:lastPrinted>2017-09-12T20:53:00Z</cp:lastPrinted>
  <dcterms:created xsi:type="dcterms:W3CDTF">2025-03-19T13:14:00Z</dcterms:created>
  <dcterms:modified xsi:type="dcterms:W3CDTF">2025-03-21T06:20:00Z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MSIP_Label_dd59f345-fd0b-4b4e-aba2-7c7a20c52995_Enabled">
    <vt:lpwstr>true</vt:lpwstr>
  </property>
  <property fmtid="{D5CDD505-2E9C-101B-9397-08002B2CF9AE}" pid="40" name="MSIP_Label_dd59f345-fd0b-4b4e-aba2-7c7a20c52995_SetDate">
    <vt:lpwstr>2025-03-21T06:11:41Z</vt:lpwstr>
  </property>
  <property fmtid="{D5CDD505-2E9C-101B-9397-08002B2CF9AE}" pid="41" name="MSIP_Label_dd59f345-fd0b-4b4e-aba2-7c7a20c52995_Method">
    <vt:lpwstr>Privileged</vt:lpwstr>
  </property>
  <property fmtid="{D5CDD505-2E9C-101B-9397-08002B2CF9AE}" pid="42" name="MSIP_Label_dd59f345-fd0b-4b4e-aba2-7c7a20c52995_Name">
    <vt:lpwstr>General</vt:lpwstr>
  </property>
  <property fmtid="{D5CDD505-2E9C-101B-9397-08002B2CF9AE}" pid="43" name="MSIP_Label_dd59f345-fd0b-4b4e-aba2-7c7a20c52995_SiteId">
    <vt:lpwstr>5069cde4-642a-45c0-8094-d0c2dec10be3</vt:lpwstr>
  </property>
  <property fmtid="{D5CDD505-2E9C-101B-9397-08002B2CF9AE}" pid="44" name="MSIP_Label_dd59f345-fd0b-4b4e-aba2-7c7a20c52995_ActionId">
    <vt:lpwstr>64bce176-fdaf-4664-b312-51eff2d3d207</vt:lpwstr>
  </property>
  <property fmtid="{D5CDD505-2E9C-101B-9397-08002B2CF9AE}" pid="45" name="MSIP_Label_dd59f345-fd0b-4b4e-aba2-7c7a20c52995_ContentBits">
    <vt:lpwstr>0</vt:lpwstr>
  </property>
  <property fmtid="{D5CDD505-2E9C-101B-9397-08002B2CF9AE}" pid="46" name="MSIP_Label_dd59f345-fd0b-4b4e-aba2-7c7a20c52995_Tag">
    <vt:lpwstr>10, 0, 1, 1</vt:lpwstr>
  </property>
</Properties>
</file>