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6FB6B" w14:textId="669BDF9B" w:rsidR="004D2CAC" w:rsidRPr="004D2CAC" w:rsidRDefault="004D2CAC" w:rsidP="004D2CAC">
      <w:pPr>
        <w:pStyle w:val="CRCoverPage"/>
        <w:jc w:val="both"/>
        <w:rPr>
          <w:rFonts w:eastAsia="SimSun"/>
          <w:b/>
          <w:sz w:val="24"/>
          <w:lang w:val="en-US" w:eastAsia="zh-CN"/>
        </w:rPr>
      </w:pPr>
      <w:r w:rsidRPr="004D2CAC">
        <w:rPr>
          <w:rFonts w:eastAsia="SimSun"/>
          <w:b/>
          <w:sz w:val="24"/>
          <w:lang w:val="en-US" w:eastAsia="zh-CN"/>
        </w:rPr>
        <w:t>3GPP TSG-RAN WG2#12</w:t>
      </w:r>
      <w:r w:rsidR="00FF5D7A">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sidR="00FF5D7A">
        <w:rPr>
          <w:rFonts w:eastAsia="SimSun"/>
          <w:b/>
          <w:sz w:val="24"/>
          <w:lang w:val="en-US" w:eastAsia="zh-CN"/>
        </w:rPr>
        <w:t>X</w:t>
      </w:r>
      <w:r w:rsidRPr="004D2CAC">
        <w:rPr>
          <w:rFonts w:eastAsia="SimSun"/>
          <w:b/>
          <w:sz w:val="24"/>
          <w:lang w:val="en-US" w:eastAsia="zh-CN"/>
        </w:rPr>
        <w:t>XXXXX</w:t>
      </w:r>
    </w:p>
    <w:p w14:paraId="0EE98B46" w14:textId="6DDFC81F" w:rsidR="004D2CAC" w:rsidRDefault="00A1526F" w:rsidP="004D2CAC">
      <w:pPr>
        <w:pStyle w:val="CRCoverPage"/>
        <w:jc w:val="both"/>
        <w:rPr>
          <w:rFonts w:eastAsia="SimSun"/>
          <w:b/>
          <w:sz w:val="24"/>
          <w:lang w:val="en-US" w:eastAsia="zh-CN"/>
        </w:rPr>
      </w:pPr>
      <w:r w:rsidRPr="00A1526F">
        <w:rPr>
          <w:rFonts w:eastAsia="SimSun"/>
          <w:b/>
          <w:sz w:val="24"/>
          <w:lang w:val="en-US" w:eastAsia="zh-CN"/>
        </w:rPr>
        <w:t>Athens</w:t>
      </w:r>
      <w:r w:rsidR="004D2CAC" w:rsidRPr="004D2CAC">
        <w:rPr>
          <w:rFonts w:eastAsia="SimSun"/>
          <w:b/>
          <w:sz w:val="24"/>
          <w:lang w:val="en-US" w:eastAsia="zh-CN"/>
        </w:rPr>
        <w:t xml:space="preserve">, </w:t>
      </w:r>
      <w:r>
        <w:rPr>
          <w:rFonts w:eastAsia="SimSun"/>
          <w:b/>
          <w:sz w:val="24"/>
          <w:lang w:val="en-US" w:eastAsia="zh-CN"/>
        </w:rPr>
        <w:t>Gree</w:t>
      </w:r>
      <w:r w:rsidR="004D2CAC" w:rsidRPr="004D2CAC">
        <w:rPr>
          <w:rFonts w:eastAsia="SimSun"/>
          <w:b/>
          <w:sz w:val="24"/>
          <w:lang w:val="en-US" w:eastAsia="zh-CN"/>
        </w:rPr>
        <w:t xml:space="preserve">ce, </w:t>
      </w:r>
      <w:r w:rsidR="004E6D20">
        <w:rPr>
          <w:rFonts w:eastAsia="SimSun"/>
          <w:b/>
          <w:sz w:val="24"/>
          <w:lang w:val="en-US" w:eastAsia="zh-CN"/>
        </w:rPr>
        <w:t>17</w:t>
      </w:r>
      <w:r w:rsidR="004D2CAC" w:rsidRPr="004D2CAC">
        <w:rPr>
          <w:rFonts w:eastAsia="SimSun"/>
          <w:b/>
          <w:sz w:val="24"/>
          <w:lang w:val="en-US" w:eastAsia="zh-CN"/>
        </w:rPr>
        <w:t xml:space="preserve"> – </w:t>
      </w:r>
      <w:r w:rsidR="004E6D20">
        <w:rPr>
          <w:rFonts w:eastAsia="SimSun"/>
          <w:b/>
          <w:sz w:val="24"/>
          <w:lang w:val="en-US" w:eastAsia="zh-CN"/>
        </w:rPr>
        <w:t>21</w:t>
      </w:r>
      <w:r w:rsidR="004D2CAC" w:rsidRPr="004D2CAC">
        <w:rPr>
          <w:rFonts w:eastAsia="SimSun"/>
          <w:b/>
          <w:sz w:val="24"/>
          <w:lang w:val="en-US" w:eastAsia="zh-CN"/>
        </w:rPr>
        <w:t xml:space="preserve"> </w:t>
      </w:r>
      <w:r w:rsidR="00945333">
        <w:rPr>
          <w:rFonts w:eastAsia="SimSun"/>
          <w:b/>
          <w:sz w:val="24"/>
          <w:lang w:val="en-US" w:eastAsia="zh-CN"/>
        </w:rPr>
        <w:t>February</w:t>
      </w:r>
      <w:r w:rsidR="004D2CAC" w:rsidRPr="004D2CAC">
        <w:rPr>
          <w:rFonts w:eastAsia="SimSun"/>
          <w:b/>
          <w:sz w:val="24"/>
          <w:lang w:val="en-US" w:eastAsia="zh-CN"/>
        </w:rPr>
        <w:t xml:space="preserve"> 202</w:t>
      </w:r>
      <w:r w:rsidR="002858EB">
        <w:rPr>
          <w:rFonts w:eastAsia="SimSun"/>
          <w:b/>
          <w:sz w:val="24"/>
          <w:lang w:val="en-US" w:eastAsia="zh-CN"/>
        </w:rPr>
        <w:t>5</w:t>
      </w:r>
    </w:p>
    <w:p w14:paraId="38D8F30B" w14:textId="77777777" w:rsidR="004D2CAC" w:rsidRDefault="004D2CAC" w:rsidP="004D2CAC">
      <w:pPr>
        <w:pStyle w:val="CRCoverPage"/>
        <w:jc w:val="both"/>
        <w:rPr>
          <w:rFonts w:eastAsia="SimSun"/>
          <w:b/>
          <w:sz w:val="24"/>
          <w:lang w:val="en-US" w:eastAsia="zh-CN"/>
        </w:rPr>
      </w:pPr>
    </w:p>
    <w:p w14:paraId="5549A47D" w14:textId="41974DE8" w:rsidR="007D2D15" w:rsidRDefault="00701A32" w:rsidP="004D2CAC">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Heading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TableGrid"/>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w:t>
            </w:r>
            <w:proofErr w:type="gramStart"/>
            <w:r w:rsidRPr="00C0001D">
              <w:rPr>
                <w:rFonts w:ascii="Arial" w:eastAsia="MS Mincho" w:hAnsi="Arial" w:cs="Arial"/>
                <w:szCs w:val="24"/>
                <w:lang w:eastAsia="en-GB"/>
              </w:rPr>
              <w:t>LMF .</w:t>
            </w:r>
            <w:proofErr w:type="gramEnd"/>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w:t>
            </w:r>
            <w:proofErr w:type="gramStart"/>
            <w:r w:rsidRPr="00C0001D">
              <w:rPr>
                <w:rFonts w:ascii="Arial" w:eastAsia="MS Mincho" w:hAnsi="Arial" w:cs="Arial"/>
                <w:szCs w:val="24"/>
                <w:lang w:val="en-GB" w:eastAsia="en-GB"/>
              </w:rPr>
              <w:t>positioning, and</w:t>
            </w:r>
            <w:proofErr w:type="gramEnd"/>
            <w:r w:rsidRPr="00C0001D">
              <w:rPr>
                <w:rFonts w:ascii="Arial" w:eastAsia="MS Mincho" w:hAnsi="Arial" w:cs="Arial"/>
                <w:szCs w:val="24"/>
                <w:lang w:val="en-GB" w:eastAsia="en-GB"/>
              </w:rPr>
              <w:t xml:space="preserve">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 xml:space="preserve">LPP </w:t>
            </w:r>
            <w:proofErr w:type="gramStart"/>
            <w:r w:rsidRPr="00C0001D">
              <w:rPr>
                <w:rFonts w:ascii="Arial" w:eastAsia="Calibri" w:hAnsi="Arial" w:cs="Arial"/>
                <w:i/>
                <w:sz w:val="22"/>
                <w:szCs w:val="22"/>
              </w:rPr>
              <w:t>provide assistance</w:t>
            </w:r>
            <w:proofErr w:type="gramEnd"/>
            <w:r w:rsidRPr="00C0001D">
              <w:rPr>
                <w:rFonts w:ascii="Arial" w:eastAsia="Calibri" w:hAnsi="Arial" w:cs="Arial"/>
                <w:i/>
                <w:sz w:val="22"/>
                <w:szCs w:val="22"/>
              </w:rPr>
              <w:t xml:space="preserv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Heading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24D4A3AB"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A7795E" w14:textId="77EEF25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E7DACD" w14:textId="4A494528" w:rsidR="007D2D15" w:rsidRDefault="007D2D15">
            <w:pPr>
              <w:pStyle w:val="TAL"/>
              <w:rPr>
                <w:lang w:eastAsia="zh-CN"/>
              </w:rPr>
            </w:pP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Heading1"/>
        <w:numPr>
          <w:ilvl w:val="0"/>
          <w:numId w:val="3"/>
        </w:numPr>
      </w:pPr>
      <w:r>
        <w:t>Discussion</w:t>
      </w:r>
    </w:p>
    <w:p w14:paraId="586C7E43" w14:textId="6C3E2377" w:rsidR="00F61859" w:rsidRDefault="00F61859" w:rsidP="00860E3B">
      <w:pPr>
        <w:pStyle w:val="Heading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w:t>
      </w:r>
      <w:proofErr w:type="gramStart"/>
      <w:r w:rsidR="00F133F6" w:rsidRPr="00924F33">
        <w:rPr>
          <w:b/>
          <w:bCs/>
          <w:u w:val="single"/>
        </w:rPr>
        <w:t>is</w:t>
      </w:r>
      <w:proofErr w:type="gramEnd"/>
      <w:r w:rsidR="00F133F6" w:rsidRPr="00924F33">
        <w:rPr>
          <w:b/>
          <w:bCs/>
          <w:u w:val="single"/>
        </w:rPr>
        <w:t xml:space="preserve">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TableGrid"/>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w:t>
            </w:r>
            <w:proofErr w:type="spellStart"/>
            <w:r>
              <w:rPr>
                <w:lang w:eastAsia="zh-CN"/>
              </w:rPr>
              <w:t>gNB</w:t>
            </w:r>
            <w:proofErr w:type="spellEnd"/>
            <w:r>
              <w:rPr>
                <w:lang w:eastAsia="zh-CN"/>
              </w:rPr>
              <w:t xml:space="preserve"> Rx-Tx time difference for the multi-RTT and </w:t>
            </w:r>
            <w:r w:rsidR="00D4096D" w:rsidRPr="006C475A">
              <w:t>DL-PRS-RSRP</w:t>
            </w:r>
            <w:r w:rsidR="00D4096D">
              <w:t xml:space="preserve"> for the DL-</w:t>
            </w:r>
            <w:proofErr w:type="spellStart"/>
            <w:r w:rsidR="00D4096D">
              <w:t>AoD</w:t>
            </w:r>
            <w:proofErr w:type="spellEnd"/>
            <w:r w:rsidR="00D4096D">
              <w:t>.</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12A0A504" w:rsidR="0048589B" w:rsidRDefault="00D926E9">
            <w:r>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ListParagraph"/>
              <w:numPr>
                <w:ilvl w:val="0"/>
                <w:numId w:val="36"/>
              </w:numPr>
            </w:pPr>
            <w:r>
              <w:lastRenderedPageBreak/>
              <w:t>Whether any new measurement, as Xiaomi mentioned</w:t>
            </w:r>
          </w:p>
          <w:p w14:paraId="333444AC" w14:textId="77777777" w:rsidR="00D926E9" w:rsidRDefault="00D926E9" w:rsidP="00D926E9">
            <w:pPr>
              <w:pStyle w:val="ListParagraph"/>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0048589B">
        <w:trPr>
          <w:trHeight w:val="449"/>
        </w:trPr>
        <w:tc>
          <w:tcPr>
            <w:tcW w:w="1781" w:type="dxa"/>
          </w:tcPr>
          <w:p w14:paraId="7B7CDC8E" w14:textId="77777777" w:rsidR="0048589B" w:rsidRDefault="0048589B"/>
        </w:tc>
        <w:tc>
          <w:tcPr>
            <w:tcW w:w="7602" w:type="dxa"/>
          </w:tcPr>
          <w:p w14:paraId="55D9CFE7" w14:textId="77777777" w:rsidR="0048589B" w:rsidRPr="006162F7" w:rsidRDefault="0048589B"/>
        </w:tc>
      </w:tr>
      <w:tr w:rsidR="001A5A78" w14:paraId="024862FF" w14:textId="77777777" w:rsidTr="0048589B">
        <w:trPr>
          <w:trHeight w:val="449"/>
        </w:trPr>
        <w:tc>
          <w:tcPr>
            <w:tcW w:w="1781" w:type="dxa"/>
          </w:tcPr>
          <w:p w14:paraId="013012EE" w14:textId="77777777" w:rsidR="001A5A78" w:rsidRDefault="001A5A78"/>
        </w:tc>
        <w:tc>
          <w:tcPr>
            <w:tcW w:w="7602" w:type="dxa"/>
          </w:tcPr>
          <w:p w14:paraId="2C52DF2C" w14:textId="77777777" w:rsidR="001A5A78" w:rsidRPr="006162F7" w:rsidRDefault="001A5A78"/>
        </w:tc>
      </w:tr>
    </w:tbl>
    <w:p w14:paraId="7B41DE81" w14:textId="77777777"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TableGrid"/>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DengXian"/>
                <w:highlight w:val="green"/>
                <w:lang w:eastAsia="zh-CN"/>
              </w:rPr>
            </w:pPr>
            <w:r w:rsidRPr="00665437">
              <w:rPr>
                <w:rFonts w:eastAsia="DengXian" w:hint="eastAsia"/>
                <w:highlight w:val="green"/>
                <w:lang w:eastAsia="zh-CN"/>
              </w:rPr>
              <w:t>Agreement</w:t>
            </w:r>
          </w:p>
          <w:p w14:paraId="038B9708" w14:textId="77777777" w:rsidR="00786757" w:rsidRPr="00A53E20" w:rsidRDefault="00786757" w:rsidP="00786757">
            <w:r w:rsidRPr="00A53E20">
              <w:t>For AI/ML based positioning Case 1, all assistance information from legacy UE-based DL-TDOA, other than info #7, can be provided from LMF to UE. For info #7, RAN1 study</w:t>
            </w:r>
            <w:r>
              <w:rPr>
                <w:rFonts w:eastAsia="DengXian" w:hint="eastAsia"/>
                <w:lang w:eastAsia="zh-CN"/>
              </w:rPr>
              <w:t>, if necessary,</w:t>
            </w:r>
            <w:r w:rsidRPr="00A53E20">
              <w:t xml:space="preserve"> choose one alternative from the following:</w:t>
            </w:r>
          </w:p>
          <w:p w14:paraId="1D2DB060"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w:t>
            </w:r>
            <w:proofErr w:type="gramStart"/>
            <w:r w:rsidRPr="00786757">
              <w:rPr>
                <w:sz w:val="18"/>
                <w:szCs w:val="18"/>
              </w:rPr>
              <w:t xml:space="preserve">is </w:t>
            </w:r>
            <w:r w:rsidRPr="00786757">
              <w:rPr>
                <w:b/>
                <w:bCs/>
                <w:sz w:val="18"/>
                <w:szCs w:val="18"/>
              </w:rPr>
              <w:t>not</w:t>
            </w:r>
            <w:r w:rsidRPr="00786757">
              <w:rPr>
                <w:sz w:val="18"/>
                <w:szCs w:val="18"/>
              </w:rPr>
              <w:t xml:space="preserve"> be</w:t>
            </w:r>
            <w:proofErr w:type="gramEnd"/>
            <w:r w:rsidRPr="00786757">
              <w:rPr>
                <w:sz w:val="18"/>
                <w:szCs w:val="18"/>
              </w:rPr>
              <w:t xml:space="preserve"> provided from LMF to UE. </w:t>
            </w:r>
          </w:p>
          <w:p w14:paraId="1AAD80D8"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tc>
          <w:tcPr>
            <w:tcW w:w="1529" w:type="dxa"/>
          </w:tcPr>
          <w:p w14:paraId="50A6082C" w14:textId="77777777" w:rsidR="00E64C12" w:rsidRDefault="00E64C12"/>
        </w:tc>
        <w:tc>
          <w:tcPr>
            <w:tcW w:w="1301" w:type="dxa"/>
          </w:tcPr>
          <w:p w14:paraId="0C946E6F" w14:textId="77777777" w:rsidR="00E64C12" w:rsidRPr="006162F7" w:rsidRDefault="00E64C12"/>
        </w:tc>
        <w:tc>
          <w:tcPr>
            <w:tcW w:w="6525" w:type="dxa"/>
          </w:tcPr>
          <w:p w14:paraId="355D41C3" w14:textId="77777777" w:rsidR="00E64C12" w:rsidRPr="006162F7" w:rsidRDefault="00E64C12"/>
        </w:tc>
      </w:tr>
      <w:tr w:rsidR="00E64C12" w14:paraId="753A6811" w14:textId="77777777">
        <w:tc>
          <w:tcPr>
            <w:tcW w:w="1529" w:type="dxa"/>
          </w:tcPr>
          <w:p w14:paraId="7322FC7B" w14:textId="77777777" w:rsidR="00E64C12" w:rsidRDefault="00E64C12"/>
        </w:tc>
        <w:tc>
          <w:tcPr>
            <w:tcW w:w="1301" w:type="dxa"/>
          </w:tcPr>
          <w:p w14:paraId="203CE370" w14:textId="77777777" w:rsidR="00E64C12" w:rsidRPr="006162F7" w:rsidRDefault="00E64C12"/>
        </w:tc>
        <w:tc>
          <w:tcPr>
            <w:tcW w:w="6525" w:type="dxa"/>
          </w:tcPr>
          <w:p w14:paraId="5AEDF0C4" w14:textId="77777777" w:rsidR="00E64C12" w:rsidRPr="006162F7" w:rsidRDefault="00E64C12"/>
        </w:tc>
      </w:tr>
    </w:tbl>
    <w:p w14:paraId="335CDB19" w14:textId="6BEBDD8F" w:rsidR="00974737" w:rsidRDefault="00974737" w:rsidP="002B40FA">
      <w:pPr>
        <w:rPr>
          <w:lang w:val="en-GB" w:eastAsia="zh-CN"/>
        </w:rPr>
      </w:pPr>
    </w:p>
    <w:p w14:paraId="4854B356" w14:textId="609A395E" w:rsidR="00B81331" w:rsidRDefault="00F70287" w:rsidP="00860E3B">
      <w:pPr>
        <w:pStyle w:val="Heading2"/>
        <w:numPr>
          <w:ilvl w:val="1"/>
          <w:numId w:val="3"/>
        </w:numPr>
      </w:pPr>
      <w:r w:rsidRPr="00F70287">
        <w:t>FFS which does not need RAN1 input</w:t>
      </w:r>
    </w:p>
    <w:p w14:paraId="3A701C12" w14:textId="77777777" w:rsidR="007071F7" w:rsidRDefault="007071F7" w:rsidP="00860E3B">
      <w:pPr>
        <w:pStyle w:val="Heading3"/>
        <w:numPr>
          <w:ilvl w:val="2"/>
          <w:numId w:val="3"/>
        </w:numPr>
        <w:ind w:left="709"/>
      </w:pPr>
      <w:r>
        <w:t>Signaling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TableGrid"/>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ListParagraph"/>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sidR="00FD5538">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sidR="00253665">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w:t>
      </w:r>
      <w:proofErr w:type="gramStart"/>
      <w:r w:rsidRPr="00034A4B">
        <w:rPr>
          <w:rFonts w:ascii="Times New Roman" w:eastAsia="SimSun" w:hAnsi="Times New Roman" w:cs="Times New Roman"/>
          <w:b/>
          <w:bCs/>
          <w:sz w:val="20"/>
          <w:szCs w:val="20"/>
          <w:u w:val="single"/>
        </w:rPr>
        <w:t>location;</w:t>
      </w:r>
      <w:proofErr w:type="gramEnd"/>
    </w:p>
    <w:p w14:paraId="1F60531D" w14:textId="65378509" w:rsidR="007071F7" w:rsidRPr="00034A4B" w:rsidRDefault="00034A4B" w:rsidP="00034A4B">
      <w:pPr>
        <w:pStyle w:val="ListParagraph"/>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sidR="008A60E8">
        <w:rPr>
          <w:rFonts w:ascii="Times New Roman" w:eastAsia="SimSun" w:hAnsi="Times New Roman" w:cs="Times New Roman"/>
          <w:b/>
          <w:bCs/>
          <w:sz w:val="20"/>
          <w:szCs w:val="20"/>
          <w:u w:val="single"/>
        </w:rPr>
        <w:t>.</w:t>
      </w:r>
    </w:p>
    <w:tbl>
      <w:tblPr>
        <w:tblStyle w:val="TableGrid"/>
        <w:tblW w:w="9355" w:type="dxa"/>
        <w:tblLook w:val="04A0" w:firstRow="1" w:lastRow="0" w:firstColumn="1" w:lastColumn="0" w:noHBand="0" w:noVBand="1"/>
      </w:tblPr>
      <w:tblGrid>
        <w:gridCol w:w="1510"/>
        <w:gridCol w:w="1527"/>
        <w:gridCol w:w="6318"/>
      </w:tblGrid>
      <w:tr w:rsidR="007071F7" w14:paraId="53C8AF1A" w14:textId="77777777">
        <w:tc>
          <w:tcPr>
            <w:tcW w:w="1529" w:type="dxa"/>
          </w:tcPr>
          <w:p w14:paraId="4D614F42" w14:textId="77777777" w:rsidR="007071F7" w:rsidRPr="006162F7" w:rsidRDefault="007071F7">
            <w:pPr>
              <w:jc w:val="both"/>
              <w:rPr>
                <w:b/>
                <w:bCs/>
              </w:rPr>
            </w:pPr>
            <w:r w:rsidRPr="006162F7">
              <w:rPr>
                <w:b/>
                <w:bCs/>
              </w:rPr>
              <w:t>Company</w:t>
            </w:r>
          </w:p>
        </w:tc>
        <w:tc>
          <w:tcPr>
            <w:tcW w:w="1301"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525" w:type="dxa"/>
          </w:tcPr>
          <w:p w14:paraId="5DBDC202" w14:textId="77777777" w:rsidR="007071F7" w:rsidRPr="006162F7" w:rsidRDefault="007071F7">
            <w:pPr>
              <w:jc w:val="both"/>
              <w:rPr>
                <w:b/>
                <w:bCs/>
              </w:rPr>
            </w:pPr>
            <w:r w:rsidRPr="006162F7">
              <w:rPr>
                <w:b/>
                <w:bCs/>
              </w:rPr>
              <w:t>Remark</w:t>
            </w:r>
          </w:p>
        </w:tc>
      </w:tr>
      <w:tr w:rsidR="007071F7" w14:paraId="383CF1D0" w14:textId="77777777">
        <w:tc>
          <w:tcPr>
            <w:tcW w:w="1529" w:type="dxa"/>
          </w:tcPr>
          <w:p w14:paraId="54F25342" w14:textId="2D66DD0A" w:rsidR="007071F7" w:rsidRDefault="00D5595B">
            <w:pPr>
              <w:rPr>
                <w:lang w:eastAsia="zh-CN"/>
              </w:rPr>
            </w:pPr>
            <w:r>
              <w:rPr>
                <w:rFonts w:hint="eastAsia"/>
                <w:lang w:eastAsia="zh-CN"/>
              </w:rPr>
              <w:t>X</w:t>
            </w:r>
            <w:r>
              <w:rPr>
                <w:lang w:eastAsia="zh-CN"/>
              </w:rPr>
              <w:t>iaomi</w:t>
            </w:r>
          </w:p>
        </w:tc>
        <w:tc>
          <w:tcPr>
            <w:tcW w:w="1301"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525"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tc>
          <w:tcPr>
            <w:tcW w:w="1529" w:type="dxa"/>
          </w:tcPr>
          <w:p w14:paraId="15158AD6" w14:textId="747E05A5" w:rsidR="007071F7" w:rsidRDefault="007450F0">
            <w:r>
              <w:t>Apple</w:t>
            </w:r>
          </w:p>
        </w:tc>
        <w:tc>
          <w:tcPr>
            <w:tcW w:w="1301"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w:t>
            </w:r>
            <w:proofErr w:type="gramStart"/>
            <w:r>
              <w:t>to stage</w:t>
            </w:r>
            <w:proofErr w:type="gramEnd"/>
            <w:r>
              <w:t xml:space="preserve"> 3 discussion</w:t>
            </w:r>
          </w:p>
        </w:tc>
        <w:tc>
          <w:tcPr>
            <w:tcW w:w="6525"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tc>
          <w:tcPr>
            <w:tcW w:w="1529" w:type="dxa"/>
          </w:tcPr>
          <w:p w14:paraId="0FC34D86" w14:textId="77777777" w:rsidR="007071F7" w:rsidRDefault="007071F7"/>
        </w:tc>
        <w:tc>
          <w:tcPr>
            <w:tcW w:w="1301" w:type="dxa"/>
          </w:tcPr>
          <w:p w14:paraId="5281BCCF" w14:textId="77777777" w:rsidR="007071F7" w:rsidRPr="006162F7" w:rsidRDefault="007071F7"/>
        </w:tc>
        <w:tc>
          <w:tcPr>
            <w:tcW w:w="6525" w:type="dxa"/>
          </w:tcPr>
          <w:p w14:paraId="563534B4" w14:textId="77777777" w:rsidR="007071F7" w:rsidRPr="006162F7" w:rsidRDefault="007071F7"/>
        </w:tc>
      </w:tr>
      <w:tr w:rsidR="007071F7" w14:paraId="7E83DC31" w14:textId="77777777">
        <w:tc>
          <w:tcPr>
            <w:tcW w:w="1529" w:type="dxa"/>
          </w:tcPr>
          <w:p w14:paraId="264B159F" w14:textId="77777777" w:rsidR="007071F7" w:rsidRDefault="007071F7"/>
        </w:tc>
        <w:tc>
          <w:tcPr>
            <w:tcW w:w="1301" w:type="dxa"/>
          </w:tcPr>
          <w:p w14:paraId="29894CF4" w14:textId="77777777" w:rsidR="007071F7" w:rsidRPr="006162F7" w:rsidRDefault="007071F7"/>
        </w:tc>
        <w:tc>
          <w:tcPr>
            <w:tcW w:w="6525" w:type="dxa"/>
          </w:tcPr>
          <w:p w14:paraId="1359FE77" w14:textId="77777777" w:rsidR="007071F7" w:rsidRPr="006162F7" w:rsidRDefault="007071F7"/>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Heading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TableGrid"/>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w:t>
            </w:r>
            <w:proofErr w:type="gramStart"/>
            <w:r w:rsidRPr="0092649F">
              <w:rPr>
                <w:lang w:val="en-GB" w:eastAsia="zh-CN"/>
              </w:rPr>
              <w:t>positioning, and</w:t>
            </w:r>
            <w:proofErr w:type="gramEnd"/>
            <w:r w:rsidRPr="0092649F">
              <w:rPr>
                <w:lang w:val="en-GB" w:eastAsia="zh-CN"/>
              </w:rPr>
              <w:t xml:space="preserve"> reply with LPP </w:t>
            </w:r>
            <w:proofErr w:type="spellStart"/>
            <w:r w:rsidRPr="0092649F">
              <w:rPr>
                <w:lang w:val="en-GB" w:eastAsia="zh-CN"/>
              </w:rPr>
              <w:lastRenderedPageBreak/>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TableGrid"/>
        <w:tblW w:w="9355" w:type="dxa"/>
        <w:tblLook w:val="04A0" w:firstRow="1" w:lastRow="0" w:firstColumn="1" w:lastColumn="0" w:noHBand="0" w:noVBand="1"/>
      </w:tblPr>
      <w:tblGrid>
        <w:gridCol w:w="1506"/>
        <w:gridCol w:w="1527"/>
        <w:gridCol w:w="6322"/>
      </w:tblGrid>
      <w:tr w:rsidR="006162F7" w14:paraId="0ED80E48" w14:textId="77777777">
        <w:tc>
          <w:tcPr>
            <w:tcW w:w="1529" w:type="dxa"/>
          </w:tcPr>
          <w:p w14:paraId="6BE9CF1E" w14:textId="77777777" w:rsidR="006162F7" w:rsidRPr="006162F7" w:rsidRDefault="006162F7" w:rsidP="006162F7">
            <w:pPr>
              <w:jc w:val="both"/>
              <w:rPr>
                <w:b/>
                <w:bCs/>
              </w:rPr>
            </w:pPr>
            <w:r w:rsidRPr="006162F7">
              <w:rPr>
                <w:b/>
                <w:bCs/>
              </w:rPr>
              <w:t>Company</w:t>
            </w:r>
          </w:p>
        </w:tc>
        <w:tc>
          <w:tcPr>
            <w:tcW w:w="1301"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525"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tc>
          <w:tcPr>
            <w:tcW w:w="1529" w:type="dxa"/>
          </w:tcPr>
          <w:p w14:paraId="11A8895F" w14:textId="707D5285" w:rsidR="006162F7" w:rsidRDefault="00160A22">
            <w:pPr>
              <w:rPr>
                <w:lang w:eastAsia="zh-CN"/>
              </w:rPr>
            </w:pPr>
            <w:r>
              <w:rPr>
                <w:rFonts w:hint="eastAsia"/>
                <w:lang w:eastAsia="zh-CN"/>
              </w:rPr>
              <w:t>X</w:t>
            </w:r>
            <w:r>
              <w:rPr>
                <w:lang w:eastAsia="zh-CN"/>
              </w:rPr>
              <w:t>iaomi</w:t>
            </w:r>
          </w:p>
        </w:tc>
        <w:tc>
          <w:tcPr>
            <w:tcW w:w="1301" w:type="dxa"/>
          </w:tcPr>
          <w:p w14:paraId="09AAB13F" w14:textId="0EE93FF5" w:rsidR="006162F7" w:rsidRDefault="00160A22">
            <w:pPr>
              <w:rPr>
                <w:lang w:eastAsia="zh-CN"/>
              </w:rPr>
            </w:pPr>
            <w:r>
              <w:rPr>
                <w:rFonts w:hint="eastAsia"/>
                <w:lang w:eastAsia="zh-CN"/>
              </w:rPr>
              <w:t>A</w:t>
            </w:r>
            <w:r>
              <w:rPr>
                <w:lang w:eastAsia="zh-CN"/>
              </w:rPr>
              <w:t>gree</w:t>
            </w:r>
          </w:p>
        </w:tc>
        <w:tc>
          <w:tcPr>
            <w:tcW w:w="6525"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proofErr w:type="gramStart"/>
            <w:r>
              <w:rPr>
                <w:lang w:eastAsia="zh-CN"/>
              </w:rPr>
              <w:t>necessary</w:t>
            </w:r>
            <w:proofErr w:type="gramEnd"/>
            <w:r>
              <w:rPr>
                <w:lang w:eastAsia="zh-CN"/>
              </w:rPr>
              <w:t xml:space="preserve">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tc>
          <w:tcPr>
            <w:tcW w:w="1529" w:type="dxa"/>
          </w:tcPr>
          <w:p w14:paraId="4787C27A" w14:textId="0CA43125" w:rsidR="006162F7" w:rsidRDefault="00B4290B">
            <w:r>
              <w:t>Apple</w:t>
            </w:r>
          </w:p>
        </w:tc>
        <w:tc>
          <w:tcPr>
            <w:tcW w:w="1301" w:type="dxa"/>
          </w:tcPr>
          <w:p w14:paraId="3E3CABAC" w14:textId="61047156" w:rsidR="006162F7" w:rsidRDefault="00B4290B">
            <w:r>
              <w:t xml:space="preserve">Disagree </w:t>
            </w:r>
          </w:p>
        </w:tc>
        <w:tc>
          <w:tcPr>
            <w:tcW w:w="6525"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ListParagraph"/>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ListParagraph"/>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ListParagraph"/>
              <w:numPr>
                <w:ilvl w:val="0"/>
                <w:numId w:val="38"/>
              </w:numPr>
            </w:pPr>
            <w:r>
              <w:t xml:space="preserve">On the issue of time gap raised by Xiaomi, we think that is the reason why we introduce applicable functionality reporting. </w:t>
            </w:r>
          </w:p>
        </w:tc>
      </w:tr>
      <w:tr w:rsidR="006162F7" w14:paraId="3FFA621D" w14:textId="77777777">
        <w:tc>
          <w:tcPr>
            <w:tcW w:w="1529" w:type="dxa"/>
          </w:tcPr>
          <w:p w14:paraId="33DC2A60" w14:textId="77777777" w:rsidR="006162F7" w:rsidRDefault="006162F7"/>
        </w:tc>
        <w:tc>
          <w:tcPr>
            <w:tcW w:w="1301" w:type="dxa"/>
          </w:tcPr>
          <w:p w14:paraId="205270A1" w14:textId="77777777" w:rsidR="006162F7" w:rsidRPr="006162F7" w:rsidRDefault="006162F7"/>
        </w:tc>
        <w:tc>
          <w:tcPr>
            <w:tcW w:w="6525" w:type="dxa"/>
          </w:tcPr>
          <w:p w14:paraId="15B79C78" w14:textId="77777777" w:rsidR="006162F7" w:rsidRPr="006162F7" w:rsidRDefault="006162F7"/>
        </w:tc>
      </w:tr>
      <w:tr w:rsidR="006162F7" w14:paraId="20ABFB15" w14:textId="77777777">
        <w:tc>
          <w:tcPr>
            <w:tcW w:w="1529" w:type="dxa"/>
          </w:tcPr>
          <w:p w14:paraId="0392C70F" w14:textId="77777777" w:rsidR="006162F7" w:rsidRDefault="006162F7"/>
        </w:tc>
        <w:tc>
          <w:tcPr>
            <w:tcW w:w="1301" w:type="dxa"/>
          </w:tcPr>
          <w:p w14:paraId="30EB39BB" w14:textId="77777777" w:rsidR="006162F7" w:rsidRPr="006162F7" w:rsidRDefault="006162F7"/>
        </w:tc>
        <w:tc>
          <w:tcPr>
            <w:tcW w:w="6525" w:type="dxa"/>
          </w:tcPr>
          <w:p w14:paraId="4B128603" w14:textId="77777777" w:rsidR="006162F7" w:rsidRPr="006162F7" w:rsidRDefault="006162F7"/>
        </w:tc>
      </w:tr>
    </w:tbl>
    <w:p w14:paraId="529FAE76" w14:textId="77777777" w:rsidR="00713618" w:rsidRDefault="00713618" w:rsidP="002B40FA">
      <w:pPr>
        <w:rPr>
          <w:lang w:eastAsia="zh-CN"/>
        </w:rPr>
      </w:pPr>
    </w:p>
    <w:p w14:paraId="1D89C23E" w14:textId="475FB852" w:rsidR="00751F62" w:rsidRDefault="00751F62" w:rsidP="002B40FA">
      <w:pPr>
        <w:rPr>
          <w:lang w:eastAsia="zh-CN"/>
        </w:rPr>
      </w:pPr>
      <w:r>
        <w:rPr>
          <w:lang w:eastAsia="zh-CN"/>
        </w:rPr>
        <w:lastRenderedPageBreak/>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TableGrid"/>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007F0784">
        <w:trPr>
          <w:trHeight w:val="428"/>
        </w:trPr>
        <w:tc>
          <w:tcPr>
            <w:tcW w:w="1944" w:type="dxa"/>
          </w:tcPr>
          <w:p w14:paraId="348A0020" w14:textId="0C088E65" w:rsidR="007F0784" w:rsidRDefault="007F0784"/>
        </w:tc>
        <w:tc>
          <w:tcPr>
            <w:tcW w:w="8299" w:type="dxa"/>
          </w:tcPr>
          <w:p w14:paraId="311D7AE1" w14:textId="77777777" w:rsidR="007F0784" w:rsidRPr="006162F7" w:rsidRDefault="007F0784"/>
        </w:tc>
      </w:tr>
      <w:tr w:rsidR="007F0784" w14:paraId="48449D50" w14:textId="77777777" w:rsidTr="007F0784">
        <w:trPr>
          <w:trHeight w:val="428"/>
        </w:trPr>
        <w:tc>
          <w:tcPr>
            <w:tcW w:w="1944" w:type="dxa"/>
          </w:tcPr>
          <w:p w14:paraId="3AAE3A43" w14:textId="77777777" w:rsidR="007F0784" w:rsidRDefault="007F0784"/>
        </w:tc>
        <w:tc>
          <w:tcPr>
            <w:tcW w:w="8299" w:type="dxa"/>
          </w:tcPr>
          <w:p w14:paraId="50618553" w14:textId="77777777" w:rsidR="007F0784" w:rsidRPr="006162F7" w:rsidRDefault="007F0784"/>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w:t>
            </w:r>
            <w:proofErr w:type="spellStart"/>
            <w:r>
              <w:rPr>
                <w:lang w:eastAsia="zh-CN"/>
              </w:rPr>
              <w:t>AoD</w:t>
            </w:r>
            <w:proofErr w:type="spellEnd"/>
            <w:r>
              <w:rPr>
                <w:lang w:eastAsia="zh-CN"/>
              </w:rPr>
              <w:t xml:space="preserve"> can be considered for the fallback configuration.</w:t>
            </w:r>
          </w:p>
          <w:p w14:paraId="496F2192" w14:textId="338FF3F0" w:rsidR="00BE78C7" w:rsidRDefault="00BE78C7">
            <w:pPr>
              <w:rPr>
                <w:lang w:eastAsia="zh-CN"/>
              </w:rPr>
            </w:pPr>
            <w:r>
              <w:rPr>
                <w:rFonts w:hint="eastAsia"/>
                <w:lang w:eastAsia="zh-CN"/>
              </w:rPr>
              <w:t>F</w:t>
            </w:r>
            <w:r>
              <w:rPr>
                <w:lang w:eastAsia="zh-CN"/>
              </w:rPr>
              <w:t xml:space="preserve">or example, LMF configures the UE to </w:t>
            </w:r>
            <w:proofErr w:type="gramStart"/>
            <w:r>
              <w:rPr>
                <w:lang w:eastAsia="zh-CN"/>
              </w:rPr>
              <w:t>use  DL</w:t>
            </w:r>
            <w:proofErr w:type="gramEnd"/>
            <w:r>
              <w:rPr>
                <w:lang w:eastAsia="zh-CN"/>
              </w:rPr>
              <w:t>-</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4A3F8F" w14:paraId="5CAE633C" w14:textId="77777777">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trPr>
          <w:trHeight w:val="428"/>
        </w:trPr>
        <w:tc>
          <w:tcPr>
            <w:tcW w:w="1944" w:type="dxa"/>
          </w:tcPr>
          <w:p w14:paraId="2921E4BE" w14:textId="77777777" w:rsidR="00CC19D8" w:rsidRDefault="00CC19D8"/>
        </w:tc>
        <w:tc>
          <w:tcPr>
            <w:tcW w:w="8299" w:type="dxa"/>
          </w:tcPr>
          <w:p w14:paraId="14510EBD" w14:textId="77777777" w:rsidR="00CC19D8" w:rsidRPr="006162F7" w:rsidRDefault="00CC19D8"/>
        </w:tc>
      </w:tr>
      <w:tr w:rsidR="00CC19D8" w14:paraId="09090F50" w14:textId="77777777">
        <w:trPr>
          <w:trHeight w:val="428"/>
        </w:trPr>
        <w:tc>
          <w:tcPr>
            <w:tcW w:w="1944" w:type="dxa"/>
          </w:tcPr>
          <w:p w14:paraId="4E8F0899" w14:textId="77777777" w:rsidR="00CC19D8" w:rsidRDefault="00CC19D8"/>
        </w:tc>
        <w:tc>
          <w:tcPr>
            <w:tcW w:w="8299" w:type="dxa"/>
          </w:tcPr>
          <w:p w14:paraId="6049C4A0" w14:textId="77777777" w:rsidR="00CC19D8" w:rsidRPr="006162F7" w:rsidRDefault="00CC19D8"/>
        </w:tc>
      </w:tr>
    </w:tbl>
    <w:p w14:paraId="1C9EBC24" w14:textId="77777777" w:rsidR="00CC19D8" w:rsidRDefault="00CC19D8" w:rsidP="002B40FA">
      <w:pPr>
        <w:rPr>
          <w:lang w:eastAsia="zh-CN"/>
        </w:rPr>
      </w:pPr>
    </w:p>
    <w:p w14:paraId="3B38C5CD" w14:textId="5CC444CD" w:rsidR="00CD7C21" w:rsidRDefault="00CD7C21" w:rsidP="002B40FA">
      <w:pPr>
        <w:rPr>
          <w:lang w:eastAsia="zh-CN"/>
        </w:rPr>
      </w:pPr>
      <w:proofErr w:type="gramStart"/>
      <w:r>
        <w:rPr>
          <w:lang w:eastAsia="zh-CN"/>
        </w:rPr>
        <w:t>Similar to</w:t>
      </w:r>
      <w:proofErr w:type="gramEnd"/>
      <w:r>
        <w:rPr>
          <w:lang w:eastAsia="zh-CN"/>
        </w:rPr>
        <w:t xml:space="preserve">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 xml:space="preserve">if there are several localizations needed over </w:t>
      </w:r>
      <w:proofErr w:type="gramStart"/>
      <w:r w:rsidR="00573A6B">
        <w:rPr>
          <w:lang w:eastAsia="zh-CN"/>
        </w:rPr>
        <w:t>a period of time</w:t>
      </w:r>
      <w:proofErr w:type="gramEnd"/>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w:t>
      </w:r>
      <w:proofErr w:type="spellStart"/>
      <w:r w:rsidR="00A44C61">
        <w:rPr>
          <w:lang w:eastAsia="zh-CN"/>
        </w:rPr>
        <w:t>NLoS</w:t>
      </w:r>
      <w:proofErr w:type="spellEnd"/>
      <w:r w:rsidR="00A44C61">
        <w:rPr>
          <w:lang w:eastAsia="zh-CN"/>
        </w:rPr>
        <w:t xml:space="preserve">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proofErr w:type="gramStart"/>
      <w:r w:rsidR="00FB708E">
        <w:rPr>
          <w:b/>
          <w:bCs/>
          <w:u w:val="single"/>
        </w:rPr>
        <w:t>similar to</w:t>
      </w:r>
      <w:proofErr w:type="gramEnd"/>
      <w:r w:rsidR="00FB708E">
        <w:rPr>
          <w:b/>
          <w:bCs/>
          <w:u w:val="single"/>
        </w:rPr>
        <w:t xml:space="preserve">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lastRenderedPageBreak/>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trPr>
          <w:trHeight w:val="418"/>
        </w:trPr>
        <w:tc>
          <w:tcPr>
            <w:tcW w:w="1944" w:type="dxa"/>
          </w:tcPr>
          <w:p w14:paraId="0DE516D5" w14:textId="3A6C39DF" w:rsidR="00A26A9C" w:rsidRDefault="00D06117">
            <w:r>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trPr>
          <w:trHeight w:val="428"/>
        </w:trPr>
        <w:tc>
          <w:tcPr>
            <w:tcW w:w="1944" w:type="dxa"/>
          </w:tcPr>
          <w:p w14:paraId="32E43EA1" w14:textId="77777777" w:rsidR="00A26A9C" w:rsidRDefault="00A26A9C"/>
        </w:tc>
        <w:tc>
          <w:tcPr>
            <w:tcW w:w="8299" w:type="dxa"/>
          </w:tcPr>
          <w:p w14:paraId="79438100" w14:textId="77777777" w:rsidR="00A26A9C" w:rsidRPr="006162F7" w:rsidRDefault="00A26A9C"/>
        </w:tc>
      </w:tr>
      <w:tr w:rsidR="00A26A9C" w14:paraId="077FDB7E" w14:textId="77777777">
        <w:trPr>
          <w:trHeight w:val="428"/>
        </w:trPr>
        <w:tc>
          <w:tcPr>
            <w:tcW w:w="1944" w:type="dxa"/>
          </w:tcPr>
          <w:p w14:paraId="24B80BEB" w14:textId="77777777" w:rsidR="00A26A9C" w:rsidRDefault="00A26A9C"/>
        </w:tc>
        <w:tc>
          <w:tcPr>
            <w:tcW w:w="8299" w:type="dxa"/>
          </w:tcPr>
          <w:p w14:paraId="43AE0EF0" w14:textId="77777777" w:rsidR="00A26A9C" w:rsidRPr="006162F7" w:rsidRDefault="00A26A9C"/>
        </w:tc>
      </w:tr>
    </w:tbl>
    <w:p w14:paraId="32CB453F" w14:textId="77777777" w:rsidR="00A26A9C" w:rsidRDefault="00A26A9C" w:rsidP="002B40FA">
      <w:pPr>
        <w:rPr>
          <w:lang w:eastAsia="zh-CN"/>
        </w:rPr>
      </w:pPr>
    </w:p>
    <w:p w14:paraId="34E95BA2" w14:textId="2EE7FD1B" w:rsidR="00A21DDA" w:rsidRPr="004F3599" w:rsidRDefault="00A21DDA" w:rsidP="004377C7">
      <w:pPr>
        <w:pStyle w:val="Heading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TableGrid"/>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w:t>
            </w:r>
            <w:proofErr w:type="gramStart"/>
            <w:r>
              <w:rPr>
                <w:lang w:eastAsia="zh-CN"/>
              </w:rPr>
              <w:t>to add</w:t>
            </w:r>
            <w:proofErr w:type="gramEnd"/>
            <w:r>
              <w:rPr>
                <w:lang w:eastAsia="zh-CN"/>
              </w:rPr>
              <w:t xml:space="preserve">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lang w:eastAsia="zh-CN"/>
              </w:rPr>
            </w:pPr>
          </w:p>
        </w:tc>
      </w:tr>
      <w:tr w:rsidR="004F3599" w14:paraId="27BE2A4C" w14:textId="77777777" w:rsidTr="00CD623B">
        <w:tc>
          <w:tcPr>
            <w:tcW w:w="1511" w:type="dxa"/>
          </w:tcPr>
          <w:p w14:paraId="2CD02DA9" w14:textId="64890A98" w:rsidR="004F3599" w:rsidRDefault="00F01731">
            <w:r>
              <w:lastRenderedPageBreak/>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00CD623B">
        <w:tc>
          <w:tcPr>
            <w:tcW w:w="1511" w:type="dxa"/>
          </w:tcPr>
          <w:p w14:paraId="45697C4D" w14:textId="77777777" w:rsidR="004F3599" w:rsidRDefault="004F3599"/>
        </w:tc>
        <w:tc>
          <w:tcPr>
            <w:tcW w:w="1527" w:type="dxa"/>
          </w:tcPr>
          <w:p w14:paraId="7AD275E1" w14:textId="77777777" w:rsidR="004F3599" w:rsidRPr="006162F7" w:rsidRDefault="004F3599"/>
        </w:tc>
        <w:tc>
          <w:tcPr>
            <w:tcW w:w="6317" w:type="dxa"/>
          </w:tcPr>
          <w:p w14:paraId="770125C2" w14:textId="77777777" w:rsidR="004F3599" w:rsidRPr="006162F7" w:rsidRDefault="004F3599"/>
        </w:tc>
      </w:tr>
      <w:tr w:rsidR="004F3599" w14:paraId="7B395FEF" w14:textId="77777777" w:rsidTr="00CD623B">
        <w:tc>
          <w:tcPr>
            <w:tcW w:w="1511" w:type="dxa"/>
          </w:tcPr>
          <w:p w14:paraId="173C2B09" w14:textId="77777777" w:rsidR="004F3599" w:rsidRDefault="004F3599"/>
        </w:tc>
        <w:tc>
          <w:tcPr>
            <w:tcW w:w="1527" w:type="dxa"/>
          </w:tcPr>
          <w:p w14:paraId="7A4BB629" w14:textId="77777777" w:rsidR="004F3599" w:rsidRPr="006162F7" w:rsidRDefault="004F3599"/>
        </w:tc>
        <w:tc>
          <w:tcPr>
            <w:tcW w:w="6317" w:type="dxa"/>
          </w:tcPr>
          <w:p w14:paraId="45983516" w14:textId="77777777" w:rsidR="004F3599" w:rsidRPr="006162F7" w:rsidRDefault="004F3599"/>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Heading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TableGrid"/>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TableGrid"/>
        <w:tblW w:w="9355" w:type="dxa"/>
        <w:tblLook w:val="04A0" w:firstRow="1" w:lastRow="0" w:firstColumn="1" w:lastColumn="0" w:noHBand="0" w:noVBand="1"/>
      </w:tblPr>
      <w:tblGrid>
        <w:gridCol w:w="1511"/>
        <w:gridCol w:w="1527"/>
        <w:gridCol w:w="6317"/>
      </w:tblGrid>
      <w:tr w:rsidR="00981D06" w:rsidRPr="006162F7" w14:paraId="7D157A5B" w14:textId="77777777">
        <w:tc>
          <w:tcPr>
            <w:tcW w:w="1529" w:type="dxa"/>
          </w:tcPr>
          <w:p w14:paraId="454C33DF" w14:textId="77777777" w:rsidR="00981D06" w:rsidRPr="006162F7" w:rsidRDefault="00981D06">
            <w:pPr>
              <w:jc w:val="both"/>
              <w:rPr>
                <w:b/>
                <w:bCs/>
              </w:rPr>
            </w:pPr>
            <w:r w:rsidRPr="006162F7">
              <w:rPr>
                <w:b/>
                <w:bCs/>
              </w:rPr>
              <w:t>Company</w:t>
            </w:r>
          </w:p>
        </w:tc>
        <w:tc>
          <w:tcPr>
            <w:tcW w:w="1301" w:type="dxa"/>
          </w:tcPr>
          <w:p w14:paraId="176EDE23" w14:textId="1C46A27C" w:rsidR="00981D06" w:rsidRPr="006162F7" w:rsidRDefault="00981D06">
            <w:pPr>
              <w:jc w:val="both"/>
              <w:rPr>
                <w:b/>
                <w:bCs/>
              </w:rPr>
            </w:pPr>
            <w:r>
              <w:rPr>
                <w:b/>
                <w:bCs/>
              </w:rPr>
              <w:t>Agree/Disagree</w:t>
            </w:r>
          </w:p>
        </w:tc>
        <w:tc>
          <w:tcPr>
            <w:tcW w:w="6525" w:type="dxa"/>
          </w:tcPr>
          <w:p w14:paraId="134C9C51" w14:textId="77777777" w:rsidR="00981D06" w:rsidRPr="006162F7" w:rsidRDefault="00981D06">
            <w:pPr>
              <w:jc w:val="both"/>
              <w:rPr>
                <w:b/>
                <w:bCs/>
              </w:rPr>
            </w:pPr>
            <w:r w:rsidRPr="006162F7">
              <w:rPr>
                <w:b/>
                <w:bCs/>
              </w:rPr>
              <w:t>Remark</w:t>
            </w:r>
          </w:p>
        </w:tc>
      </w:tr>
      <w:tr w:rsidR="00981D06" w14:paraId="6B4F365F" w14:textId="77777777">
        <w:tc>
          <w:tcPr>
            <w:tcW w:w="1529" w:type="dxa"/>
          </w:tcPr>
          <w:p w14:paraId="3C03F855" w14:textId="48184771" w:rsidR="00981D06" w:rsidRDefault="003D3187">
            <w:pPr>
              <w:rPr>
                <w:lang w:eastAsia="zh-CN"/>
              </w:rPr>
            </w:pPr>
            <w:r>
              <w:rPr>
                <w:rFonts w:hint="eastAsia"/>
                <w:lang w:eastAsia="zh-CN"/>
              </w:rPr>
              <w:t>X</w:t>
            </w:r>
            <w:r>
              <w:rPr>
                <w:lang w:eastAsia="zh-CN"/>
              </w:rPr>
              <w:t>iaomi</w:t>
            </w:r>
          </w:p>
        </w:tc>
        <w:tc>
          <w:tcPr>
            <w:tcW w:w="1301" w:type="dxa"/>
          </w:tcPr>
          <w:p w14:paraId="7F5AB7B5" w14:textId="08C6D3CF" w:rsidR="00981D06" w:rsidRDefault="003D3187">
            <w:pPr>
              <w:rPr>
                <w:lang w:eastAsia="zh-CN"/>
              </w:rPr>
            </w:pPr>
            <w:r>
              <w:rPr>
                <w:rFonts w:hint="eastAsia"/>
                <w:lang w:eastAsia="zh-CN"/>
              </w:rPr>
              <w:t>A</w:t>
            </w:r>
            <w:r>
              <w:rPr>
                <w:lang w:eastAsia="zh-CN"/>
              </w:rPr>
              <w:t>gree</w:t>
            </w:r>
          </w:p>
        </w:tc>
        <w:tc>
          <w:tcPr>
            <w:tcW w:w="6525" w:type="dxa"/>
          </w:tcPr>
          <w:p w14:paraId="56468AFF" w14:textId="05BDDE3D" w:rsidR="00981D06" w:rsidRDefault="00981D06">
            <w:pPr>
              <w:rPr>
                <w:lang w:eastAsia="zh-CN"/>
              </w:rPr>
            </w:pPr>
          </w:p>
        </w:tc>
      </w:tr>
      <w:tr w:rsidR="00981D06" w14:paraId="4AC42D45" w14:textId="77777777">
        <w:tc>
          <w:tcPr>
            <w:tcW w:w="1529" w:type="dxa"/>
          </w:tcPr>
          <w:p w14:paraId="58E5BD44" w14:textId="603D2BD7" w:rsidR="00981D06" w:rsidRDefault="00246B1B">
            <w:r>
              <w:t>Apple</w:t>
            </w:r>
          </w:p>
        </w:tc>
        <w:tc>
          <w:tcPr>
            <w:tcW w:w="1301" w:type="dxa"/>
          </w:tcPr>
          <w:p w14:paraId="009AC322" w14:textId="0B2033F5" w:rsidR="00981D06" w:rsidRDefault="00246B1B">
            <w:r>
              <w:t>Agree</w:t>
            </w:r>
          </w:p>
        </w:tc>
        <w:tc>
          <w:tcPr>
            <w:tcW w:w="6525" w:type="dxa"/>
          </w:tcPr>
          <w:p w14:paraId="4C3C9245" w14:textId="77777777" w:rsidR="00981D06" w:rsidRDefault="00981D06"/>
        </w:tc>
      </w:tr>
      <w:tr w:rsidR="00981D06" w:rsidRPr="006162F7" w14:paraId="717E8FF8" w14:textId="77777777">
        <w:tc>
          <w:tcPr>
            <w:tcW w:w="1529" w:type="dxa"/>
          </w:tcPr>
          <w:p w14:paraId="63098AF4" w14:textId="77777777" w:rsidR="00981D06" w:rsidRDefault="00981D06"/>
        </w:tc>
        <w:tc>
          <w:tcPr>
            <w:tcW w:w="1301" w:type="dxa"/>
          </w:tcPr>
          <w:p w14:paraId="00249926" w14:textId="77777777" w:rsidR="00981D06" w:rsidRPr="006162F7" w:rsidRDefault="00981D06"/>
        </w:tc>
        <w:tc>
          <w:tcPr>
            <w:tcW w:w="6525" w:type="dxa"/>
          </w:tcPr>
          <w:p w14:paraId="1713E681" w14:textId="77777777" w:rsidR="00981D06" w:rsidRPr="006162F7" w:rsidRDefault="00981D06"/>
        </w:tc>
      </w:tr>
      <w:tr w:rsidR="00981D06" w:rsidRPr="006162F7" w14:paraId="161D37B7" w14:textId="77777777">
        <w:tc>
          <w:tcPr>
            <w:tcW w:w="1529" w:type="dxa"/>
          </w:tcPr>
          <w:p w14:paraId="1F6612A4" w14:textId="77777777" w:rsidR="00981D06" w:rsidRDefault="00981D06"/>
        </w:tc>
        <w:tc>
          <w:tcPr>
            <w:tcW w:w="1301" w:type="dxa"/>
          </w:tcPr>
          <w:p w14:paraId="29E5D8B3" w14:textId="77777777" w:rsidR="00981D06" w:rsidRPr="006162F7" w:rsidRDefault="00981D06"/>
        </w:tc>
        <w:tc>
          <w:tcPr>
            <w:tcW w:w="6525" w:type="dxa"/>
          </w:tcPr>
          <w:p w14:paraId="71B70A90" w14:textId="77777777" w:rsidR="00981D06" w:rsidRPr="006162F7" w:rsidRDefault="00981D06"/>
        </w:tc>
      </w:tr>
    </w:tbl>
    <w:p w14:paraId="369DFFDE" w14:textId="77777777" w:rsidR="00855F2F" w:rsidRDefault="00855F2F" w:rsidP="007D641A">
      <w:pPr>
        <w:rPr>
          <w:lang w:val="en-GB" w:eastAsia="zh-CN"/>
        </w:rPr>
      </w:pPr>
    </w:p>
    <w:p w14:paraId="4C8078F2" w14:textId="19E96D77" w:rsidR="00981D06" w:rsidRDefault="00C541A3" w:rsidP="00860E3B">
      <w:pPr>
        <w:pStyle w:val="Heading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TableGrid"/>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w:t>
            </w:r>
            <w:proofErr w:type="gramStart"/>
            <w:r w:rsidRPr="00D52100">
              <w:rPr>
                <w:rFonts w:eastAsia="MS Mincho"/>
                <w:szCs w:val="24"/>
                <w:lang w:eastAsia="en-GB"/>
              </w:rPr>
              <w:t>LMF .</w:t>
            </w:r>
            <w:proofErr w:type="gramEnd"/>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w:t>
      </w:r>
      <w:proofErr w:type="gramStart"/>
      <w:r w:rsidR="00A40F67">
        <w:rPr>
          <w:lang w:val="en-GB" w:eastAsia="zh-CN"/>
        </w:rPr>
        <w:t>similar to</w:t>
      </w:r>
      <w:proofErr w:type="gramEnd"/>
      <w:r w:rsidR="00A40F67">
        <w:rPr>
          <w:lang w:val="en-GB" w:eastAsia="zh-CN"/>
        </w:rPr>
        <w:t xml:space="preserve">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TableGrid"/>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w:t>
      </w:r>
      <w:proofErr w:type="gramStart"/>
      <w:r w:rsidR="00E6515E">
        <w:rPr>
          <w:b/>
          <w:bCs/>
          <w:u w:val="single"/>
        </w:rPr>
        <w:t>similar to</w:t>
      </w:r>
      <w:proofErr w:type="gramEnd"/>
      <w:r w:rsidR="00E6515E">
        <w:rPr>
          <w:b/>
          <w:bCs/>
          <w:u w:val="single"/>
        </w:rPr>
        <w:t xml:space="preserve">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r w:rsidR="0077295B">
        <w:rPr>
          <w:b/>
          <w:bCs/>
          <w:u w:val="single"/>
        </w:rPr>
        <w:t>RequestCapability)</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TableGrid"/>
        <w:tblW w:w="9355" w:type="dxa"/>
        <w:tblLook w:val="04A0" w:firstRow="1" w:lastRow="0" w:firstColumn="1" w:lastColumn="0" w:noHBand="0" w:noVBand="1"/>
      </w:tblPr>
      <w:tblGrid>
        <w:gridCol w:w="1507"/>
        <w:gridCol w:w="1527"/>
        <w:gridCol w:w="6321"/>
      </w:tblGrid>
      <w:tr w:rsidR="0039787F" w:rsidRPr="006162F7" w14:paraId="03A30337" w14:textId="77777777">
        <w:tc>
          <w:tcPr>
            <w:tcW w:w="1529" w:type="dxa"/>
          </w:tcPr>
          <w:p w14:paraId="6BB64571" w14:textId="77777777" w:rsidR="0039787F" w:rsidRPr="006162F7" w:rsidRDefault="0039787F">
            <w:pPr>
              <w:jc w:val="both"/>
              <w:rPr>
                <w:b/>
                <w:bCs/>
              </w:rPr>
            </w:pPr>
            <w:r w:rsidRPr="006162F7">
              <w:rPr>
                <w:b/>
                <w:bCs/>
              </w:rPr>
              <w:t>Company</w:t>
            </w:r>
          </w:p>
        </w:tc>
        <w:tc>
          <w:tcPr>
            <w:tcW w:w="1301" w:type="dxa"/>
          </w:tcPr>
          <w:p w14:paraId="4A92F65D" w14:textId="77777777" w:rsidR="0039787F" w:rsidRPr="006162F7" w:rsidRDefault="0039787F">
            <w:pPr>
              <w:jc w:val="both"/>
              <w:rPr>
                <w:b/>
                <w:bCs/>
              </w:rPr>
            </w:pPr>
            <w:r>
              <w:rPr>
                <w:b/>
                <w:bCs/>
              </w:rPr>
              <w:t>Agree/Disagree</w:t>
            </w:r>
          </w:p>
        </w:tc>
        <w:tc>
          <w:tcPr>
            <w:tcW w:w="6525" w:type="dxa"/>
          </w:tcPr>
          <w:p w14:paraId="0302206F" w14:textId="77777777" w:rsidR="0039787F" w:rsidRPr="006162F7" w:rsidRDefault="0039787F">
            <w:pPr>
              <w:jc w:val="both"/>
              <w:rPr>
                <w:b/>
                <w:bCs/>
              </w:rPr>
            </w:pPr>
            <w:r w:rsidRPr="006162F7">
              <w:rPr>
                <w:b/>
                <w:bCs/>
              </w:rPr>
              <w:t>Remark</w:t>
            </w:r>
          </w:p>
        </w:tc>
      </w:tr>
      <w:tr w:rsidR="0039787F" w14:paraId="5483984B" w14:textId="77777777">
        <w:tc>
          <w:tcPr>
            <w:tcW w:w="1529" w:type="dxa"/>
          </w:tcPr>
          <w:p w14:paraId="1FBF1400" w14:textId="25D8C262" w:rsidR="0039787F" w:rsidRDefault="00B55B3B">
            <w:pPr>
              <w:rPr>
                <w:lang w:eastAsia="zh-CN"/>
              </w:rPr>
            </w:pPr>
            <w:r>
              <w:rPr>
                <w:rFonts w:hint="eastAsia"/>
                <w:lang w:eastAsia="zh-CN"/>
              </w:rPr>
              <w:t>X</w:t>
            </w:r>
            <w:r>
              <w:rPr>
                <w:lang w:eastAsia="zh-CN"/>
              </w:rPr>
              <w:t>iaomi</w:t>
            </w:r>
          </w:p>
        </w:tc>
        <w:tc>
          <w:tcPr>
            <w:tcW w:w="1301" w:type="dxa"/>
          </w:tcPr>
          <w:p w14:paraId="006F0542" w14:textId="3FCE553F" w:rsidR="0039787F" w:rsidRDefault="00B55B3B">
            <w:pPr>
              <w:rPr>
                <w:lang w:eastAsia="zh-CN"/>
              </w:rPr>
            </w:pPr>
            <w:r>
              <w:rPr>
                <w:rFonts w:hint="eastAsia"/>
                <w:lang w:eastAsia="zh-CN"/>
              </w:rPr>
              <w:t>D</w:t>
            </w:r>
            <w:r>
              <w:rPr>
                <w:lang w:eastAsia="zh-CN"/>
              </w:rPr>
              <w:t>isagree</w:t>
            </w:r>
          </w:p>
        </w:tc>
        <w:tc>
          <w:tcPr>
            <w:tcW w:w="6525"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tc>
          <w:tcPr>
            <w:tcW w:w="1529" w:type="dxa"/>
          </w:tcPr>
          <w:p w14:paraId="57765501" w14:textId="00811F31" w:rsidR="0039787F" w:rsidRDefault="0033562E">
            <w:r>
              <w:lastRenderedPageBreak/>
              <w:t>Apple</w:t>
            </w:r>
          </w:p>
        </w:tc>
        <w:tc>
          <w:tcPr>
            <w:tcW w:w="1301" w:type="dxa"/>
          </w:tcPr>
          <w:p w14:paraId="71A7E672" w14:textId="5743B5C1" w:rsidR="0039787F" w:rsidRDefault="0033562E">
            <w:r>
              <w:t>Disagree</w:t>
            </w:r>
          </w:p>
        </w:tc>
        <w:tc>
          <w:tcPr>
            <w:tcW w:w="6525"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ListParagraph"/>
              <w:numPr>
                <w:ilvl w:val="0"/>
                <w:numId w:val="40"/>
              </w:numPr>
              <w:rPr>
                <w:snapToGrid w:val="0"/>
                <w:lang w:val="en-GB"/>
              </w:rPr>
            </w:pPr>
            <w:r>
              <w:rPr>
                <w:snapToGrid w:val="0"/>
                <w:lang w:val="en-GB"/>
              </w:rPr>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t xml:space="preserve">Some </w:t>
            </w:r>
            <w:r w:rsidRPr="00340CCF">
              <w:rPr>
                <w:lang w:eastAsia="ja-JP"/>
              </w:rPr>
              <w:t xml:space="preserve">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ListParagraph"/>
              <w:numPr>
                <w:ilvl w:val="0"/>
                <w:numId w:val="40"/>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 xml:space="preserve">AP/SP </w:t>
            </w:r>
            <w:r w:rsidR="000E1E15">
              <w:rPr>
                <w:lang w:eastAsia="ja-JP"/>
              </w:rPr>
              <w:t>SRS activation/deactivation, Measurement Gap activation/</w:t>
            </w:r>
            <w:r w:rsidR="000E1E15">
              <w:rPr>
                <w:lang w:eastAsia="ja-JP"/>
              </w:rPr>
              <w:t>deactivation).</w:t>
            </w:r>
            <w:r w:rsidR="00DB4C07">
              <w:rPr>
                <w:lang w:eastAsia="ja-JP"/>
              </w:rPr>
              <w:t xml:space="preserve"> </w:t>
            </w:r>
            <w:proofErr w:type="gramStart"/>
            <w:r w:rsidR="000E1E15">
              <w:rPr>
                <w:lang w:eastAsia="ja-JP"/>
              </w:rPr>
              <w:t>They</w:t>
            </w:r>
            <w:proofErr w:type="gramEnd"/>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 xml:space="preserve">We fail to see any serious technique issue without explicit LMF configuration in AI based positioning. Thus, we think it is only an </w:t>
            </w:r>
            <w:proofErr w:type="gramStart"/>
            <w:r w:rsidR="00AE31FC">
              <w:t>optimization</w:t>
            </w:r>
            <w:r w:rsidR="00BE39A6">
              <w:t>, and</w:t>
            </w:r>
            <w:proofErr w:type="gramEnd"/>
            <w:r w:rsidR="00BE39A6">
              <w:t xml:space="preserve"> prefer to keep the legacy LPP procedure. </w:t>
            </w:r>
          </w:p>
        </w:tc>
      </w:tr>
      <w:tr w:rsidR="0039787F" w:rsidRPr="006162F7" w14:paraId="43E2D123" w14:textId="77777777">
        <w:tc>
          <w:tcPr>
            <w:tcW w:w="1529" w:type="dxa"/>
          </w:tcPr>
          <w:p w14:paraId="2B1F2FD0" w14:textId="77777777" w:rsidR="0039787F" w:rsidRDefault="0039787F"/>
        </w:tc>
        <w:tc>
          <w:tcPr>
            <w:tcW w:w="1301" w:type="dxa"/>
          </w:tcPr>
          <w:p w14:paraId="6679F9FB" w14:textId="77777777" w:rsidR="0039787F" w:rsidRPr="006162F7" w:rsidRDefault="0039787F"/>
        </w:tc>
        <w:tc>
          <w:tcPr>
            <w:tcW w:w="6525" w:type="dxa"/>
          </w:tcPr>
          <w:p w14:paraId="7077ED98" w14:textId="77777777" w:rsidR="0039787F" w:rsidRPr="006162F7" w:rsidRDefault="0039787F"/>
        </w:tc>
      </w:tr>
      <w:tr w:rsidR="0039787F" w:rsidRPr="006162F7" w14:paraId="737F6B89" w14:textId="77777777">
        <w:tc>
          <w:tcPr>
            <w:tcW w:w="1529" w:type="dxa"/>
          </w:tcPr>
          <w:p w14:paraId="6F7DFB5C" w14:textId="77777777" w:rsidR="0039787F" w:rsidRDefault="0039787F"/>
        </w:tc>
        <w:tc>
          <w:tcPr>
            <w:tcW w:w="1301" w:type="dxa"/>
          </w:tcPr>
          <w:p w14:paraId="4F20FBD8" w14:textId="77777777" w:rsidR="0039787F" w:rsidRPr="006162F7" w:rsidRDefault="0039787F"/>
        </w:tc>
        <w:tc>
          <w:tcPr>
            <w:tcW w:w="6525" w:type="dxa"/>
          </w:tcPr>
          <w:p w14:paraId="3F6A7E63" w14:textId="77777777" w:rsidR="0039787F" w:rsidRPr="006162F7" w:rsidRDefault="0039787F"/>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Heading2"/>
        <w:numPr>
          <w:ilvl w:val="1"/>
          <w:numId w:val="3"/>
        </w:numPr>
      </w:pPr>
      <w:r>
        <w:t>Q</w:t>
      </w:r>
      <w:r w:rsidRPr="00887DF6">
        <w:t>uestions to ask to RAN1 for resolving FFS waiting on RAN1 progress</w:t>
      </w:r>
    </w:p>
    <w:p w14:paraId="2A5AD65C" w14:textId="77777777" w:rsidR="00E13296" w:rsidRDefault="005C6A14" w:rsidP="00860E3B">
      <w:pPr>
        <w:pStyle w:val="Heading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TableGrid"/>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 xml:space="preserve">LPP </w:t>
            </w:r>
            <w:proofErr w:type="gramStart"/>
            <w:r>
              <w:rPr>
                <w:i/>
                <w:iCs/>
              </w:rPr>
              <w:t>provide assistance</w:t>
            </w:r>
            <w:proofErr w:type="gramEnd"/>
            <w:r>
              <w:rPr>
                <w:i/>
                <w:iCs/>
              </w:rPr>
              <w:t xml:space="preserve"> data</w:t>
            </w:r>
            <w:r>
              <w:t xml:space="preserve"> message (which may contain network side additional condition).</w:t>
            </w:r>
          </w:p>
          <w:p w14:paraId="5768ACB0" w14:textId="77777777" w:rsidR="007B54D7" w:rsidRDefault="007B54D7">
            <w:pPr>
              <w:pStyle w:val="Doc-text2"/>
              <w:ind w:left="726"/>
            </w:pPr>
            <w:r w:rsidRPr="007B54D7">
              <w:rPr>
                <w:highlight w:val="yellow"/>
              </w:rPr>
              <w:lastRenderedPageBreak/>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tc>
          <w:tcPr>
            <w:tcW w:w="1529" w:type="dxa"/>
          </w:tcPr>
          <w:p w14:paraId="08FA4BFC" w14:textId="77777777" w:rsidR="002F060C" w:rsidRDefault="002F060C"/>
        </w:tc>
        <w:tc>
          <w:tcPr>
            <w:tcW w:w="1301" w:type="dxa"/>
          </w:tcPr>
          <w:p w14:paraId="0541C95C" w14:textId="77777777" w:rsidR="002F060C" w:rsidRPr="006162F7" w:rsidRDefault="002F060C"/>
        </w:tc>
        <w:tc>
          <w:tcPr>
            <w:tcW w:w="6525" w:type="dxa"/>
          </w:tcPr>
          <w:p w14:paraId="47D6747C" w14:textId="77777777" w:rsidR="002F060C" w:rsidRPr="006162F7" w:rsidRDefault="002F060C"/>
        </w:tc>
      </w:tr>
      <w:tr w:rsidR="002F060C" w14:paraId="772A56AE" w14:textId="77777777">
        <w:tc>
          <w:tcPr>
            <w:tcW w:w="1529" w:type="dxa"/>
          </w:tcPr>
          <w:p w14:paraId="68854E07" w14:textId="77777777" w:rsidR="002F060C" w:rsidRDefault="002F060C"/>
        </w:tc>
        <w:tc>
          <w:tcPr>
            <w:tcW w:w="1301" w:type="dxa"/>
          </w:tcPr>
          <w:p w14:paraId="5D0F60CC" w14:textId="77777777" w:rsidR="002F060C" w:rsidRPr="006162F7" w:rsidRDefault="002F060C"/>
        </w:tc>
        <w:tc>
          <w:tcPr>
            <w:tcW w:w="6525" w:type="dxa"/>
          </w:tcPr>
          <w:p w14:paraId="32014E6C" w14:textId="77777777" w:rsidR="002F060C" w:rsidRPr="006162F7" w:rsidRDefault="002F060C"/>
        </w:tc>
      </w:tr>
    </w:tbl>
    <w:p w14:paraId="41B07A05" w14:textId="77777777" w:rsidR="002F060C" w:rsidRDefault="002F060C" w:rsidP="00CA451D">
      <w:pPr>
        <w:ind w:left="600"/>
      </w:pPr>
    </w:p>
    <w:p w14:paraId="1CDBEF23" w14:textId="26E388D7" w:rsidR="00007F06" w:rsidRDefault="005E393F" w:rsidP="00860E3B">
      <w:pPr>
        <w:pStyle w:val="Heading3"/>
        <w:numPr>
          <w:ilvl w:val="2"/>
          <w:numId w:val="3"/>
        </w:numPr>
        <w:ind w:left="709"/>
      </w:pPr>
      <w:r>
        <w:t>C</w:t>
      </w:r>
      <w:r w:rsidRPr="005E393F">
        <w:t>onsistency between training and inference</w:t>
      </w:r>
    </w:p>
    <w:p w14:paraId="4CD657DA" w14:textId="127F3FED" w:rsidR="0031465F" w:rsidRPr="00562B5C" w:rsidRDefault="00117CA0" w:rsidP="00013748">
      <w:pPr>
        <w:pStyle w:val="ListParagraph"/>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007A1E44" w:rsidRPr="007A1E44">
        <w:rPr>
          <w:rFonts w:ascii="Times New Roman" w:eastAsia="SimSun" w:hAnsi="Times New Roman" w:cs="Times New Roman"/>
          <w:sz w:val="20"/>
          <w:szCs w:val="20"/>
        </w:rPr>
        <w:t>consistency between training and inference</w:t>
      </w:r>
      <w:r w:rsidR="007A1E44">
        <w:rPr>
          <w:rFonts w:ascii="Times New Roman" w:eastAsia="SimSun" w:hAnsi="Times New Roman" w:cs="Times New Roman"/>
          <w:sz w:val="20"/>
          <w:szCs w:val="20"/>
        </w:rPr>
        <w:t xml:space="preserve">, UE </w:t>
      </w:r>
      <w:r w:rsidR="00A55FCC">
        <w:rPr>
          <w:rFonts w:ascii="Times New Roman" w:eastAsia="SimSun" w:hAnsi="Times New Roman" w:cs="Times New Roman"/>
          <w:sz w:val="20"/>
          <w:szCs w:val="20"/>
        </w:rPr>
        <w:t xml:space="preserve">should receive </w:t>
      </w:r>
      <w:r w:rsidR="00F201AC">
        <w:rPr>
          <w:rFonts w:ascii="Times New Roman" w:eastAsia="SimSun" w:hAnsi="Times New Roman" w:cs="Times New Roman"/>
          <w:sz w:val="20"/>
          <w:szCs w:val="20"/>
        </w:rPr>
        <w:t xml:space="preserve">assistance </w:t>
      </w:r>
      <w:r w:rsidR="00035773">
        <w:rPr>
          <w:rFonts w:ascii="Times New Roman" w:eastAsia="SimSun" w:hAnsi="Times New Roman" w:cs="Times New Roman"/>
          <w:sz w:val="20"/>
          <w:szCs w:val="20"/>
        </w:rPr>
        <w:t>with</w:t>
      </w:r>
      <w:r w:rsidR="00FE06B1" w:rsidRPr="00562B5C">
        <w:rPr>
          <w:rFonts w:ascii="Times New Roman" w:eastAsia="SimSun" w:hAnsi="Times New Roman" w:cs="Times New Roman"/>
          <w:sz w:val="20"/>
          <w:szCs w:val="20"/>
        </w:rPr>
        <w:t xml:space="preserve"> </w:t>
      </w:r>
      <w:r w:rsidR="00C70041" w:rsidRPr="00562B5C">
        <w:rPr>
          <w:rFonts w:ascii="Times New Roman" w:eastAsia="SimSun" w:hAnsi="Times New Roman" w:cs="Times New Roman"/>
          <w:sz w:val="20"/>
          <w:szCs w:val="20"/>
        </w:rPr>
        <w:t>NW side additional condition</w:t>
      </w:r>
      <w:r w:rsidR="00FE06B1">
        <w:rPr>
          <w:rFonts w:ascii="Times New Roman" w:eastAsia="SimSun" w:hAnsi="Times New Roman" w:cs="Times New Roman"/>
          <w:sz w:val="20"/>
          <w:szCs w:val="20"/>
        </w:rPr>
        <w:t>.</w:t>
      </w:r>
      <w:r w:rsidR="00C70041" w:rsidRPr="00562B5C">
        <w:rPr>
          <w:rFonts w:ascii="Times New Roman" w:eastAsia="SimSun" w:hAnsi="Times New Roman" w:cs="Times New Roman"/>
          <w:sz w:val="20"/>
          <w:szCs w:val="20"/>
        </w:rPr>
        <w:t xml:space="preserve"> </w:t>
      </w:r>
      <w:r w:rsidR="00626F6E">
        <w:rPr>
          <w:rFonts w:ascii="Times New Roman" w:eastAsia="SimSun" w:hAnsi="Times New Roman" w:cs="Times New Roman"/>
          <w:sz w:val="20"/>
          <w:szCs w:val="20"/>
        </w:rPr>
        <w:t>According</w:t>
      </w:r>
      <w:r w:rsidR="00482960">
        <w:rPr>
          <w:rFonts w:ascii="Times New Roman" w:eastAsia="SimSun" w:hAnsi="Times New Roman" w:cs="Times New Roman"/>
          <w:sz w:val="20"/>
          <w:szCs w:val="20"/>
        </w:rPr>
        <w:t xml:space="preserve"> to the</w:t>
      </w:r>
      <w:r w:rsidR="00C70041" w:rsidRPr="00562B5C">
        <w:rPr>
          <w:rFonts w:ascii="Times New Roman" w:eastAsia="SimSun" w:hAnsi="Times New Roman" w:cs="Times New Roman"/>
          <w:sz w:val="20"/>
          <w:szCs w:val="20"/>
        </w:rPr>
        <w:t xml:space="preserve"> RAN1 progress</w:t>
      </w:r>
      <w:r w:rsidR="00923F26">
        <w:rPr>
          <w:rFonts w:ascii="Times New Roman" w:eastAsia="SimSun" w:hAnsi="Times New Roman" w:cs="Times New Roman"/>
          <w:sz w:val="20"/>
          <w:szCs w:val="20"/>
        </w:rPr>
        <w:t xml:space="preserve"> </w:t>
      </w:r>
      <w:r w:rsidR="00517E7B">
        <w:rPr>
          <w:rFonts w:ascii="Times New Roman" w:eastAsia="SimSun" w:hAnsi="Times New Roman" w:cs="Times New Roman"/>
          <w:sz w:val="20"/>
          <w:szCs w:val="20"/>
        </w:rPr>
        <w:t>listed</w:t>
      </w:r>
      <w:r w:rsidR="00C70041" w:rsidRPr="00562B5C">
        <w:rPr>
          <w:rFonts w:ascii="Times New Roman" w:eastAsia="SimSun" w:hAnsi="Times New Roman" w:cs="Times New Roman"/>
          <w:sz w:val="20"/>
          <w:szCs w:val="20"/>
        </w:rPr>
        <w:t xml:space="preserve"> so far</w:t>
      </w:r>
      <w:r w:rsidR="00517E7B">
        <w:rPr>
          <w:rFonts w:ascii="Times New Roman" w:eastAsia="SimSun" w:hAnsi="Times New Roman" w:cs="Times New Roman"/>
          <w:sz w:val="20"/>
          <w:szCs w:val="20"/>
        </w:rPr>
        <w:t xml:space="preserve">, </w:t>
      </w:r>
      <w:r w:rsidR="00681EBB" w:rsidRPr="00681EBB">
        <w:rPr>
          <w:rFonts w:ascii="Times New Roman" w:eastAsia="SimSun" w:hAnsi="Times New Roman" w:cs="Times New Roman"/>
          <w:sz w:val="20"/>
          <w:szCs w:val="20"/>
        </w:rPr>
        <w:t>all assistance information from legacy UE-based DL-TDOA, other than info #7</w:t>
      </w:r>
      <w:r w:rsidR="00536920">
        <w:rPr>
          <w:rFonts w:ascii="Times New Roman" w:eastAsia="SimSun" w:hAnsi="Times New Roman" w:cs="Times New Roman"/>
          <w:sz w:val="20"/>
          <w:szCs w:val="20"/>
        </w:rPr>
        <w:t xml:space="preserve"> </w:t>
      </w:r>
      <w:r w:rsidR="00D5496A">
        <w:rPr>
          <w:rFonts w:ascii="Times New Roman" w:eastAsia="SimSun" w:hAnsi="Times New Roman" w:cs="Times New Roman"/>
          <w:sz w:val="20"/>
          <w:szCs w:val="20"/>
        </w:rPr>
        <w:t>have been</w:t>
      </w:r>
      <w:r w:rsidR="00536920">
        <w:rPr>
          <w:rFonts w:ascii="Times New Roman" w:eastAsia="SimSun" w:hAnsi="Times New Roman" w:cs="Times New Roman"/>
          <w:sz w:val="20"/>
          <w:szCs w:val="20"/>
        </w:rPr>
        <w:t xml:space="preserve"> agreed</w:t>
      </w:r>
      <w:r w:rsidR="00C70041" w:rsidRPr="00562B5C">
        <w:rPr>
          <w:rFonts w:ascii="Times New Roman" w:eastAsia="SimSun" w:hAnsi="Times New Roman" w:cs="Times New Roman"/>
          <w:sz w:val="20"/>
          <w:szCs w:val="20"/>
        </w:rPr>
        <w:t>.</w:t>
      </w:r>
      <w:r w:rsidR="001064C4">
        <w:rPr>
          <w:rFonts w:ascii="Times New Roman" w:eastAsia="SimSun" w:hAnsi="Times New Roman" w:cs="Times New Roman"/>
          <w:sz w:val="20"/>
          <w:szCs w:val="20"/>
        </w:rPr>
        <w:t xml:space="preserve"> </w:t>
      </w:r>
    </w:p>
    <w:p w14:paraId="1EA2FE21" w14:textId="7DDD2420" w:rsidR="00EB1ACF" w:rsidRDefault="009C5E7A" w:rsidP="00EC2B2A">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lastRenderedPageBreak/>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DengXian"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DengXian"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w:t>
            </w:r>
            <w:proofErr w:type="gramStart"/>
            <w:r w:rsidRPr="00373665">
              <w:rPr>
                <w:rFonts w:ascii="Times" w:eastAsia="Batang" w:hAnsi="Times"/>
                <w:szCs w:val="24"/>
                <w:lang w:val="en-GB" w:eastAsia="x-none"/>
              </w:rPr>
              <w:t xml:space="preserve">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w:t>
            </w:r>
            <w:proofErr w:type="gramEnd"/>
            <w:r w:rsidRPr="00373665">
              <w:rPr>
                <w:rFonts w:ascii="Times" w:eastAsia="Batang" w:hAnsi="Times"/>
                <w:szCs w:val="24"/>
                <w:lang w:val="en-GB" w:eastAsia="x-none"/>
              </w:rPr>
              <w:t xml:space="preserv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ListParagraph"/>
        <w:numPr>
          <w:ilvl w:val="0"/>
          <w:numId w:val="35"/>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6870E761" w14:textId="3620D3EC" w:rsidR="00EB1ACF" w:rsidRPr="00B75C7C" w:rsidRDefault="00B75C7C" w:rsidP="00013748">
      <w:pPr>
        <w:pStyle w:val="ListParagraph"/>
        <w:numPr>
          <w:ilvl w:val="0"/>
          <w:numId w:val="35"/>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TableGrid"/>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proofErr w:type="gramStart"/>
            <w:r>
              <w:rPr>
                <w:b/>
                <w:bCs/>
              </w:rPr>
              <w:t>Yes(</w:t>
            </w:r>
            <w:proofErr w:type="gramEnd"/>
            <w:r>
              <w:rPr>
                <w:b/>
                <w:bCs/>
              </w:rPr>
              <w:t>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00B37000">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00B37000">
        <w:tc>
          <w:tcPr>
            <w:tcW w:w="1529" w:type="dxa"/>
          </w:tcPr>
          <w:p w14:paraId="09311E07" w14:textId="77777777" w:rsidR="00EB1ACF" w:rsidRDefault="00EB1ACF"/>
        </w:tc>
        <w:tc>
          <w:tcPr>
            <w:tcW w:w="1306" w:type="dxa"/>
          </w:tcPr>
          <w:p w14:paraId="3C59A68B" w14:textId="77777777" w:rsidR="00EB1ACF" w:rsidRPr="006162F7" w:rsidRDefault="00EB1ACF"/>
        </w:tc>
        <w:tc>
          <w:tcPr>
            <w:tcW w:w="6520" w:type="dxa"/>
          </w:tcPr>
          <w:p w14:paraId="5656FE95" w14:textId="77777777" w:rsidR="00EB1ACF" w:rsidRPr="006162F7" w:rsidRDefault="00EB1ACF"/>
        </w:tc>
      </w:tr>
      <w:tr w:rsidR="00EB1ACF" w:rsidRPr="006162F7" w14:paraId="01A28FD2" w14:textId="77777777" w:rsidTr="00B37000">
        <w:tc>
          <w:tcPr>
            <w:tcW w:w="1529" w:type="dxa"/>
          </w:tcPr>
          <w:p w14:paraId="36D6931E" w14:textId="77777777" w:rsidR="00EB1ACF" w:rsidRDefault="00EB1ACF"/>
        </w:tc>
        <w:tc>
          <w:tcPr>
            <w:tcW w:w="1306" w:type="dxa"/>
          </w:tcPr>
          <w:p w14:paraId="60D6BF5C" w14:textId="77777777" w:rsidR="00EB1ACF" w:rsidRPr="006162F7" w:rsidRDefault="00EB1ACF"/>
        </w:tc>
        <w:tc>
          <w:tcPr>
            <w:tcW w:w="6520" w:type="dxa"/>
          </w:tcPr>
          <w:p w14:paraId="297827FB" w14:textId="77777777" w:rsidR="00EB1ACF" w:rsidRPr="006162F7" w:rsidRDefault="00EB1ACF"/>
        </w:tc>
      </w:tr>
    </w:tbl>
    <w:p w14:paraId="596BF1E7" w14:textId="77777777" w:rsidR="009C5E7A" w:rsidRDefault="009C5E7A" w:rsidP="00EB1ACF">
      <w:pPr>
        <w:pStyle w:val="ListParagraph"/>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0B1F52E3" w:rsidR="00746144" w:rsidRDefault="00746144">
            <w:pPr>
              <w:rPr>
                <w:lang w:eastAsia="zh-CN"/>
              </w:rPr>
            </w:pPr>
          </w:p>
        </w:tc>
        <w:tc>
          <w:tcPr>
            <w:tcW w:w="1301" w:type="dxa"/>
          </w:tcPr>
          <w:p w14:paraId="5D76DD29" w14:textId="4F29A156" w:rsidR="00746144" w:rsidRDefault="00746144">
            <w:pPr>
              <w:rPr>
                <w:lang w:eastAsia="zh-CN"/>
              </w:rPr>
            </w:pPr>
          </w:p>
        </w:tc>
        <w:tc>
          <w:tcPr>
            <w:tcW w:w="6525" w:type="dxa"/>
          </w:tcPr>
          <w:p w14:paraId="340F5479" w14:textId="77777777" w:rsidR="00746144" w:rsidRDefault="00746144"/>
        </w:tc>
      </w:tr>
      <w:tr w:rsidR="00746144" w14:paraId="59DFDC38" w14:textId="77777777">
        <w:tc>
          <w:tcPr>
            <w:tcW w:w="1529" w:type="dxa"/>
          </w:tcPr>
          <w:p w14:paraId="69CFFCE5" w14:textId="77777777" w:rsidR="00746144" w:rsidRDefault="00746144"/>
        </w:tc>
        <w:tc>
          <w:tcPr>
            <w:tcW w:w="1301" w:type="dxa"/>
          </w:tcPr>
          <w:p w14:paraId="6B25C4BD" w14:textId="77777777" w:rsidR="00746144" w:rsidRDefault="00746144"/>
        </w:tc>
        <w:tc>
          <w:tcPr>
            <w:tcW w:w="6525" w:type="dxa"/>
          </w:tcPr>
          <w:p w14:paraId="22F987EA" w14:textId="77777777" w:rsidR="00746144" w:rsidRDefault="00746144"/>
        </w:tc>
      </w:tr>
      <w:tr w:rsidR="00746144" w:rsidRPr="006162F7" w14:paraId="40D97B88" w14:textId="77777777">
        <w:tc>
          <w:tcPr>
            <w:tcW w:w="1529" w:type="dxa"/>
          </w:tcPr>
          <w:p w14:paraId="7C1043BB" w14:textId="77777777" w:rsidR="00746144" w:rsidRDefault="00746144"/>
        </w:tc>
        <w:tc>
          <w:tcPr>
            <w:tcW w:w="1301" w:type="dxa"/>
          </w:tcPr>
          <w:p w14:paraId="170352A6" w14:textId="77777777" w:rsidR="00746144" w:rsidRPr="006162F7" w:rsidRDefault="00746144"/>
        </w:tc>
        <w:tc>
          <w:tcPr>
            <w:tcW w:w="6525" w:type="dxa"/>
          </w:tcPr>
          <w:p w14:paraId="75866B90" w14:textId="77777777" w:rsidR="00746144" w:rsidRPr="006162F7" w:rsidRDefault="00746144"/>
        </w:tc>
      </w:tr>
      <w:tr w:rsidR="00746144" w:rsidRPr="006162F7" w14:paraId="6DAE1E17" w14:textId="77777777">
        <w:tc>
          <w:tcPr>
            <w:tcW w:w="1529" w:type="dxa"/>
          </w:tcPr>
          <w:p w14:paraId="7264F2EF" w14:textId="77777777" w:rsidR="00746144" w:rsidRDefault="00746144"/>
        </w:tc>
        <w:tc>
          <w:tcPr>
            <w:tcW w:w="1301" w:type="dxa"/>
          </w:tcPr>
          <w:p w14:paraId="25C8B58F" w14:textId="77777777" w:rsidR="00746144" w:rsidRPr="006162F7" w:rsidRDefault="00746144"/>
        </w:tc>
        <w:tc>
          <w:tcPr>
            <w:tcW w:w="6525" w:type="dxa"/>
          </w:tcPr>
          <w:p w14:paraId="1FE9F6CF" w14:textId="77777777" w:rsidR="00746144" w:rsidRPr="006162F7" w:rsidRDefault="00746144"/>
        </w:tc>
      </w:tr>
    </w:tbl>
    <w:p w14:paraId="100CFE9B" w14:textId="77777777" w:rsidR="009C5E7A" w:rsidRDefault="009C5E7A" w:rsidP="0031465F">
      <w:pPr>
        <w:rPr>
          <w:lang w:val="en-GB" w:eastAsia="zh-CN"/>
        </w:rPr>
      </w:pPr>
    </w:p>
    <w:p w14:paraId="40E909A4" w14:textId="433E30E8" w:rsidR="00C4477A" w:rsidRDefault="00C4477A" w:rsidP="00860E3B">
      <w:pPr>
        <w:pStyle w:val="Heading3"/>
        <w:numPr>
          <w:ilvl w:val="2"/>
          <w:numId w:val="3"/>
        </w:numPr>
        <w:ind w:left="709"/>
      </w:pPr>
      <w:r>
        <w:t>UE side additional condition</w:t>
      </w:r>
    </w:p>
    <w:p w14:paraId="1A24DCEF" w14:textId="17654FBE" w:rsidR="001A5B67" w:rsidRPr="00562B5C" w:rsidRDefault="004F56BF" w:rsidP="00860E3B">
      <w:pPr>
        <w:pStyle w:val="ListParagraph"/>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SimSun" w:hAnsi="Times New Roman" w:cs="Times New Roman"/>
          <w:sz w:val="20"/>
          <w:szCs w:val="20"/>
        </w:rPr>
        <w:t>If question needs to be asked to RAN1, pls provide what it should be?</w:t>
      </w:r>
    </w:p>
    <w:p w14:paraId="7452F6D2" w14:textId="7EC758ED" w:rsidR="001A5B67" w:rsidRPr="00562B5C" w:rsidRDefault="001A5B67" w:rsidP="00860E3B">
      <w:pPr>
        <w:pStyle w:val="ListParagraph"/>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sidR="00153EF1">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 xml:space="preserve">already covered by UE reporting applicable </w:t>
      </w:r>
      <w:r w:rsidR="00464C95" w:rsidRPr="00562B5C">
        <w:rPr>
          <w:rFonts w:ascii="Times New Roman" w:eastAsia="SimSun" w:hAnsi="Times New Roman" w:cs="Times New Roman"/>
          <w:sz w:val="20"/>
          <w:szCs w:val="20"/>
        </w:rPr>
        <w:t>f</w:t>
      </w:r>
      <w:r w:rsidRPr="00562B5C">
        <w:rPr>
          <w:rFonts w:ascii="Times New Roman" w:eastAsia="SimSun"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tc>
          <w:tcPr>
            <w:tcW w:w="1529" w:type="dxa"/>
          </w:tcPr>
          <w:p w14:paraId="1F26CD9F" w14:textId="77777777" w:rsidR="001D0C19" w:rsidRDefault="001D0C19"/>
        </w:tc>
        <w:tc>
          <w:tcPr>
            <w:tcW w:w="1301" w:type="dxa"/>
          </w:tcPr>
          <w:p w14:paraId="2EAAFEE4" w14:textId="77777777" w:rsidR="001D0C19" w:rsidRPr="006162F7" w:rsidRDefault="001D0C19"/>
        </w:tc>
        <w:tc>
          <w:tcPr>
            <w:tcW w:w="6525" w:type="dxa"/>
          </w:tcPr>
          <w:p w14:paraId="71013828" w14:textId="77777777" w:rsidR="001D0C19" w:rsidRPr="006162F7" w:rsidRDefault="001D0C19"/>
        </w:tc>
      </w:tr>
      <w:tr w:rsidR="001D0C19" w:rsidRPr="006162F7" w14:paraId="423F6BB3" w14:textId="77777777">
        <w:tc>
          <w:tcPr>
            <w:tcW w:w="1529" w:type="dxa"/>
          </w:tcPr>
          <w:p w14:paraId="2A9D4138" w14:textId="77777777" w:rsidR="001D0C19" w:rsidRDefault="001D0C19"/>
        </w:tc>
        <w:tc>
          <w:tcPr>
            <w:tcW w:w="1301" w:type="dxa"/>
          </w:tcPr>
          <w:p w14:paraId="6DDBC6BA" w14:textId="77777777" w:rsidR="001D0C19" w:rsidRPr="006162F7" w:rsidRDefault="001D0C19"/>
        </w:tc>
        <w:tc>
          <w:tcPr>
            <w:tcW w:w="6525" w:type="dxa"/>
          </w:tcPr>
          <w:p w14:paraId="2363AF0E" w14:textId="77777777" w:rsidR="001D0C19" w:rsidRPr="006162F7" w:rsidRDefault="001D0C19"/>
        </w:tc>
      </w:tr>
    </w:tbl>
    <w:p w14:paraId="049E50CC" w14:textId="11D2525C" w:rsidR="00FA45AC" w:rsidRDefault="007E2A14" w:rsidP="0012729B">
      <w:pPr>
        <w:pStyle w:val="Heading3"/>
        <w:numPr>
          <w:ilvl w:val="2"/>
          <w:numId w:val="3"/>
        </w:numPr>
        <w:ind w:left="709"/>
      </w:pPr>
      <w:r>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TableGrid"/>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497F11">
            <w:pPr>
              <w:jc w:val="both"/>
              <w:rPr>
                <w:b/>
                <w:bCs/>
              </w:rPr>
            </w:pPr>
            <w:r w:rsidRPr="006162F7">
              <w:rPr>
                <w:b/>
                <w:bCs/>
              </w:rPr>
              <w:lastRenderedPageBreak/>
              <w:t>Company</w:t>
            </w:r>
          </w:p>
        </w:tc>
        <w:tc>
          <w:tcPr>
            <w:tcW w:w="6525" w:type="dxa"/>
          </w:tcPr>
          <w:p w14:paraId="61B5BA80" w14:textId="77777777" w:rsidR="00CD0CD4" w:rsidRPr="006162F7" w:rsidRDefault="00CD0CD4" w:rsidP="00497F11">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77777777" w:rsidR="00CD0CD4" w:rsidRDefault="00CD0CD4" w:rsidP="00497F11"/>
        </w:tc>
        <w:tc>
          <w:tcPr>
            <w:tcW w:w="6525" w:type="dxa"/>
          </w:tcPr>
          <w:p w14:paraId="5AB31484" w14:textId="77777777" w:rsidR="00CD0CD4" w:rsidRDefault="00CD0CD4" w:rsidP="00497F11"/>
        </w:tc>
      </w:tr>
      <w:tr w:rsidR="00CD0CD4" w14:paraId="4D31416C" w14:textId="77777777" w:rsidTr="00013748">
        <w:tc>
          <w:tcPr>
            <w:tcW w:w="1529" w:type="dxa"/>
          </w:tcPr>
          <w:p w14:paraId="273BE38E" w14:textId="77777777" w:rsidR="00CD0CD4" w:rsidRDefault="00CD0CD4" w:rsidP="00497F11"/>
        </w:tc>
        <w:tc>
          <w:tcPr>
            <w:tcW w:w="6525" w:type="dxa"/>
          </w:tcPr>
          <w:p w14:paraId="68D1A198" w14:textId="77777777" w:rsidR="00CD0CD4" w:rsidRDefault="00CD0CD4" w:rsidP="00497F11"/>
        </w:tc>
      </w:tr>
      <w:tr w:rsidR="00CD0CD4" w:rsidRPr="006162F7" w14:paraId="5275D7FB" w14:textId="77777777" w:rsidTr="00013748">
        <w:tc>
          <w:tcPr>
            <w:tcW w:w="1529" w:type="dxa"/>
          </w:tcPr>
          <w:p w14:paraId="75A7BA14" w14:textId="77777777" w:rsidR="00CD0CD4" w:rsidRDefault="00CD0CD4" w:rsidP="00497F11"/>
        </w:tc>
        <w:tc>
          <w:tcPr>
            <w:tcW w:w="6525" w:type="dxa"/>
          </w:tcPr>
          <w:p w14:paraId="46AF69AC" w14:textId="77777777" w:rsidR="00CD0CD4" w:rsidRPr="006162F7" w:rsidRDefault="00CD0CD4" w:rsidP="00497F11"/>
        </w:tc>
      </w:tr>
      <w:tr w:rsidR="00CD0CD4" w:rsidRPr="006162F7" w14:paraId="63304756" w14:textId="77777777" w:rsidTr="00013748">
        <w:tc>
          <w:tcPr>
            <w:tcW w:w="1529" w:type="dxa"/>
          </w:tcPr>
          <w:p w14:paraId="0DEB92A0" w14:textId="77777777" w:rsidR="00CD0CD4" w:rsidRDefault="00CD0CD4" w:rsidP="00497F11"/>
        </w:tc>
        <w:tc>
          <w:tcPr>
            <w:tcW w:w="6525" w:type="dxa"/>
          </w:tcPr>
          <w:p w14:paraId="3145F0B6" w14:textId="77777777" w:rsidR="00CD0CD4" w:rsidRPr="006162F7" w:rsidRDefault="00CD0CD4" w:rsidP="00497F11"/>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Heading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Heading1"/>
        <w:numPr>
          <w:ilvl w:val="0"/>
          <w:numId w:val="3"/>
        </w:numPr>
      </w:pPr>
      <w:r>
        <w:t>Annex RAN1 agreements</w:t>
      </w:r>
    </w:p>
    <w:tbl>
      <w:tblPr>
        <w:tblStyle w:val="TableGrid"/>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signaling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DengXian"/>
                <w:szCs w:val="24"/>
                <w:lang w:eastAsia="zh-CN"/>
              </w:rPr>
            </w:pPr>
          </w:p>
          <w:p w14:paraId="376A962F"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lastRenderedPageBreak/>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For AI/ML based positioning Case 3b, for gNB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DengXian"/>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DengXian"/>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DengXian"/>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w:t>
            </w:r>
            <w:proofErr w:type="gramStart"/>
            <w:r w:rsidRPr="006E5D2D">
              <w:rPr>
                <w:rFonts w:eastAsia="Batang"/>
                <w:szCs w:val="24"/>
                <w:lang w:val="en-GB"/>
              </w:rPr>
              <w:t>purpose, and</w:t>
            </w:r>
            <w:proofErr w:type="gramEnd"/>
            <w:r w:rsidRPr="006E5D2D">
              <w:rPr>
                <w:rFonts w:eastAsia="Batang"/>
                <w:szCs w:val="24"/>
                <w:lang w:val="en-GB"/>
              </w:rPr>
              <w:t xml:space="preserve">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DengXian"/>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DengXian"/>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lastRenderedPageBreak/>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DengXian"/>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Batang"/>
                <w:szCs w:val="24"/>
                <w:lang w:val="en-GB"/>
              </w:rPr>
              <w:t>the label and its related data</w:t>
            </w:r>
            <w:r w:rsidRPr="006E5D2D">
              <w:rPr>
                <w:rFonts w:eastAsia="DengXian"/>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DengXian"/>
                <w:szCs w:val="24"/>
                <w:lang w:val="en-GB" w:eastAsia="zh-CN"/>
              </w:rPr>
              <w:t>2a</w:t>
            </w:r>
            <w:r w:rsidRPr="006E5D2D">
              <w:rPr>
                <w:rFonts w:eastAsia="Batang"/>
                <w:szCs w:val="24"/>
                <w:lang w:val="en-GB"/>
              </w:rPr>
              <w:t xml:space="preserve">, the label and its related data (e.g., time stamp) can be </w:t>
            </w:r>
            <w:r w:rsidRPr="006E5D2D">
              <w:rPr>
                <w:rFonts w:eastAsia="DengXian"/>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Batang"/>
                <w:szCs w:val="24"/>
                <w:lang w:val="en-GB"/>
              </w:rPr>
              <w:t>the label and its related data</w:t>
            </w:r>
            <w:r w:rsidRPr="006E5D2D">
              <w:rPr>
                <w:rFonts w:eastAsia="DengXian"/>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DengXian"/>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DengXian"/>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AI/ML positioning Case 3a, for model performance monitoring metric calculation in label-based model monitoring, study the feasibility of the following options. </w:t>
            </w:r>
            <w:r w:rsidRPr="006E5D2D">
              <w:rPr>
                <w:rFonts w:eastAsia="DengXian"/>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DengXian"/>
                <w:szCs w:val="24"/>
                <w:lang w:val="en-GB" w:eastAsia="zh-CN"/>
              </w:rPr>
              <w:t>Final s</w:t>
            </w:r>
            <w:r w:rsidRPr="006E5D2D">
              <w:rPr>
                <w:rFonts w:eastAsia="Batang"/>
                <w:szCs w:val="24"/>
                <w:lang w:val="en-GB"/>
              </w:rPr>
              <w:t xml:space="preserve">election of Option A and Option B is out of RAN1 scope, </w:t>
            </w:r>
            <w:r w:rsidRPr="006E5D2D">
              <w:rPr>
                <w:rFonts w:eastAsia="DengXian"/>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DengXian"/>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DengXian"/>
                <w:szCs w:val="24"/>
                <w:lang w:eastAsia="zh-CN"/>
              </w:rPr>
            </w:pPr>
          </w:p>
          <w:p w14:paraId="055831B1" w14:textId="77777777" w:rsidR="006E5D2D" w:rsidRPr="006E5D2D" w:rsidRDefault="006E5D2D" w:rsidP="006E5D2D">
            <w:pPr>
              <w:overflowPunct/>
              <w:autoSpaceDE/>
              <w:autoSpaceDN/>
              <w:adjustRightInd/>
              <w:spacing w:after="0" w:line="240" w:lineRule="auto"/>
              <w:rPr>
                <w:rFonts w:eastAsia="DengXian"/>
                <w:szCs w:val="24"/>
                <w:highlight w:val="green"/>
                <w:lang w:eastAsia="zh-CN"/>
              </w:rPr>
            </w:pPr>
            <w:r w:rsidRPr="006E5D2D">
              <w:rPr>
                <w:rFonts w:eastAsia="DengXian"/>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DengXian"/>
                <w:szCs w:val="24"/>
                <w:lang w:val="en-GB" w:eastAsia="zh-CN"/>
              </w:rPr>
              <w:t xml:space="preserve">potential </w:t>
            </w:r>
            <w:r w:rsidRPr="006E5D2D">
              <w:rPr>
                <w:rFonts w:eastAsia="Batang"/>
                <w:szCs w:val="24"/>
                <w:lang w:val="en-GB"/>
              </w:rPr>
              <w:t xml:space="preserve">specification impact of the following options </w:t>
            </w:r>
            <w:proofErr w:type="gramStart"/>
            <w:r w:rsidRPr="006E5D2D">
              <w:rPr>
                <w:rFonts w:eastAsia="Batang"/>
                <w:szCs w:val="24"/>
                <w:lang w:val="en-GB"/>
              </w:rPr>
              <w:t>with regard to</w:t>
            </w:r>
            <w:proofErr w:type="gramEnd"/>
            <w:r w:rsidRPr="006E5D2D">
              <w:rPr>
                <w:rFonts w:eastAsia="Batang"/>
                <w:szCs w:val="24"/>
                <w:lang w:val="en-GB"/>
              </w:rPr>
              <w:t xml:space="preserve">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lastRenderedPageBreak/>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DengXian"/>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DengXian" w:hAnsi="Times"/>
                <w:szCs w:val="24"/>
                <w:highlight w:val="darkYellow"/>
                <w:lang w:val="en-GB"/>
              </w:rPr>
            </w:pPr>
            <w:r w:rsidRPr="005D7FB2">
              <w:rPr>
                <w:rFonts w:ascii="Times" w:eastAsia="DengXian"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DengXian" w:hAnsi="Times"/>
                <w:szCs w:val="24"/>
                <w:shd w:val="pct15" w:color="auto" w:fill="FFFFFF"/>
                <w:lang w:val="en-GB" w:eastAsia="zh-CN"/>
              </w:rPr>
            </w:pPr>
            <w:r w:rsidRPr="005D7FB2">
              <w:rPr>
                <w:rFonts w:ascii="Times" w:eastAsia="DengXian"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Note: Previous related </w:t>
            </w:r>
            <w:r w:rsidRPr="005D7FB2">
              <w:rPr>
                <w:rFonts w:ascii="Times" w:eastAsia="DengXian" w:hAnsi="Times"/>
                <w:szCs w:val="24"/>
                <w:lang w:val="en-GB" w:eastAsia="zh-CN"/>
              </w:rPr>
              <w:t>workin</w:t>
            </w:r>
            <w:r w:rsidRPr="005D7FB2">
              <w:rPr>
                <w:rFonts w:ascii="Times" w:eastAsia="DengXian"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DengXian"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spellStart"/>
            <w:r w:rsidRPr="005D7FB2">
              <w:rPr>
                <w:rFonts w:ascii="Times" w:eastAsia="Batang" w:hAnsi="Times"/>
                <w:szCs w:val="24"/>
                <w:lang w:eastAsia="x-none"/>
              </w:rPr>
              <w:t>signalled</w:t>
            </w:r>
            <w:proofErr w:type="spell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and k (including signaling</w:t>
            </w:r>
            <w:proofErr w:type="gramStart"/>
            <w:r w:rsidRPr="005D7FB2">
              <w:rPr>
                <w:rFonts w:ascii="Times" w:eastAsia="Batang" w:hAnsi="Times"/>
                <w:szCs w:val="24"/>
                <w:lang w:eastAsia="x-none"/>
              </w:rPr>
              <w:t xml:space="preserve">) </w:t>
            </w:r>
            <w:r w:rsidRPr="005D7FB2">
              <w:rPr>
                <w:rFonts w:ascii="Times" w:eastAsia="Batang" w:hAnsi="Times" w:hint="eastAsia"/>
                <w:szCs w:val="24"/>
                <w:lang w:eastAsia="x-none"/>
              </w:rPr>
              <w:t>,</w:t>
            </w:r>
            <w:proofErr w:type="gramEnd"/>
            <w:r w:rsidRPr="005D7FB2">
              <w:rPr>
                <w:rFonts w:ascii="Times" w:eastAsia="Batang" w:hAnsi="Times" w:hint="eastAsia"/>
                <w:szCs w:val="24"/>
                <w:lang w:eastAsia="x-none"/>
              </w:rPr>
              <w:t xml:space="preserve"> and a rule</w:t>
            </w:r>
            <w:r w:rsidRPr="005D7FB2">
              <w:rPr>
                <w:rFonts w:ascii="Times" w:eastAsia="DengXian" w:hAnsi="Times" w:hint="eastAsia"/>
                <w:szCs w:val="24"/>
                <w:lang w:eastAsia="zh-CN"/>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lastRenderedPageBreak/>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DengXian"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DengXian" w:hAnsi="Times"/>
                <w:b/>
                <w:szCs w:val="24"/>
                <w:highlight w:val="green"/>
                <w:lang w:val="en-GB" w:eastAsia="zh-CN"/>
              </w:rPr>
            </w:pPr>
            <w:r w:rsidRPr="005D7FB2">
              <w:rPr>
                <w:rFonts w:ascii="Times" w:eastAsia="DengXian"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DengXian"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Draft LS R1-2405577 is endorsed in principle by adding the latest agreements made in this meeting </w:t>
            </w:r>
            <w:r w:rsidRPr="005D7FB2">
              <w:rPr>
                <w:rFonts w:ascii="Times" w:eastAsia="DengXian" w:hAnsi="Times"/>
                <w:szCs w:val="24"/>
                <w:lang w:val="en-GB" w:eastAsia="zh-CN"/>
              </w:rPr>
              <w:t>and</w:t>
            </w:r>
            <w:r w:rsidRPr="005D7FB2">
              <w:rPr>
                <w:rFonts w:ascii="Times" w:eastAsia="DengXian" w:hAnsi="Times" w:hint="eastAsia"/>
                <w:szCs w:val="24"/>
                <w:lang w:val="en-GB" w:eastAsia="zh-CN"/>
              </w:rPr>
              <w:t xml:space="preserve"> adding </w:t>
            </w:r>
            <w:r w:rsidRPr="005D7FB2">
              <w:rPr>
                <w:rFonts w:ascii="Times" w:eastAsia="DengXian" w:hAnsi="Times"/>
                <w:szCs w:val="24"/>
                <w:lang w:val="en-GB" w:eastAsia="zh-CN"/>
              </w:rPr>
              <w:t>“</w:t>
            </w:r>
            <w:r w:rsidRPr="005D7FB2">
              <w:rPr>
                <w:rFonts w:ascii="Times" w:eastAsia="DengXian" w:hAnsi="Times" w:hint="eastAsia"/>
                <w:szCs w:val="24"/>
                <w:lang w:val="en-GB" w:eastAsia="zh-CN"/>
              </w:rPr>
              <w:t>agreements</w:t>
            </w:r>
            <w:r w:rsidRPr="005D7FB2">
              <w:rPr>
                <w:rFonts w:ascii="Times" w:eastAsia="DengXian" w:hAnsi="Times"/>
                <w:szCs w:val="24"/>
                <w:lang w:val="en-GB" w:eastAsia="zh-CN"/>
              </w:rPr>
              <w:t>”</w:t>
            </w:r>
            <w:r w:rsidRPr="005D7FB2">
              <w:rPr>
                <w:rFonts w:ascii="Times" w:eastAsia="DengXian" w:hAnsi="Times" w:hint="eastAsia"/>
                <w:szCs w:val="24"/>
                <w:lang w:val="en-GB" w:eastAsia="zh-CN"/>
              </w:rPr>
              <w:t xml:space="preserve"> to </w:t>
            </w:r>
            <w:r w:rsidRPr="005D7FB2">
              <w:rPr>
                <w:rFonts w:ascii="Times" w:eastAsia="DengXian" w:hAnsi="Times"/>
                <w:szCs w:val="24"/>
                <w:lang w:val="en-GB" w:eastAsia="zh-CN"/>
              </w:rPr>
              <w:t>“</w:t>
            </w:r>
            <w:r w:rsidRPr="005D7FB2">
              <w:rPr>
                <w:rFonts w:ascii="Times" w:eastAsia="Batang" w:hAnsi="Times"/>
                <w:color w:val="FF0000"/>
                <w:lang w:val="en-GB"/>
              </w:rPr>
              <w:t>Note: the working assumptions above are based on RAN1 understanding for RAN work item (</w:t>
            </w:r>
            <w:proofErr w:type="spellStart"/>
            <w:r w:rsidRPr="005D7FB2">
              <w:rPr>
                <w:rFonts w:ascii="Times" w:eastAsia="Batang" w:hAnsi="Times"/>
                <w:color w:val="FF0000"/>
                <w:lang w:val="en-GB"/>
              </w:rPr>
              <w:t>NR_AIML_air</w:t>
            </w:r>
            <w:proofErr w:type="spellEnd"/>
            <w:r w:rsidRPr="005D7FB2">
              <w:rPr>
                <w:rFonts w:ascii="Times" w:eastAsia="Batang" w:hAnsi="Times"/>
                <w:color w:val="FF0000"/>
                <w:lang w:val="en-GB"/>
              </w:rPr>
              <w:t>).</w:t>
            </w:r>
            <w:r w:rsidRPr="005D7FB2">
              <w:rPr>
                <w:rFonts w:ascii="Times" w:eastAsia="DengXian"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Batang" w:hAnsi="Times"/>
                <w:szCs w:val="24"/>
                <w:lang w:val="en-GB"/>
              </w:rPr>
              <w:t>For AI/ML positioning Case 3a, for</w:t>
            </w:r>
            <w:r w:rsidRPr="003D59C8">
              <w:rPr>
                <w:rFonts w:ascii="Times" w:eastAsia="DengXian"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DengXian"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DengXian"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DengXian"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DengXian"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Calibri" w:hAnsi="Times"/>
                <w:szCs w:val="24"/>
                <w:lang w:val="de-DE" w:eastAsia="x-none"/>
              </w:rPr>
              <w:t>Option A-4 can be realized by implementation in a manner transparent to specification</w:t>
            </w:r>
            <w:r w:rsidRPr="003D59C8">
              <w:rPr>
                <w:rFonts w:ascii="Times" w:eastAsia="Batang" w:hAnsi="Times"/>
                <w:szCs w:val="24"/>
                <w:lang w:eastAsia="x-none"/>
              </w:rPr>
              <w:t xml:space="preserve"> </w:t>
            </w:r>
            <w:r w:rsidRPr="003D59C8">
              <w:rPr>
                <w:rFonts w:ascii="Times" w:eastAsia="Calibri" w:hAnsi="Times"/>
                <w:szCs w:val="24"/>
                <w:lang w:val="de-DE" w:eastAsia="x-none"/>
              </w:rPr>
              <w:t>specification if the PRU sends information to the target UE side in a proprietary method. 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DengXian"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lastRenderedPageBreak/>
              <w:t>For channel measurement generated by TRP/gNB, existing IE “Time Stamp” in TS 38.455</w:t>
            </w:r>
            <w:r w:rsidRPr="003D59C8">
              <w:rPr>
                <w:rFonts w:ascii="Times" w:eastAsia="DengXian"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DengXian" w:hAnsi="Times"/>
                <w:szCs w:val="24"/>
                <w:lang w:eastAsia="zh-CN"/>
              </w:rPr>
              <w:t>“</w:t>
            </w:r>
            <w:r w:rsidRPr="003D59C8">
              <w:rPr>
                <w:rFonts w:ascii="Times" w:eastAsia="Batang" w:hAnsi="Times"/>
                <w:szCs w:val="24"/>
                <w:lang w:val="en-GB" w:eastAsia="x-none"/>
              </w:rPr>
              <w:t>training data collection</w:t>
            </w:r>
            <w:r w:rsidRPr="003D59C8">
              <w:rPr>
                <w:rFonts w:ascii="Times" w:eastAsia="DengXian"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DengXian" w:hAnsi="Times" w:hint="eastAsia"/>
                <w:szCs w:val="24"/>
                <w:lang w:val="en-GB" w:eastAsia="zh-CN"/>
              </w:rPr>
              <w:t xml:space="preserve">necessarily </w:t>
            </w:r>
            <w:r w:rsidRPr="003D59C8">
              <w:rPr>
                <w:rFonts w:ascii="Times" w:eastAsia="Batang" w:hAnsi="Times"/>
                <w:szCs w:val="24"/>
                <w:lang w:val="en-GB" w:eastAsia="zh-CN"/>
              </w:rPr>
              <w:t xml:space="preserve">be specified in RAN 1 </w:t>
            </w:r>
            <w:proofErr w:type="gramStart"/>
            <w:r w:rsidRPr="003D59C8">
              <w:rPr>
                <w:rFonts w:ascii="Times" w:eastAsia="Batang" w:hAnsi="Times"/>
                <w:szCs w:val="24"/>
                <w:lang w:val="en-GB" w:eastAsia="zh-CN"/>
              </w:rPr>
              <w:t>specifications</w:t>
            </w:r>
            <w:proofErr w:type="gramEnd"/>
          </w:p>
          <w:p w14:paraId="6DCD7486"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the UE can be a PRU and/or a </w:t>
            </w:r>
            <w:proofErr w:type="gramStart"/>
            <w:r w:rsidRPr="003D59C8">
              <w:rPr>
                <w:rFonts w:ascii="Times" w:eastAsia="Batang" w:hAnsi="Times"/>
                <w:szCs w:val="24"/>
                <w:lang w:val="en-GB"/>
              </w:rPr>
              <w:t>Non-PRU UE</w:t>
            </w:r>
            <w:proofErr w:type="gramEnd"/>
            <w:r w:rsidRPr="003D59C8">
              <w:rPr>
                <w:rFonts w:ascii="Times" w:eastAsia="Batang" w:hAnsi="Times"/>
                <w:szCs w:val="24"/>
                <w:lang w:val="en-GB"/>
              </w:rPr>
              <w:t>.</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definition of sample-based measurement, select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Batang" w:hAnsi="Times"/>
                <w:szCs w:val="24"/>
                <w:lang w:val="en-GB"/>
              </w:rPr>
              <w:t xml:space="preserve">’ samples out of a list of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DengXian"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DengXian"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t</w:t>
            </w:r>
            <w:r w:rsidRPr="003D59C8">
              <w:rPr>
                <w:rFonts w:ascii="Times" w:eastAsia="DengXian" w:hAnsi="Times"/>
                <w:szCs w:val="24"/>
                <w:lang w:eastAsia="x-none"/>
              </w:rPr>
              <w:t xml:space="preserve">he </w:t>
            </w:r>
            <w:proofErr w:type="spellStart"/>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DengXian"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should </w:t>
            </w:r>
            <w:proofErr w:type="gramStart"/>
            <w:r w:rsidRPr="003D59C8">
              <w:rPr>
                <w:rFonts w:ascii="Times" w:eastAsia="Batang" w:hAnsi="Times"/>
                <w:szCs w:val="24"/>
                <w:lang w:val="en-GB" w:eastAsia="x-none"/>
              </w:rPr>
              <w:t>take into account</w:t>
            </w:r>
            <w:proofErr w:type="gramEnd"/>
            <w:r w:rsidRPr="003D59C8">
              <w:rPr>
                <w:rFonts w:ascii="Times" w:eastAsia="Batang" w:hAnsi="Times"/>
                <w:szCs w:val="24"/>
                <w:lang w:val="en-GB" w:eastAsia="x-none"/>
              </w:rPr>
              <w:t xml:space="preserve">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DengXian"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lastRenderedPageBreak/>
              <w:t xml:space="preserve">The existing procedures </w:t>
            </w:r>
            <w:r w:rsidRPr="003D59C8">
              <w:rPr>
                <w:rFonts w:ascii="Times" w:eastAsia="DengXian"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DengXian"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DengXian"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 xml:space="preserve">be specified in RAN 1 </w:t>
            </w:r>
            <w:proofErr w:type="gramStart"/>
            <w:r w:rsidRPr="003D59C8">
              <w:rPr>
                <w:rFonts w:ascii="Times" w:eastAsia="Times New Roman" w:hAnsi="Times" w:cs="Calibri"/>
                <w:lang w:val="en-GB"/>
              </w:rPr>
              <w:t>specifications</w:t>
            </w:r>
            <w:proofErr w:type="gramEnd"/>
          </w:p>
          <w:p w14:paraId="36C22A1D"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DengXian"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DengXian" w:hAnsi="Times" w:hint="eastAsia"/>
                <w:szCs w:val="24"/>
                <w:lang w:eastAsia="zh-CN"/>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k to gNB via NRPPa.</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DengXian"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DengXian"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DengXian" w:hAnsi="Times"/>
                <w:szCs w:val="24"/>
                <w:lang w:val="en-GB" w:eastAsia="zh-CN"/>
              </w:rPr>
              <w:t>W</w:t>
            </w:r>
            <w:r w:rsidRPr="00DA38BF">
              <w:rPr>
                <w:rFonts w:ascii="Times" w:eastAsia="DengXian"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w:t>
            </w:r>
            <w:proofErr w:type="gramStart"/>
            <w:r w:rsidRPr="00DA38BF">
              <w:rPr>
                <w:rFonts w:ascii="Times" w:eastAsia="Batang" w:hAnsi="Times"/>
                <w:szCs w:val="24"/>
                <w:lang w:val="en-GB" w:eastAsia="x-none"/>
              </w:rPr>
              <w:t>38.455;</w:t>
            </w:r>
            <w:proofErr w:type="gramEnd"/>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DengXian" w:hAnsi="Times" w:hint="eastAsia"/>
                <w:szCs w:val="24"/>
                <w:lang w:val="en-GB" w:eastAsia="zh-CN"/>
              </w:rPr>
              <w:t xml:space="preserve">FFS: details on how to associate quality indicator to timing </w:t>
            </w:r>
            <w:r w:rsidRPr="00DA38BF">
              <w:rPr>
                <w:rFonts w:ascii="Times" w:eastAsia="DengXian"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DengXian"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For training data collection of Case 1, in terms of DL PRS configuration for collecting training data, both options are</w:t>
            </w:r>
            <w:r w:rsidRPr="00DA38BF">
              <w:rPr>
                <w:rFonts w:ascii="Times" w:eastAsia="DengXian"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Note: the UE can be a PRU and/or a </w:t>
            </w:r>
            <w:proofErr w:type="gramStart"/>
            <w:r w:rsidRPr="00DA38BF">
              <w:rPr>
                <w:rFonts w:ascii="Times" w:eastAsia="Batang" w:hAnsi="Times"/>
                <w:szCs w:val="24"/>
                <w:lang w:val="en-GB"/>
              </w:rPr>
              <w:t>Non-PRU UE</w:t>
            </w:r>
            <w:proofErr w:type="gramEnd"/>
            <w:r w:rsidRPr="00DA38BF">
              <w:rPr>
                <w:rFonts w:ascii="Times" w:eastAsia="Batang" w:hAnsi="Times"/>
                <w:szCs w:val="24"/>
                <w:lang w:val="en-GB"/>
              </w:rPr>
              <w:t>.</w:t>
            </w:r>
          </w:p>
          <w:p w14:paraId="799B816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w:t>
            </w:r>
            <w:proofErr w:type="gramStart"/>
            <w:r w:rsidRPr="00DA38BF">
              <w:rPr>
                <w:rFonts w:ascii="Times" w:eastAsia="Batang" w:hAnsi="Times"/>
                <w:szCs w:val="24"/>
                <w:lang w:val="en-GB"/>
              </w:rPr>
              <w:t>measurement;</w:t>
            </w:r>
            <w:proofErr w:type="gramEnd"/>
            <w:r w:rsidRPr="00DA38BF">
              <w:rPr>
                <w:rFonts w:ascii="Times" w:eastAsia="Batang" w:hAnsi="Times"/>
                <w:szCs w:val="24"/>
                <w:lang w:val="en-GB"/>
              </w:rPr>
              <w:t xml:space="preserve">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w:t>
            </w:r>
            <w:proofErr w:type="gramStart"/>
            <w:r w:rsidRPr="00DA38BF">
              <w:rPr>
                <w:rFonts w:ascii="Times" w:eastAsia="Batang" w:hAnsi="Times"/>
                <w:szCs w:val="24"/>
                <w:lang w:val="en-GB"/>
              </w:rPr>
              <w:t>measurement;</w:t>
            </w:r>
            <w:proofErr w:type="gramEnd"/>
            <w:r w:rsidRPr="00DA38BF">
              <w:rPr>
                <w:rFonts w:ascii="Times" w:eastAsia="Batang" w:hAnsi="Times"/>
                <w:szCs w:val="24"/>
                <w:lang w:val="en-GB"/>
              </w:rPr>
              <w:t xml:space="preserve">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DengXian"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lastRenderedPageBreak/>
              <w:t>From RAN1 perspective, when timing information is reported for Rel-19</w:t>
            </w:r>
            <w:r w:rsidRPr="00DA38BF">
              <w:rPr>
                <w:rFonts w:ascii="Times" w:eastAsia="DengXian" w:hAnsi="Times" w:hint="eastAsia"/>
                <w:szCs w:val="24"/>
                <w:lang w:val="en-GB" w:eastAsia="zh-CN"/>
              </w:rPr>
              <w:t xml:space="preserve"> </w:t>
            </w:r>
            <w:r w:rsidRPr="00DA38BF">
              <w:rPr>
                <w:rFonts w:ascii="Times" w:eastAsia="Batang"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DengXian" w:hAnsi="Times"/>
                <w:szCs w:val="24"/>
                <w:lang w:val="en-GB" w:eastAsia="x-none"/>
              </w:rPr>
              <w:t>Mandatory</w:t>
            </w:r>
            <w:r w:rsidRPr="00DA38BF">
              <w:rPr>
                <w:rFonts w:ascii="Times" w:eastAsia="Batang" w:hAnsi="Times"/>
                <w:szCs w:val="24"/>
                <w:lang w:val="en-GB" w:eastAsia="x-none"/>
              </w:rPr>
              <w:t>)</w:t>
            </w:r>
            <w:r w:rsidRPr="00DA38BF">
              <w:rPr>
                <w:rFonts w:ascii="Times" w:eastAsia="DengXian" w:hAnsi="Times" w:hint="eastAsia"/>
                <w:szCs w:val="24"/>
                <w:lang w:val="en-GB" w:eastAsia="x-none"/>
              </w:rPr>
              <w:t xml:space="preserve"> </w:t>
            </w:r>
            <w:r w:rsidRPr="00DA38BF">
              <w:rPr>
                <w:rFonts w:ascii="Times" w:eastAsia="Batang" w:hAnsi="Times"/>
                <w:szCs w:val="24"/>
                <w:lang w:val="en-GB" w:eastAsia="x-none"/>
              </w:rPr>
              <w:t xml:space="preserve">timing </w:t>
            </w:r>
            <w:proofErr w:type="gramStart"/>
            <w:r w:rsidRPr="00DA38BF">
              <w:rPr>
                <w:rFonts w:ascii="Times" w:eastAsia="Batang" w:hAnsi="Times"/>
                <w:szCs w:val="24"/>
                <w:lang w:val="en-GB" w:eastAsia="x-none"/>
              </w:rPr>
              <w:t>information;</w:t>
            </w:r>
            <w:proofErr w:type="gramEnd"/>
            <w:r w:rsidRPr="00DA38BF">
              <w:rPr>
                <w:rFonts w:ascii="Times" w:eastAsia="Batang" w:hAnsi="Times"/>
                <w:szCs w:val="24"/>
                <w:lang w:val="en-GB" w:eastAsia="x-none"/>
              </w:rPr>
              <w:t xml:space="preserve">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 xml:space="preserve">(Optional) Quality of the timing </w:t>
            </w:r>
            <w:proofErr w:type="gramStart"/>
            <w:r w:rsidRPr="00DA38BF">
              <w:rPr>
                <w:rFonts w:ascii="Times" w:eastAsia="Batang" w:hAnsi="Times"/>
                <w:szCs w:val="24"/>
                <w:lang w:val="en-GB" w:eastAsia="x-none"/>
              </w:rPr>
              <w:t>information;</w:t>
            </w:r>
            <w:proofErr w:type="gramEnd"/>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DengXian" w:hAnsi="Times" w:hint="eastAsia"/>
                <w:szCs w:val="24"/>
                <w:lang w:val="en-GB" w:eastAsia="zh-CN"/>
              </w:rPr>
              <w:t xml:space="preserve">/or </w:t>
            </w:r>
            <w:r w:rsidRPr="00DA38BF">
              <w:rPr>
                <w:rFonts w:ascii="Times" w:eastAsia="Batang" w:hAnsi="Times"/>
                <w:szCs w:val="24"/>
                <w:lang w:val="en-GB" w:eastAsia="x-none"/>
              </w:rPr>
              <w:t>UE-based DL-AoD,</w:t>
            </w:r>
            <w:r w:rsidRPr="00DA38BF">
              <w:rPr>
                <w:rFonts w:ascii="Times" w:eastAsia="DengXian"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DengXian"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DengXian" w:hAnsi="Times" w:hint="eastAsia"/>
                <w:szCs w:val="24"/>
                <w:lang w:val="en-GB" w:eastAsia="zh-CN"/>
              </w:rPr>
              <w:t xml:space="preserve"> and/or (c) </w:t>
            </w:r>
            <w:proofErr w:type="gramStart"/>
            <w:r w:rsidRPr="00DA38BF">
              <w:rPr>
                <w:rFonts w:ascii="Times" w:eastAsia="DengXian" w:hAnsi="Times" w:hint="eastAsia"/>
                <w:szCs w:val="24"/>
                <w:lang w:val="en-GB" w:eastAsia="zh-CN"/>
              </w:rPr>
              <w:t>other</w:t>
            </w:r>
            <w:r w:rsidRPr="00DA38BF">
              <w:rPr>
                <w:rFonts w:ascii="Times" w:eastAsia="Batang" w:hAnsi="Times"/>
                <w:szCs w:val="24"/>
                <w:lang w:val="en-GB" w:eastAsia="x-none"/>
              </w:rPr>
              <w:t>;</w:t>
            </w:r>
            <w:proofErr w:type="gramEnd"/>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DL-AoD [2], as applicable.</w:t>
            </w:r>
          </w:p>
          <w:p w14:paraId="24226D74" w14:textId="77777777" w:rsidR="00DA38BF" w:rsidRPr="00DA38BF" w:rsidRDefault="00DA38BF" w:rsidP="00DA38BF">
            <w:pPr>
              <w:overflowPunct/>
              <w:autoSpaceDE/>
              <w:autoSpaceDN/>
              <w:adjustRightInd/>
              <w:spacing w:after="0" w:line="240" w:lineRule="auto"/>
              <w:rPr>
                <w:rFonts w:ascii="Times" w:eastAsia="DengXian" w:hAnsi="Times"/>
                <w:szCs w:val="24"/>
                <w:highlight w:val="darkYellow"/>
                <w:lang w:val="en-GB" w:eastAsia="zh-CN"/>
              </w:rPr>
            </w:pPr>
          </w:p>
          <w:tbl>
            <w:tblPr>
              <w:tblW w:w="0" w:type="auto"/>
              <w:tblLook w:val="04A0" w:firstRow="1" w:lastRow="0" w:firstColumn="1" w:lastColumn="0" w:noHBand="0" w:noVBand="1"/>
            </w:tblPr>
            <w:tblGrid>
              <w:gridCol w:w="417"/>
              <w:gridCol w:w="6690"/>
              <w:gridCol w:w="1014"/>
              <w:gridCol w:w="1003"/>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UE-based DL-</w:t>
                  </w:r>
                  <w:proofErr w:type="spellStart"/>
                  <w:r w:rsidRPr="00DA38BF">
                    <w:rPr>
                      <w:rFonts w:ascii="Times" w:eastAsia="Times New Roman" w:hAnsi="Times" w:cs="DengXian"/>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w:t>
                  </w:r>
                  <w:proofErr w:type="gramStart"/>
                  <w:r w:rsidRPr="00DA38BF">
                    <w:rPr>
                      <w:rFonts w:ascii="Times" w:eastAsia="Times New Roman" w:hAnsi="Times" w:cs="DengXian"/>
                      <w:b/>
                      <w:bCs/>
                      <w:color w:val="000000"/>
                      <w:lang w:val="en-GB"/>
                    </w:rPr>
                    <w:t>based  DL</w:t>
                  </w:r>
                  <w:proofErr w:type="gramEnd"/>
                  <w:r w:rsidRPr="00DA38BF">
                    <w:rPr>
                      <w:rFonts w:ascii="Times" w:eastAsia="Times New Roman" w:hAnsi="Times" w:cs="DengXian"/>
                      <w:b/>
                      <w:bCs/>
                      <w:color w:val="000000"/>
                      <w:lang w:val="en-GB"/>
                    </w:rPr>
                    <w:t>-AoD</w:t>
                  </w:r>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lastRenderedPageBreak/>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gNB/TRP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 xml:space="preserve">between a pair of UE and TRP, 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DengXian"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DengXian"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measurement is composed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of the estimated channel response in time domain.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values are selected from a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timing information for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associated measurement (e.g., power if reported) corresponds to the measurement for the reported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DengXian"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lastRenderedPageBreak/>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 xml:space="preserve">signal parameter values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k to gNB via NRPPa.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gNB/TRP may use different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w:t>
            </w:r>
            <w:r w:rsidRPr="00860E3B">
              <w:rPr>
                <w:rFonts w:ascii="Times" w:eastAsia="Batang" w:hAnsi="Times" w:hint="eastAsia"/>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DengXian"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w:t>
            </w:r>
            <w:proofErr w:type="gramStart"/>
            <w:r w:rsidRPr="00860E3B">
              <w:rPr>
                <w:rFonts w:ascii="Times" w:eastAsia="Batang" w:hAnsi="Times"/>
                <w:szCs w:val="24"/>
                <w:lang w:val="en-GB" w:eastAsia="x-none"/>
              </w:rPr>
              <w:t xml:space="preserve">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w:t>
            </w:r>
            <w:proofErr w:type="gramEnd"/>
            <w:r w:rsidRPr="00860E3B">
              <w:rPr>
                <w:rFonts w:ascii="Times" w:eastAsia="Batang" w:hAnsi="Times"/>
                <w:szCs w:val="24"/>
                <w:lang w:val="en-GB" w:eastAsia="x-none"/>
              </w:rPr>
              <w:t xml:space="preserv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31ACE" w14:textId="77777777" w:rsidR="00F41811" w:rsidRDefault="00F41811" w:rsidP="00741033">
      <w:pPr>
        <w:spacing w:after="0" w:line="240" w:lineRule="auto"/>
      </w:pPr>
      <w:r>
        <w:separator/>
      </w:r>
    </w:p>
  </w:endnote>
  <w:endnote w:type="continuationSeparator" w:id="0">
    <w:p w14:paraId="3A53673B" w14:textId="77777777" w:rsidR="00F41811" w:rsidRDefault="00F41811" w:rsidP="00741033">
      <w:pPr>
        <w:spacing w:after="0" w:line="240" w:lineRule="auto"/>
      </w:pPr>
      <w:r>
        <w:continuationSeparator/>
      </w:r>
    </w:p>
  </w:endnote>
  <w:endnote w:type="continuationNotice" w:id="1">
    <w:p w14:paraId="5E5302CE" w14:textId="77777777" w:rsidR="00F41811" w:rsidRDefault="00F41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91D9D" w14:textId="77777777" w:rsidR="00F41811" w:rsidRDefault="00F41811" w:rsidP="00741033">
      <w:pPr>
        <w:spacing w:after="0" w:line="240" w:lineRule="auto"/>
      </w:pPr>
      <w:r>
        <w:separator/>
      </w:r>
    </w:p>
  </w:footnote>
  <w:footnote w:type="continuationSeparator" w:id="0">
    <w:p w14:paraId="1BF8ADC2" w14:textId="77777777" w:rsidR="00F41811" w:rsidRDefault="00F41811" w:rsidP="00741033">
      <w:pPr>
        <w:spacing w:after="0" w:line="240" w:lineRule="auto"/>
      </w:pPr>
      <w:r>
        <w:continuationSeparator/>
      </w:r>
    </w:p>
  </w:footnote>
  <w:footnote w:type="continuationNotice" w:id="1">
    <w:p w14:paraId="4CF0EFAF" w14:textId="77777777" w:rsidR="00F41811" w:rsidRDefault="00F418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554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9"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2"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971232">
    <w:abstractNumId w:val="20"/>
  </w:num>
  <w:num w:numId="2" w16cid:durableId="503519336">
    <w:abstractNumId w:val="26"/>
  </w:num>
  <w:num w:numId="3" w16cid:durableId="14038672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263021">
    <w:abstractNumId w:val="30"/>
  </w:num>
  <w:num w:numId="5" w16cid:durableId="736130198">
    <w:abstractNumId w:val="24"/>
  </w:num>
  <w:num w:numId="6" w16cid:durableId="373234175">
    <w:abstractNumId w:val="0"/>
  </w:num>
  <w:num w:numId="7" w16cid:durableId="480079675">
    <w:abstractNumId w:val="21"/>
  </w:num>
  <w:num w:numId="8" w16cid:durableId="1847137444">
    <w:abstractNumId w:val="32"/>
  </w:num>
  <w:num w:numId="9" w16cid:durableId="10346926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5943889">
    <w:abstractNumId w:val="25"/>
  </w:num>
  <w:num w:numId="11" w16cid:durableId="1103106465">
    <w:abstractNumId w:val="11"/>
  </w:num>
  <w:num w:numId="12" w16cid:durableId="1871722902">
    <w:abstractNumId w:val="18"/>
  </w:num>
  <w:num w:numId="13" w16cid:durableId="179903190">
    <w:abstractNumId w:val="33"/>
  </w:num>
  <w:num w:numId="14" w16cid:durableId="2130734720">
    <w:abstractNumId w:val="5"/>
  </w:num>
  <w:num w:numId="15" w16cid:durableId="52699276">
    <w:abstractNumId w:val="34"/>
  </w:num>
  <w:num w:numId="16" w16cid:durableId="482622047">
    <w:abstractNumId w:val="37"/>
  </w:num>
  <w:num w:numId="17" w16cid:durableId="1004625711">
    <w:abstractNumId w:val="19"/>
  </w:num>
  <w:num w:numId="18" w16cid:durableId="221061920">
    <w:abstractNumId w:val="16"/>
  </w:num>
  <w:num w:numId="19" w16cid:durableId="500778352">
    <w:abstractNumId w:val="2"/>
  </w:num>
  <w:num w:numId="20" w16cid:durableId="1154637512">
    <w:abstractNumId w:val="7"/>
  </w:num>
  <w:num w:numId="21" w16cid:durableId="1169439969">
    <w:abstractNumId w:val="31"/>
  </w:num>
  <w:num w:numId="22" w16cid:durableId="2009405144">
    <w:abstractNumId w:val="12"/>
  </w:num>
  <w:num w:numId="23" w16cid:durableId="800925887">
    <w:abstractNumId w:val="13"/>
  </w:num>
  <w:num w:numId="24" w16cid:durableId="1805150907">
    <w:abstractNumId w:val="9"/>
  </w:num>
  <w:num w:numId="25" w16cid:durableId="1740011489">
    <w:abstractNumId w:val="1"/>
  </w:num>
  <w:num w:numId="26" w16cid:durableId="99957783">
    <w:abstractNumId w:val="35"/>
  </w:num>
  <w:num w:numId="27" w16cid:durableId="1870215790">
    <w:abstractNumId w:val="10"/>
  </w:num>
  <w:num w:numId="28" w16cid:durableId="546181221">
    <w:abstractNumId w:val="4"/>
  </w:num>
  <w:num w:numId="29" w16cid:durableId="507867578">
    <w:abstractNumId w:val="17"/>
  </w:num>
  <w:num w:numId="30" w16cid:durableId="717048423">
    <w:abstractNumId w:val="23"/>
  </w:num>
  <w:num w:numId="31" w16cid:durableId="1705522658">
    <w:abstractNumId w:val="22"/>
  </w:num>
  <w:num w:numId="32" w16cid:durableId="1504542143">
    <w:abstractNumId w:val="28"/>
  </w:num>
  <w:num w:numId="33" w16cid:durableId="584921506">
    <w:abstractNumId w:val="36"/>
  </w:num>
  <w:num w:numId="34" w16cid:durableId="1678264858">
    <w:abstractNumId w:val="6"/>
  </w:num>
  <w:num w:numId="35" w16cid:durableId="252858000">
    <w:abstractNumId w:val="29"/>
  </w:num>
  <w:num w:numId="36" w16cid:durableId="556598337">
    <w:abstractNumId w:val="14"/>
  </w:num>
  <w:num w:numId="37" w16cid:durableId="1251692390">
    <w:abstractNumId w:val="38"/>
  </w:num>
  <w:num w:numId="38" w16cid:durableId="11225091">
    <w:abstractNumId w:val="3"/>
  </w:num>
  <w:num w:numId="39" w16cid:durableId="241986737">
    <w:abstractNumId w:val="27"/>
  </w:num>
  <w:num w:numId="40" w16cid:durableId="1282150934">
    <w:abstractNumId w:val="8"/>
  </w:num>
  <w:num w:numId="41" w16cid:durableId="1371957339">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791"/>
    <w:rsid w:val="00025946"/>
    <w:rsid w:val="00025E3C"/>
    <w:rsid w:val="0002633D"/>
    <w:rsid w:val="00026359"/>
    <w:rsid w:val="00026665"/>
    <w:rsid w:val="00027DDC"/>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34B"/>
    <w:rsid w:val="00080952"/>
    <w:rsid w:val="00080A0A"/>
    <w:rsid w:val="00080A4A"/>
    <w:rsid w:val="00080D43"/>
    <w:rsid w:val="00080D94"/>
    <w:rsid w:val="00081B0D"/>
    <w:rsid w:val="00081E63"/>
    <w:rsid w:val="00082E46"/>
    <w:rsid w:val="00083974"/>
    <w:rsid w:val="0008452C"/>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B92"/>
    <w:rsid w:val="000E0653"/>
    <w:rsid w:val="000E1E15"/>
    <w:rsid w:val="000E246B"/>
    <w:rsid w:val="000E2B0D"/>
    <w:rsid w:val="000E3C52"/>
    <w:rsid w:val="000E4388"/>
    <w:rsid w:val="000E5C2E"/>
    <w:rsid w:val="000E68B5"/>
    <w:rsid w:val="000E7308"/>
    <w:rsid w:val="000E7DDE"/>
    <w:rsid w:val="000F099D"/>
    <w:rsid w:val="000F0ABD"/>
    <w:rsid w:val="000F0CDC"/>
    <w:rsid w:val="000F2984"/>
    <w:rsid w:val="000F2DC0"/>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5006"/>
    <w:rsid w:val="0014589F"/>
    <w:rsid w:val="00147303"/>
    <w:rsid w:val="00150860"/>
    <w:rsid w:val="001514AE"/>
    <w:rsid w:val="00151B9D"/>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E43"/>
    <w:rsid w:val="001754B7"/>
    <w:rsid w:val="0017575B"/>
    <w:rsid w:val="00175B41"/>
    <w:rsid w:val="00175CBA"/>
    <w:rsid w:val="00175EEE"/>
    <w:rsid w:val="00176850"/>
    <w:rsid w:val="00176C19"/>
    <w:rsid w:val="00177B35"/>
    <w:rsid w:val="00180B89"/>
    <w:rsid w:val="00182043"/>
    <w:rsid w:val="0018286D"/>
    <w:rsid w:val="00182BE3"/>
    <w:rsid w:val="00183C5A"/>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73B4"/>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1460"/>
    <w:rsid w:val="00201630"/>
    <w:rsid w:val="002026D9"/>
    <w:rsid w:val="00202948"/>
    <w:rsid w:val="0020323B"/>
    <w:rsid w:val="0020421D"/>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E9"/>
    <w:rsid w:val="00217068"/>
    <w:rsid w:val="002176CB"/>
    <w:rsid w:val="00217A59"/>
    <w:rsid w:val="002223CA"/>
    <w:rsid w:val="00223085"/>
    <w:rsid w:val="00223B95"/>
    <w:rsid w:val="002240F6"/>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2B09"/>
    <w:rsid w:val="00252E61"/>
    <w:rsid w:val="00252F06"/>
    <w:rsid w:val="00253544"/>
    <w:rsid w:val="00253665"/>
    <w:rsid w:val="002538FC"/>
    <w:rsid w:val="00253F2F"/>
    <w:rsid w:val="00254688"/>
    <w:rsid w:val="00254B6A"/>
    <w:rsid w:val="00255694"/>
    <w:rsid w:val="00255E7E"/>
    <w:rsid w:val="00256E58"/>
    <w:rsid w:val="00257398"/>
    <w:rsid w:val="002576C3"/>
    <w:rsid w:val="00257C47"/>
    <w:rsid w:val="002610D4"/>
    <w:rsid w:val="00262579"/>
    <w:rsid w:val="002631C9"/>
    <w:rsid w:val="0026423A"/>
    <w:rsid w:val="00264862"/>
    <w:rsid w:val="00264C3B"/>
    <w:rsid w:val="00266461"/>
    <w:rsid w:val="00266EA1"/>
    <w:rsid w:val="00267B1E"/>
    <w:rsid w:val="002704D1"/>
    <w:rsid w:val="00271290"/>
    <w:rsid w:val="002718B8"/>
    <w:rsid w:val="002737CF"/>
    <w:rsid w:val="00274A2D"/>
    <w:rsid w:val="00275461"/>
    <w:rsid w:val="00277E65"/>
    <w:rsid w:val="002808F4"/>
    <w:rsid w:val="0028144C"/>
    <w:rsid w:val="00282139"/>
    <w:rsid w:val="00282937"/>
    <w:rsid w:val="00283A56"/>
    <w:rsid w:val="00283FF3"/>
    <w:rsid w:val="00284D48"/>
    <w:rsid w:val="002850DE"/>
    <w:rsid w:val="002858EB"/>
    <w:rsid w:val="002867A6"/>
    <w:rsid w:val="00286807"/>
    <w:rsid w:val="00286A70"/>
    <w:rsid w:val="00287027"/>
    <w:rsid w:val="00287CE1"/>
    <w:rsid w:val="00290168"/>
    <w:rsid w:val="002905A1"/>
    <w:rsid w:val="00290A9C"/>
    <w:rsid w:val="00292022"/>
    <w:rsid w:val="002920BA"/>
    <w:rsid w:val="00292585"/>
    <w:rsid w:val="002930A2"/>
    <w:rsid w:val="002932A9"/>
    <w:rsid w:val="0029479B"/>
    <w:rsid w:val="00294E01"/>
    <w:rsid w:val="00295279"/>
    <w:rsid w:val="00295D3C"/>
    <w:rsid w:val="002963C2"/>
    <w:rsid w:val="00296B62"/>
    <w:rsid w:val="002A0B0F"/>
    <w:rsid w:val="002A0E2B"/>
    <w:rsid w:val="002A0E41"/>
    <w:rsid w:val="002A1074"/>
    <w:rsid w:val="002A1293"/>
    <w:rsid w:val="002A1A34"/>
    <w:rsid w:val="002A1B1B"/>
    <w:rsid w:val="002A2C32"/>
    <w:rsid w:val="002A2DE3"/>
    <w:rsid w:val="002A3456"/>
    <w:rsid w:val="002A34B7"/>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B2B"/>
    <w:rsid w:val="002C0465"/>
    <w:rsid w:val="002C04AF"/>
    <w:rsid w:val="002C073C"/>
    <w:rsid w:val="002C137F"/>
    <w:rsid w:val="002C19D8"/>
    <w:rsid w:val="002C22D6"/>
    <w:rsid w:val="002C2738"/>
    <w:rsid w:val="002C2B38"/>
    <w:rsid w:val="002C2BFC"/>
    <w:rsid w:val="002C2E73"/>
    <w:rsid w:val="002C3223"/>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DA6"/>
    <w:rsid w:val="003362F8"/>
    <w:rsid w:val="00336493"/>
    <w:rsid w:val="0033666A"/>
    <w:rsid w:val="00337181"/>
    <w:rsid w:val="00337FE7"/>
    <w:rsid w:val="003403C5"/>
    <w:rsid w:val="0034080E"/>
    <w:rsid w:val="00340CCF"/>
    <w:rsid w:val="00342272"/>
    <w:rsid w:val="003429B5"/>
    <w:rsid w:val="00343395"/>
    <w:rsid w:val="003438DC"/>
    <w:rsid w:val="00343ADB"/>
    <w:rsid w:val="00343E0F"/>
    <w:rsid w:val="00343E9E"/>
    <w:rsid w:val="00343FF3"/>
    <w:rsid w:val="003441A9"/>
    <w:rsid w:val="003454D3"/>
    <w:rsid w:val="00345E4A"/>
    <w:rsid w:val="00346377"/>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34F"/>
    <w:rsid w:val="003705FA"/>
    <w:rsid w:val="0037092F"/>
    <w:rsid w:val="0037098B"/>
    <w:rsid w:val="0037119B"/>
    <w:rsid w:val="00372924"/>
    <w:rsid w:val="003733C3"/>
    <w:rsid w:val="00373489"/>
    <w:rsid w:val="00373665"/>
    <w:rsid w:val="003737B8"/>
    <w:rsid w:val="003737E7"/>
    <w:rsid w:val="0037412B"/>
    <w:rsid w:val="00374B82"/>
    <w:rsid w:val="0037613A"/>
    <w:rsid w:val="00376B01"/>
    <w:rsid w:val="003770B4"/>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CA7"/>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6680"/>
    <w:rsid w:val="003C022D"/>
    <w:rsid w:val="003C02D6"/>
    <w:rsid w:val="003C0598"/>
    <w:rsid w:val="003C1537"/>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2B0"/>
    <w:rsid w:val="003E34B8"/>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F85"/>
    <w:rsid w:val="00507FB1"/>
    <w:rsid w:val="00510022"/>
    <w:rsid w:val="005101E7"/>
    <w:rsid w:val="005102EB"/>
    <w:rsid w:val="00510CFF"/>
    <w:rsid w:val="0051198F"/>
    <w:rsid w:val="00511F83"/>
    <w:rsid w:val="00512510"/>
    <w:rsid w:val="00512771"/>
    <w:rsid w:val="0051416A"/>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4A35"/>
    <w:rsid w:val="0053625C"/>
    <w:rsid w:val="00536920"/>
    <w:rsid w:val="00536AC2"/>
    <w:rsid w:val="005371E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7076"/>
    <w:rsid w:val="00557B35"/>
    <w:rsid w:val="005601FA"/>
    <w:rsid w:val="0056088A"/>
    <w:rsid w:val="00560C79"/>
    <w:rsid w:val="00560C97"/>
    <w:rsid w:val="00561471"/>
    <w:rsid w:val="00561CD8"/>
    <w:rsid w:val="00562B5C"/>
    <w:rsid w:val="00563DD0"/>
    <w:rsid w:val="00563DEC"/>
    <w:rsid w:val="00564A16"/>
    <w:rsid w:val="00565E64"/>
    <w:rsid w:val="0056745E"/>
    <w:rsid w:val="00567D45"/>
    <w:rsid w:val="005702B6"/>
    <w:rsid w:val="005707EE"/>
    <w:rsid w:val="00571473"/>
    <w:rsid w:val="00571EE7"/>
    <w:rsid w:val="00573A6B"/>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4023"/>
    <w:rsid w:val="005B46B5"/>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AC"/>
    <w:rsid w:val="00610670"/>
    <w:rsid w:val="00611237"/>
    <w:rsid w:val="00611ED7"/>
    <w:rsid w:val="00611F1E"/>
    <w:rsid w:val="006125DB"/>
    <w:rsid w:val="00612E62"/>
    <w:rsid w:val="00613380"/>
    <w:rsid w:val="00613758"/>
    <w:rsid w:val="00614659"/>
    <w:rsid w:val="00614BAB"/>
    <w:rsid w:val="00614DC3"/>
    <w:rsid w:val="0061532D"/>
    <w:rsid w:val="00615D88"/>
    <w:rsid w:val="006162F7"/>
    <w:rsid w:val="00616383"/>
    <w:rsid w:val="006164D5"/>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76C"/>
    <w:rsid w:val="0063697B"/>
    <w:rsid w:val="00640D2D"/>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1BC6"/>
    <w:rsid w:val="006626FC"/>
    <w:rsid w:val="006628CC"/>
    <w:rsid w:val="006632EC"/>
    <w:rsid w:val="00663597"/>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CF2"/>
    <w:rsid w:val="00685F0E"/>
    <w:rsid w:val="00687568"/>
    <w:rsid w:val="00687F49"/>
    <w:rsid w:val="00690FFF"/>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71BF"/>
    <w:rsid w:val="00727412"/>
    <w:rsid w:val="007274A2"/>
    <w:rsid w:val="0072750A"/>
    <w:rsid w:val="00727698"/>
    <w:rsid w:val="00727EFB"/>
    <w:rsid w:val="00730CFE"/>
    <w:rsid w:val="00730F51"/>
    <w:rsid w:val="00732E2B"/>
    <w:rsid w:val="00733CD1"/>
    <w:rsid w:val="007342AA"/>
    <w:rsid w:val="007359C6"/>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AA"/>
    <w:rsid w:val="00754B3A"/>
    <w:rsid w:val="00755E43"/>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108F"/>
    <w:rsid w:val="007912B5"/>
    <w:rsid w:val="00792108"/>
    <w:rsid w:val="007922F8"/>
    <w:rsid w:val="00792527"/>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8F1"/>
    <w:rsid w:val="007A5164"/>
    <w:rsid w:val="007A56ED"/>
    <w:rsid w:val="007A5833"/>
    <w:rsid w:val="007A65CD"/>
    <w:rsid w:val="007A698C"/>
    <w:rsid w:val="007A6D83"/>
    <w:rsid w:val="007A74B7"/>
    <w:rsid w:val="007A75F6"/>
    <w:rsid w:val="007A771D"/>
    <w:rsid w:val="007B06C0"/>
    <w:rsid w:val="007B111F"/>
    <w:rsid w:val="007B26AC"/>
    <w:rsid w:val="007B29D4"/>
    <w:rsid w:val="007B395C"/>
    <w:rsid w:val="007B3C64"/>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647"/>
    <w:rsid w:val="007F2D20"/>
    <w:rsid w:val="007F2EC9"/>
    <w:rsid w:val="007F40AD"/>
    <w:rsid w:val="007F4E67"/>
    <w:rsid w:val="007F5937"/>
    <w:rsid w:val="007F5A72"/>
    <w:rsid w:val="007F5B44"/>
    <w:rsid w:val="007F5C3C"/>
    <w:rsid w:val="007F5D13"/>
    <w:rsid w:val="007F62E7"/>
    <w:rsid w:val="007F637E"/>
    <w:rsid w:val="007F6604"/>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13A2"/>
    <w:rsid w:val="00811689"/>
    <w:rsid w:val="00813218"/>
    <w:rsid w:val="008134A2"/>
    <w:rsid w:val="0081369B"/>
    <w:rsid w:val="0081370C"/>
    <w:rsid w:val="00813A1F"/>
    <w:rsid w:val="008140A4"/>
    <w:rsid w:val="0081420D"/>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AA3"/>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157E"/>
    <w:rsid w:val="008616B8"/>
    <w:rsid w:val="008616E7"/>
    <w:rsid w:val="0086181A"/>
    <w:rsid w:val="00862730"/>
    <w:rsid w:val="008627A0"/>
    <w:rsid w:val="008637C3"/>
    <w:rsid w:val="00864719"/>
    <w:rsid w:val="008648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2CC7"/>
    <w:rsid w:val="008930B4"/>
    <w:rsid w:val="0089350C"/>
    <w:rsid w:val="00893F1C"/>
    <w:rsid w:val="0089558E"/>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E24"/>
    <w:rsid w:val="008B0905"/>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22E6"/>
    <w:rsid w:val="008D31C3"/>
    <w:rsid w:val="008D36A7"/>
    <w:rsid w:val="008D4791"/>
    <w:rsid w:val="008D4B28"/>
    <w:rsid w:val="008D5934"/>
    <w:rsid w:val="008D5E9F"/>
    <w:rsid w:val="008D5F9C"/>
    <w:rsid w:val="008D60F3"/>
    <w:rsid w:val="008D6302"/>
    <w:rsid w:val="008D64EB"/>
    <w:rsid w:val="008D697D"/>
    <w:rsid w:val="008D6A3F"/>
    <w:rsid w:val="008D6DD6"/>
    <w:rsid w:val="008D7803"/>
    <w:rsid w:val="008D7DCC"/>
    <w:rsid w:val="008E0008"/>
    <w:rsid w:val="008E0CEC"/>
    <w:rsid w:val="008E1D54"/>
    <w:rsid w:val="008E21B7"/>
    <w:rsid w:val="008E2913"/>
    <w:rsid w:val="008E2AE1"/>
    <w:rsid w:val="008E2F84"/>
    <w:rsid w:val="008E3AC1"/>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7E98"/>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5CA"/>
    <w:rsid w:val="00910C94"/>
    <w:rsid w:val="0091136C"/>
    <w:rsid w:val="0091186C"/>
    <w:rsid w:val="0091323D"/>
    <w:rsid w:val="009142E5"/>
    <w:rsid w:val="009149B9"/>
    <w:rsid w:val="00915F9D"/>
    <w:rsid w:val="00916929"/>
    <w:rsid w:val="00916958"/>
    <w:rsid w:val="009169EA"/>
    <w:rsid w:val="00917663"/>
    <w:rsid w:val="009178C2"/>
    <w:rsid w:val="00917ABC"/>
    <w:rsid w:val="00921312"/>
    <w:rsid w:val="009215C4"/>
    <w:rsid w:val="0092268F"/>
    <w:rsid w:val="00922EFC"/>
    <w:rsid w:val="009237E7"/>
    <w:rsid w:val="00923C7A"/>
    <w:rsid w:val="00923F26"/>
    <w:rsid w:val="00924F33"/>
    <w:rsid w:val="00925149"/>
    <w:rsid w:val="00925CFA"/>
    <w:rsid w:val="0092649F"/>
    <w:rsid w:val="00926BF5"/>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2C"/>
    <w:rsid w:val="00944719"/>
    <w:rsid w:val="00945333"/>
    <w:rsid w:val="00945A88"/>
    <w:rsid w:val="00945E49"/>
    <w:rsid w:val="00945EE2"/>
    <w:rsid w:val="00946125"/>
    <w:rsid w:val="0094639F"/>
    <w:rsid w:val="009467B6"/>
    <w:rsid w:val="00950FF5"/>
    <w:rsid w:val="0095170F"/>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CB8"/>
    <w:rsid w:val="009B4F31"/>
    <w:rsid w:val="009B5BFC"/>
    <w:rsid w:val="009B6038"/>
    <w:rsid w:val="009B7338"/>
    <w:rsid w:val="009B778B"/>
    <w:rsid w:val="009B7C03"/>
    <w:rsid w:val="009C07ED"/>
    <w:rsid w:val="009C0E58"/>
    <w:rsid w:val="009C14EA"/>
    <w:rsid w:val="009C163C"/>
    <w:rsid w:val="009C2444"/>
    <w:rsid w:val="009C24B9"/>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526F"/>
    <w:rsid w:val="00A15651"/>
    <w:rsid w:val="00A15A6F"/>
    <w:rsid w:val="00A16F4B"/>
    <w:rsid w:val="00A17245"/>
    <w:rsid w:val="00A17E13"/>
    <w:rsid w:val="00A21233"/>
    <w:rsid w:val="00A213D2"/>
    <w:rsid w:val="00A21DDA"/>
    <w:rsid w:val="00A2290F"/>
    <w:rsid w:val="00A22E25"/>
    <w:rsid w:val="00A22FA6"/>
    <w:rsid w:val="00A23452"/>
    <w:rsid w:val="00A24B3A"/>
    <w:rsid w:val="00A2506A"/>
    <w:rsid w:val="00A25DB8"/>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C2"/>
    <w:rsid w:val="00A40F67"/>
    <w:rsid w:val="00A41856"/>
    <w:rsid w:val="00A42332"/>
    <w:rsid w:val="00A43F20"/>
    <w:rsid w:val="00A43FC3"/>
    <w:rsid w:val="00A44C61"/>
    <w:rsid w:val="00A4565C"/>
    <w:rsid w:val="00A45BBC"/>
    <w:rsid w:val="00A45E03"/>
    <w:rsid w:val="00A467FE"/>
    <w:rsid w:val="00A46FC2"/>
    <w:rsid w:val="00A47F59"/>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90703"/>
    <w:rsid w:val="00A907B3"/>
    <w:rsid w:val="00A9088E"/>
    <w:rsid w:val="00A92043"/>
    <w:rsid w:val="00A924CB"/>
    <w:rsid w:val="00A92A8A"/>
    <w:rsid w:val="00A92F9E"/>
    <w:rsid w:val="00A940E8"/>
    <w:rsid w:val="00A94225"/>
    <w:rsid w:val="00A9428B"/>
    <w:rsid w:val="00A946B4"/>
    <w:rsid w:val="00A94A5D"/>
    <w:rsid w:val="00A95B7C"/>
    <w:rsid w:val="00A9624E"/>
    <w:rsid w:val="00A96425"/>
    <w:rsid w:val="00A9666E"/>
    <w:rsid w:val="00A967CB"/>
    <w:rsid w:val="00A96E11"/>
    <w:rsid w:val="00A96FE5"/>
    <w:rsid w:val="00AA140B"/>
    <w:rsid w:val="00AA1610"/>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6738"/>
    <w:rsid w:val="00AB74A3"/>
    <w:rsid w:val="00AB79FC"/>
    <w:rsid w:val="00AC053F"/>
    <w:rsid w:val="00AC0603"/>
    <w:rsid w:val="00AC1107"/>
    <w:rsid w:val="00AC124E"/>
    <w:rsid w:val="00AC1DBC"/>
    <w:rsid w:val="00AC1F7F"/>
    <w:rsid w:val="00AC31AA"/>
    <w:rsid w:val="00AC4054"/>
    <w:rsid w:val="00AC45A8"/>
    <w:rsid w:val="00AC5E66"/>
    <w:rsid w:val="00AC5FD9"/>
    <w:rsid w:val="00AC6D4E"/>
    <w:rsid w:val="00AC76AD"/>
    <w:rsid w:val="00AD0208"/>
    <w:rsid w:val="00AD08E4"/>
    <w:rsid w:val="00AD09A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565D"/>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669"/>
    <w:rsid w:val="00B54D8E"/>
    <w:rsid w:val="00B55169"/>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64AB"/>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471D"/>
    <w:rsid w:val="00B85773"/>
    <w:rsid w:val="00B87017"/>
    <w:rsid w:val="00B87564"/>
    <w:rsid w:val="00B90741"/>
    <w:rsid w:val="00B91FF6"/>
    <w:rsid w:val="00B9338A"/>
    <w:rsid w:val="00B943E6"/>
    <w:rsid w:val="00B95221"/>
    <w:rsid w:val="00B95483"/>
    <w:rsid w:val="00B95AAB"/>
    <w:rsid w:val="00B95B75"/>
    <w:rsid w:val="00B968C7"/>
    <w:rsid w:val="00B97147"/>
    <w:rsid w:val="00B971E4"/>
    <w:rsid w:val="00B97E94"/>
    <w:rsid w:val="00BA02A8"/>
    <w:rsid w:val="00BA0C40"/>
    <w:rsid w:val="00BA11F7"/>
    <w:rsid w:val="00BA17D4"/>
    <w:rsid w:val="00BA28DB"/>
    <w:rsid w:val="00BA2BBB"/>
    <w:rsid w:val="00BA3AC7"/>
    <w:rsid w:val="00BA50BB"/>
    <w:rsid w:val="00BA68BE"/>
    <w:rsid w:val="00BA68C9"/>
    <w:rsid w:val="00BA74B8"/>
    <w:rsid w:val="00BB14A3"/>
    <w:rsid w:val="00BB1E47"/>
    <w:rsid w:val="00BB25B6"/>
    <w:rsid w:val="00BB2C80"/>
    <w:rsid w:val="00BB3739"/>
    <w:rsid w:val="00BB47B5"/>
    <w:rsid w:val="00BB4FAA"/>
    <w:rsid w:val="00BB58F1"/>
    <w:rsid w:val="00BB5F0C"/>
    <w:rsid w:val="00BB6808"/>
    <w:rsid w:val="00BB69E1"/>
    <w:rsid w:val="00BB7AD7"/>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5FA7"/>
    <w:rsid w:val="00BF6A1D"/>
    <w:rsid w:val="00BF6D90"/>
    <w:rsid w:val="00BF7A0D"/>
    <w:rsid w:val="00C0001D"/>
    <w:rsid w:val="00C004B6"/>
    <w:rsid w:val="00C00EA7"/>
    <w:rsid w:val="00C012BC"/>
    <w:rsid w:val="00C02B4E"/>
    <w:rsid w:val="00C034EE"/>
    <w:rsid w:val="00C035AE"/>
    <w:rsid w:val="00C0403A"/>
    <w:rsid w:val="00C041C1"/>
    <w:rsid w:val="00C04210"/>
    <w:rsid w:val="00C043E1"/>
    <w:rsid w:val="00C0453A"/>
    <w:rsid w:val="00C049E9"/>
    <w:rsid w:val="00C05071"/>
    <w:rsid w:val="00C058D9"/>
    <w:rsid w:val="00C0787B"/>
    <w:rsid w:val="00C0788E"/>
    <w:rsid w:val="00C106F7"/>
    <w:rsid w:val="00C11699"/>
    <w:rsid w:val="00C11B68"/>
    <w:rsid w:val="00C11E08"/>
    <w:rsid w:val="00C12498"/>
    <w:rsid w:val="00C15EF2"/>
    <w:rsid w:val="00C1711A"/>
    <w:rsid w:val="00C17A1D"/>
    <w:rsid w:val="00C17BDE"/>
    <w:rsid w:val="00C17C81"/>
    <w:rsid w:val="00C17FC8"/>
    <w:rsid w:val="00C2000F"/>
    <w:rsid w:val="00C200EC"/>
    <w:rsid w:val="00C20726"/>
    <w:rsid w:val="00C20C4F"/>
    <w:rsid w:val="00C20E87"/>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D3D"/>
    <w:rsid w:val="00C60491"/>
    <w:rsid w:val="00C60765"/>
    <w:rsid w:val="00C6080C"/>
    <w:rsid w:val="00C60E3C"/>
    <w:rsid w:val="00C61A9D"/>
    <w:rsid w:val="00C620FD"/>
    <w:rsid w:val="00C62297"/>
    <w:rsid w:val="00C628E8"/>
    <w:rsid w:val="00C63308"/>
    <w:rsid w:val="00C63AFD"/>
    <w:rsid w:val="00C6431A"/>
    <w:rsid w:val="00C6486C"/>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216F"/>
    <w:rsid w:val="00C8324D"/>
    <w:rsid w:val="00C83812"/>
    <w:rsid w:val="00C85D8E"/>
    <w:rsid w:val="00C86286"/>
    <w:rsid w:val="00C8689D"/>
    <w:rsid w:val="00C87027"/>
    <w:rsid w:val="00C87A93"/>
    <w:rsid w:val="00C87AF9"/>
    <w:rsid w:val="00C90692"/>
    <w:rsid w:val="00C90AD5"/>
    <w:rsid w:val="00C91734"/>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7CB3"/>
    <w:rsid w:val="00CA7DDF"/>
    <w:rsid w:val="00CB0D15"/>
    <w:rsid w:val="00CB150F"/>
    <w:rsid w:val="00CB1DBB"/>
    <w:rsid w:val="00CB2146"/>
    <w:rsid w:val="00CB2535"/>
    <w:rsid w:val="00CB267F"/>
    <w:rsid w:val="00CB2A30"/>
    <w:rsid w:val="00CB2DA7"/>
    <w:rsid w:val="00CB31FB"/>
    <w:rsid w:val="00CB39A9"/>
    <w:rsid w:val="00CB4212"/>
    <w:rsid w:val="00CB4EFC"/>
    <w:rsid w:val="00CB4F29"/>
    <w:rsid w:val="00CB6CF9"/>
    <w:rsid w:val="00CB7629"/>
    <w:rsid w:val="00CB7814"/>
    <w:rsid w:val="00CB7EF3"/>
    <w:rsid w:val="00CC19D8"/>
    <w:rsid w:val="00CC25EA"/>
    <w:rsid w:val="00CC3CC4"/>
    <w:rsid w:val="00CC41DA"/>
    <w:rsid w:val="00CC44BE"/>
    <w:rsid w:val="00CC59DD"/>
    <w:rsid w:val="00CC5C97"/>
    <w:rsid w:val="00CC6313"/>
    <w:rsid w:val="00CC6AC8"/>
    <w:rsid w:val="00CC75AD"/>
    <w:rsid w:val="00CD016B"/>
    <w:rsid w:val="00CD0CD4"/>
    <w:rsid w:val="00CD12F5"/>
    <w:rsid w:val="00CD14A3"/>
    <w:rsid w:val="00CD3665"/>
    <w:rsid w:val="00CD424F"/>
    <w:rsid w:val="00CD4724"/>
    <w:rsid w:val="00CD4E4B"/>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C45"/>
    <w:rsid w:val="00D16234"/>
    <w:rsid w:val="00D16320"/>
    <w:rsid w:val="00D16417"/>
    <w:rsid w:val="00D16713"/>
    <w:rsid w:val="00D1672C"/>
    <w:rsid w:val="00D16E7E"/>
    <w:rsid w:val="00D16FE5"/>
    <w:rsid w:val="00D173E5"/>
    <w:rsid w:val="00D17E17"/>
    <w:rsid w:val="00D20491"/>
    <w:rsid w:val="00D2242B"/>
    <w:rsid w:val="00D22DD9"/>
    <w:rsid w:val="00D23089"/>
    <w:rsid w:val="00D23581"/>
    <w:rsid w:val="00D239F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5DD"/>
    <w:rsid w:val="00D36C13"/>
    <w:rsid w:val="00D36C63"/>
    <w:rsid w:val="00D36CFE"/>
    <w:rsid w:val="00D37987"/>
    <w:rsid w:val="00D4096D"/>
    <w:rsid w:val="00D40EDD"/>
    <w:rsid w:val="00D42F7A"/>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CF1"/>
    <w:rsid w:val="00D9110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F7E"/>
    <w:rsid w:val="00DA5F41"/>
    <w:rsid w:val="00DA7DC2"/>
    <w:rsid w:val="00DB01F0"/>
    <w:rsid w:val="00DB0284"/>
    <w:rsid w:val="00DB05AC"/>
    <w:rsid w:val="00DB06A3"/>
    <w:rsid w:val="00DB0E08"/>
    <w:rsid w:val="00DB0F50"/>
    <w:rsid w:val="00DB1231"/>
    <w:rsid w:val="00DB15AE"/>
    <w:rsid w:val="00DB34F3"/>
    <w:rsid w:val="00DB4B9A"/>
    <w:rsid w:val="00DB4C07"/>
    <w:rsid w:val="00DB6243"/>
    <w:rsid w:val="00DB6F0C"/>
    <w:rsid w:val="00DB70DC"/>
    <w:rsid w:val="00DB79B7"/>
    <w:rsid w:val="00DC0700"/>
    <w:rsid w:val="00DC2484"/>
    <w:rsid w:val="00DC278D"/>
    <w:rsid w:val="00DC280A"/>
    <w:rsid w:val="00DC291D"/>
    <w:rsid w:val="00DC2C60"/>
    <w:rsid w:val="00DC3EA2"/>
    <w:rsid w:val="00DC3EE6"/>
    <w:rsid w:val="00DC5730"/>
    <w:rsid w:val="00DC7489"/>
    <w:rsid w:val="00DC75CE"/>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72BB"/>
    <w:rsid w:val="00DE77CA"/>
    <w:rsid w:val="00DE7B10"/>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A59"/>
    <w:rsid w:val="00EA6CFF"/>
    <w:rsid w:val="00EA76DB"/>
    <w:rsid w:val="00EA7D99"/>
    <w:rsid w:val="00EB00F9"/>
    <w:rsid w:val="00EB01E8"/>
    <w:rsid w:val="00EB0275"/>
    <w:rsid w:val="00EB11B0"/>
    <w:rsid w:val="00EB1803"/>
    <w:rsid w:val="00EB1ACF"/>
    <w:rsid w:val="00EB2FD6"/>
    <w:rsid w:val="00EB3028"/>
    <w:rsid w:val="00EB34FD"/>
    <w:rsid w:val="00EB3655"/>
    <w:rsid w:val="00EB3991"/>
    <w:rsid w:val="00EB3A00"/>
    <w:rsid w:val="00EB410E"/>
    <w:rsid w:val="00EB44F9"/>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25CC"/>
    <w:rsid w:val="00EF457E"/>
    <w:rsid w:val="00EF4C4E"/>
    <w:rsid w:val="00EF5B3B"/>
    <w:rsid w:val="00EF7342"/>
    <w:rsid w:val="00F00A03"/>
    <w:rsid w:val="00F00C77"/>
    <w:rsid w:val="00F010FC"/>
    <w:rsid w:val="00F01731"/>
    <w:rsid w:val="00F0264B"/>
    <w:rsid w:val="00F0344D"/>
    <w:rsid w:val="00F03542"/>
    <w:rsid w:val="00F040F6"/>
    <w:rsid w:val="00F04DDB"/>
    <w:rsid w:val="00F053EE"/>
    <w:rsid w:val="00F05616"/>
    <w:rsid w:val="00F06F04"/>
    <w:rsid w:val="00F1036A"/>
    <w:rsid w:val="00F10551"/>
    <w:rsid w:val="00F10D29"/>
    <w:rsid w:val="00F10F14"/>
    <w:rsid w:val="00F112B8"/>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5187"/>
    <w:rsid w:val="00F764EF"/>
    <w:rsid w:val="00F76936"/>
    <w:rsid w:val="00F77561"/>
    <w:rsid w:val="00F801FA"/>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4185"/>
    <w:rsid w:val="00FA45AC"/>
    <w:rsid w:val="00FA54A3"/>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B17A97C2-D58D-4BB3-9A9F-E23AF7C3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DA"/>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P,목록 "/>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5"/>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SimSun"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 w:type="paragraph" w:styleId="Revision">
    <w:name w:val="Revision"/>
    <w:hidden/>
    <w:uiPriority w:val="99"/>
    <w:semiHidden/>
    <w:rsid w:val="00F31E2E"/>
    <w:pPr>
      <w:spacing w:after="0" w:line="240" w:lineRule="auto"/>
    </w:pPr>
    <w:rPr>
      <w:rFonts w:ascii="Times New Roman" w:eastAsia="SimSun" w:hAnsi="Times New Roman"/>
    </w:rPr>
  </w:style>
  <w:style w:type="character" w:styleId="Mention">
    <w:name w:val="Mention"/>
    <w:basedOn w:val="DefaultParagraphFont"/>
    <w:uiPriority w:val="99"/>
    <w:unhideWhenUsed/>
    <w:rsid w:val="00AE43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0CF76-714D-41B1-880E-4EACAA5CA44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A6616-D55B-48FE-A1B1-008D270AED5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91</TotalTime>
  <Pages>25</Pages>
  <Words>8472</Words>
  <Characters>42789</Characters>
  <Application>Microsoft Office Word</Application>
  <DocSecurity>0</DocSecurity>
  <Lines>737</Lines>
  <Paragraphs>449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CTPClassification=CTP_NT</cp:keywords>
  <cp:lastModifiedBy>Apple - Peng Cheng</cp:lastModifiedBy>
  <cp:revision>69</cp:revision>
  <dcterms:created xsi:type="dcterms:W3CDTF">2024-12-11T01:26:00Z</dcterms:created>
  <dcterms:modified xsi:type="dcterms:W3CDTF">2024-12-12T02:38:00Z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ies>
</file>