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425F" w14:textId="19814CF6"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0C0F38">
        <w:rPr>
          <w:rFonts w:ascii="Arial" w:hAnsi="Arial" w:cs="Arial"/>
          <w:b/>
          <w:bCs/>
          <w:sz w:val="24"/>
          <w:szCs w:val="24"/>
        </w:rPr>
        <w:t>4003</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5EE72E1E"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w:t>
            </w:r>
            <w:r w:rsidR="000C0F38">
              <w:rPr>
                <w:rFonts w:eastAsia="Yu Mincho"/>
              </w:rPr>
              <w:t>6</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30290C21" w14:textId="77777777" w:rsidR="002C3FAB"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p>
          <w:p w14:paraId="2B2CFC08" w14:textId="36E7536D" w:rsidR="002A0EBD" w:rsidRDefault="002C3FAB" w:rsidP="002A0EBD">
            <w:pPr>
              <w:pStyle w:val="CRCoverPage"/>
              <w:numPr>
                <w:ilvl w:val="0"/>
                <w:numId w:val="1"/>
              </w:numPr>
              <w:spacing w:after="0"/>
              <w:rPr>
                <w:noProof/>
              </w:rPr>
            </w:pPr>
            <w:r>
              <w:rPr>
                <w:noProof/>
              </w:rPr>
              <w:t>The subsequent CPAC execution conditions include</w:t>
            </w:r>
            <w:r w:rsidR="00766B98">
              <w:rPr>
                <w:noProof/>
              </w:rPr>
              <w:t xml:space="preserve"> </w:t>
            </w:r>
            <w:r>
              <w:rPr>
                <w:noProof/>
              </w:rPr>
              <w:t xml:space="preserve">execution conditions for the initial execution and execution conditions for the following execution. It </w:t>
            </w:r>
            <w:r w:rsidR="004A5E82">
              <w:rPr>
                <w:noProof/>
              </w:rPr>
              <w:t>could</w:t>
            </w:r>
            <w:r>
              <w:rPr>
                <w:noProof/>
              </w:rPr>
              <w:t xml:space="preserve"> be clarified which execution conditions are evaluated for subseuqent CPAC in different steps.</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noProof/>
              </w:rPr>
            </w:pPr>
            <w:r>
              <w:rPr>
                <w:rFonts w:hint="eastAsia"/>
                <w:noProof/>
                <w:lang w:eastAsia="zh-CN"/>
              </w:rPr>
              <w:t>T</w:t>
            </w:r>
            <w:r>
              <w:rPr>
                <w:noProof/>
              </w:rPr>
              <w:t>o reflect the following agreements made in RAN2#125bis meeting</w:t>
            </w:r>
            <w:r w:rsidRPr="001C2EBF">
              <w:rPr>
                <w:noProof/>
              </w:rPr>
              <w:t>:</w:t>
            </w:r>
          </w:p>
          <w:p w14:paraId="08BCAE1F" w14:textId="34D25EE2" w:rsidR="00E937C7" w:rsidRPr="00E937C7" w:rsidRDefault="00E937C7" w:rsidP="00E937C7">
            <w:pPr>
              <w:pStyle w:val="af1"/>
              <w:numPr>
                <w:ilvl w:val="0"/>
                <w:numId w:val="9"/>
              </w:numPr>
              <w:rPr>
                <w:rFonts w:ascii="Arial" w:hAnsi="Arial"/>
                <w:noProof/>
              </w:rPr>
            </w:pPr>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p>
          <w:p w14:paraId="4EDCC156" w14:textId="58E59D8F" w:rsidR="00E937C7" w:rsidRPr="00E937C7" w:rsidRDefault="00E937C7" w:rsidP="002C3FAB">
            <w:pPr>
              <w:pStyle w:val="af1"/>
              <w:numPr>
                <w:ilvl w:val="0"/>
                <w:numId w:val="9"/>
              </w:numPr>
              <w:rPr>
                <w:noProof/>
              </w:rPr>
            </w:pPr>
            <w:r w:rsidRPr="00E937C7">
              <w:rPr>
                <w:rFonts w:ascii="Arial" w:hAnsi="Arial"/>
                <w:noProof/>
              </w:rPr>
              <w:t>P2: fix stage-2 / Stage-3 misalignment by stage-2 update (add to 37340 post email disc)</w:t>
            </w:r>
            <w:r>
              <w:rPr>
                <w:rFonts w:ascii="Arial" w:hAnsi="Arial"/>
                <w:noProof/>
              </w:rPr>
              <w:t xml:space="preserve"> (refer to </w:t>
            </w:r>
            <w:r w:rsidRPr="00E937C7">
              <w:rPr>
                <w:rFonts w:ascii="Arial" w:hAnsi="Arial"/>
                <w:noProof/>
              </w:rPr>
              <w:t>R2-2402931</w:t>
            </w:r>
            <w:r>
              <w:rPr>
                <w:rFonts w:ascii="Arial" w:hAnsi="Arial"/>
                <w:noProof/>
              </w:rPr>
              <w:t>).</w:t>
            </w: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Corrected terminology to use “LTM candidate cell”</w:t>
            </w:r>
            <w:r>
              <w:rPr>
                <w:rFonts w:eastAsiaTheme="minorEastAsia"/>
                <w:noProof/>
              </w:rPr>
              <w:t>.</w:t>
            </w:r>
          </w:p>
          <w:p w14:paraId="51DF1C51" w14:textId="4B3A235F" w:rsidR="002C7104" w:rsidRPr="002C3FAB" w:rsidRDefault="002C7104" w:rsidP="002C3FAB">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w:t>
            </w:r>
            <w:r w:rsidR="002C3FAB">
              <w:rPr>
                <w:rFonts w:eastAsiaTheme="minorEastAsia"/>
                <w:noProof/>
              </w:rPr>
              <w:t>/UL</w:t>
            </w:r>
            <w:r w:rsidRPr="002C7104">
              <w:rPr>
                <w:rFonts w:eastAsiaTheme="minorEastAsia"/>
                <w:noProof/>
              </w:rPr>
              <w:t xml:space="preserve"> synchronization, </w:t>
            </w:r>
            <w:r>
              <w:rPr>
                <w:rFonts w:eastAsiaTheme="minorEastAsia"/>
                <w:noProof/>
              </w:rPr>
              <w:t xml:space="preserve">removed “if indicated by the SN” and </w:t>
            </w:r>
            <w:r w:rsidRPr="002C7104">
              <w:rPr>
                <w:rFonts w:eastAsiaTheme="minorEastAsia"/>
                <w:noProof/>
              </w:rPr>
              <w:t xml:space="preserve">added </w:t>
            </w:r>
            <w:r w:rsidR="002C3FAB">
              <w:rPr>
                <w:rFonts w:eastAsiaTheme="minorEastAsia"/>
                <w:noProof/>
              </w:rPr>
              <w:t xml:space="preserve">the reference to </w:t>
            </w:r>
            <w:r w:rsidRPr="002C3FAB">
              <w:rPr>
                <w:rFonts w:eastAsiaTheme="minorEastAsia"/>
                <w:noProof/>
              </w:rPr>
              <w:t>clause 9.2.3.5.2 in TS 38.300.</w:t>
            </w:r>
          </w:p>
          <w:p w14:paraId="43519766" w14:textId="48879D5C" w:rsid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execution, </w:t>
            </w:r>
            <w:r w:rsidR="002C3FAB">
              <w:rPr>
                <w:rFonts w:eastAsiaTheme="minorEastAsia"/>
                <w:noProof/>
              </w:rPr>
              <w:t>updated the text</w:t>
            </w:r>
            <w:r>
              <w:rPr>
                <w:rFonts w:eastAsiaTheme="minorEastAsia"/>
                <w:noProof/>
              </w:rPr>
              <w:t xml:space="preserve"> for LTM cell switch command MAC CE</w:t>
            </w:r>
            <w:r w:rsidR="002C3FAB">
              <w:rPr>
                <w:rFonts w:eastAsiaTheme="minorEastAsia"/>
                <w:noProof/>
              </w:rPr>
              <w:t xml:space="preserve"> and </w:t>
            </w:r>
            <w:r w:rsidR="002C3FAB" w:rsidRPr="002C7104">
              <w:rPr>
                <w:rFonts w:eastAsiaTheme="minorEastAsia"/>
                <w:noProof/>
              </w:rPr>
              <w:t xml:space="preserve">added </w:t>
            </w:r>
            <w:r w:rsidR="002C3FAB">
              <w:rPr>
                <w:rFonts w:eastAsiaTheme="minorEastAsia"/>
                <w:noProof/>
              </w:rPr>
              <w:t xml:space="preserve">the reference to </w:t>
            </w:r>
            <w:r w:rsidR="002C3FAB" w:rsidRPr="002C3FAB">
              <w:rPr>
                <w:rFonts w:eastAsiaTheme="minorEastAsia"/>
                <w:noProof/>
              </w:rPr>
              <w:t>clause 9.2.3.5.2 in TS 38.300</w:t>
            </w:r>
            <w:r>
              <w:rPr>
                <w:rFonts w:eastAsiaTheme="minorEastAsia"/>
                <w:noProof/>
              </w:rPr>
              <w:t>.</w:t>
            </w:r>
          </w:p>
          <w:p w14:paraId="0E0F1B12" w14:textId="6675D93A" w:rsidR="003A67BC" w:rsidRDefault="002C7104" w:rsidP="002C7104">
            <w:pPr>
              <w:pStyle w:val="CRCoverPage"/>
              <w:numPr>
                <w:ilvl w:val="0"/>
                <w:numId w:val="2"/>
              </w:numPr>
              <w:spacing w:after="0"/>
              <w:rPr>
                <w:noProof/>
              </w:rPr>
            </w:pPr>
            <w:r>
              <w:rPr>
                <w:noProof/>
              </w:rPr>
              <w:t xml:space="preserve">Clarified that </w:t>
            </w:r>
            <w:r w:rsidR="002C3FAB">
              <w:rPr>
                <w:noProof/>
              </w:rPr>
              <w:t>the</w:t>
            </w:r>
            <w:r>
              <w:rPr>
                <w:noProof/>
              </w:rPr>
              <w:t xml:space="preserve"> indication </w:t>
            </w:r>
            <w:r w:rsidR="00754CF1">
              <w:rPr>
                <w:noProof/>
              </w:rPr>
              <w:t>of the SCG radio resource configuration i</w:t>
            </w:r>
            <w:r w:rsidR="002C3FAB">
              <w:rPr>
                <w:noProof/>
              </w:rPr>
              <w:t xml:space="preserve">s </w:t>
            </w:r>
            <w:r w:rsidR="00754CF1">
              <w:rPr>
                <w:noProof/>
              </w:rPr>
              <w:t xml:space="preserve">a complete configuration </w:t>
            </w:r>
            <w:r w:rsidR="004A5E82">
              <w:rPr>
                <w:noProof/>
              </w:rPr>
              <w:t xml:space="preserve">in the procedural text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385B7A03" w14:textId="515E6476" w:rsidR="00C758E4" w:rsidRDefault="00C758E4" w:rsidP="002C7104">
            <w:pPr>
              <w:pStyle w:val="CRCoverPage"/>
              <w:numPr>
                <w:ilvl w:val="0"/>
                <w:numId w:val="2"/>
              </w:numPr>
              <w:spacing w:after="0"/>
              <w:rPr>
                <w:noProof/>
              </w:rPr>
            </w:pPr>
            <w:r>
              <w:rPr>
                <w:noProof/>
              </w:rPr>
              <w:t xml:space="preserve">Clarified that </w:t>
            </w:r>
            <w:r w:rsidRPr="00C758E4">
              <w:rPr>
                <w:noProof/>
              </w:rPr>
              <w:t>subsequent CPAC execution conditions include</w:t>
            </w:r>
            <w:bookmarkStart w:id="0" w:name="_GoBack"/>
            <w:bookmarkEnd w:id="0"/>
            <w:r w:rsidRPr="00C758E4">
              <w:rPr>
                <w:noProof/>
              </w:rPr>
              <w:t xml:space="preserve"> execution conditions for the initial execution and execution conditions for the following execution</w:t>
            </w:r>
            <w:r>
              <w:rPr>
                <w:noProof/>
              </w:rPr>
              <w:t>, and indicated</w:t>
            </w:r>
            <w:r w:rsidRPr="00C758E4">
              <w:rPr>
                <w:noProof/>
              </w:rPr>
              <w:t xml:space="preserve"> which execution conditions are evaluated for subseuqent CPAC in different steps.</w:t>
            </w:r>
          </w:p>
          <w:p w14:paraId="5FB7C322" w14:textId="109828A2" w:rsidR="000B47B4" w:rsidRDefault="000B47B4" w:rsidP="002C7104">
            <w:pPr>
              <w:pStyle w:val="CRCoverPage"/>
              <w:numPr>
                <w:ilvl w:val="0"/>
                <w:numId w:val="2"/>
              </w:numPr>
              <w:spacing w:after="0"/>
              <w:rPr>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noProof/>
              </w:rPr>
            </w:pPr>
            <w:r>
              <w:rPr>
                <w:noProof/>
              </w:rPr>
              <w:t>Added “</w:t>
            </w:r>
            <w:r w:rsidRPr="00653FA3">
              <w:rPr>
                <w:noProof/>
              </w:rPr>
              <w:t>MN can inform SN of the maximum number of LTM candidate configurations the SN is allowed to configure for SCG LTM</w:t>
            </w:r>
            <w:r>
              <w:rPr>
                <w:noProof/>
              </w:rPr>
              <w:t>” in clause 10.6.</w:t>
            </w:r>
          </w:p>
          <w:p w14:paraId="1AC9B4D3" w14:textId="38C0CC4D" w:rsidR="00653FA3" w:rsidRDefault="00653FA3" w:rsidP="002C7104">
            <w:pPr>
              <w:pStyle w:val="CRCoverPage"/>
              <w:numPr>
                <w:ilvl w:val="0"/>
                <w:numId w:val="2"/>
              </w:numPr>
              <w:spacing w:after="0"/>
              <w:rPr>
                <w:noProof/>
              </w:rPr>
            </w:pPr>
            <w:r>
              <w:rPr>
                <w:noProof/>
              </w:rPr>
              <w:t>Clarified</w:t>
            </w:r>
            <w:r w:rsidR="00924DC3">
              <w:rPr>
                <w:noProof/>
              </w:rPr>
              <w:t xml:space="preserve"> that</w:t>
            </w:r>
            <w:r>
              <w:rPr>
                <w:noProof/>
              </w:rPr>
              <w:t xml:space="preserve"> </w:t>
            </w:r>
            <w:r w:rsidR="00C758E4">
              <w:rPr>
                <w:noProof/>
              </w:rPr>
              <w:t>“</w:t>
            </w:r>
            <w:r w:rsidR="00C758E4" w:rsidRPr="00C758E4">
              <w:rPr>
                <w:noProof/>
              </w:rPr>
              <w:t>In case of CPA/CPC/subsequent CPAC/CHO with candidate SCG(s), the UE is not required to continue measurements for candidate PSCell(s) for execution condition upon transmission of the SCGFailureInformation message to the MN</w:t>
            </w:r>
            <w:r w:rsidR="00C758E4">
              <w:rPr>
                <w:noProof/>
              </w:rPr>
              <w:t xml:space="preserve">.” </w:t>
            </w:r>
            <w:r>
              <w:rPr>
                <w:noProof/>
              </w:rPr>
              <w:t>in clause 7.7.</w:t>
            </w:r>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r>
              <w:rPr>
                <w:noProof/>
              </w:rPr>
              <w:t xml:space="preserve">7.7, </w:t>
            </w:r>
            <w:r w:rsidR="003A67BC">
              <w:rPr>
                <w:noProof/>
              </w:rPr>
              <w:t>1</w:t>
            </w:r>
            <w:r w:rsidR="009C5961">
              <w:rPr>
                <w:noProof/>
              </w:rPr>
              <w:t xml:space="preserve">0.3.2, </w:t>
            </w:r>
            <w:r>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 w:name="_Toc46492834"/>
      <w:bookmarkStart w:id="2" w:name="_Toc52568360"/>
      <w:bookmarkStart w:id="3"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2"/>
      </w:pPr>
      <w:bookmarkStart w:id="4" w:name="_Toc29248346"/>
      <w:bookmarkStart w:id="5" w:name="_Toc37200931"/>
      <w:bookmarkStart w:id="6" w:name="_Toc46492797"/>
      <w:bookmarkStart w:id="7" w:name="_Toc52568323"/>
      <w:bookmarkStart w:id="8" w:name="_Toc163041977"/>
      <w:bookmarkStart w:id="9" w:name="_Toc155960051"/>
      <w:bookmarkEnd w:id="1"/>
      <w:bookmarkEnd w:id="2"/>
      <w:bookmarkEnd w:id="3"/>
      <w:r w:rsidRPr="00C8265F">
        <w:t>7.7</w:t>
      </w:r>
      <w:r w:rsidRPr="00C8265F">
        <w:tab/>
        <w:t>SCG/MCG failure handling</w:t>
      </w:r>
      <w:bookmarkEnd w:id="4"/>
      <w:bookmarkEnd w:id="5"/>
      <w:bookmarkEnd w:id="6"/>
      <w:bookmarkEnd w:id="7"/>
      <w:bookmarkEnd w:id="8"/>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r w:rsidRPr="00C8265F">
        <w:rPr>
          <w:lang w:eastAsia="zh-CN"/>
        </w:rPr>
        <w:t>PSCell addition or PSCell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r w:rsidRPr="00C8265F">
        <w:rPr>
          <w:i/>
        </w:rPr>
        <w:t>MCGFailureInformation</w:t>
      </w:r>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r w:rsidRPr="00C8265F">
        <w:rPr>
          <w:i/>
        </w:rPr>
        <w:t>MCGFailureInformation</w:t>
      </w:r>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Re</w:t>
      </w:r>
      <w:r w:rsidRPr="00C8265F">
        <w:rPr>
          <w:i/>
        </w:rPr>
        <w:t>configuration</w:t>
      </w:r>
      <w:r w:rsidRPr="00C8265F">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 or </w:t>
      </w:r>
      <w:r w:rsidRPr="00C8265F">
        <w:rPr>
          <w:i/>
        </w:rPr>
        <w:t>RRC</w:t>
      </w:r>
      <w:r w:rsidRPr="00C8265F">
        <w:rPr>
          <w:i/>
          <w:lang w:eastAsia="zh-CN"/>
        </w:rPr>
        <w:t>Release</w:t>
      </w:r>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r w:rsidRPr="00C8265F">
        <w:rPr>
          <w:i/>
        </w:rPr>
        <w:t>MCGFailureInformation</w:t>
      </w:r>
      <w:r w:rsidRPr="00C8265F">
        <w:t xml:space="preserve"> message</w:t>
      </w:r>
      <w:r w:rsidRPr="00C8265F">
        <w:rPr>
          <w:lang w:eastAsia="zh-CN"/>
        </w:rPr>
        <w:t xml:space="preserve">, the MN can send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lang w:eastAsia="zh-CN"/>
        </w:rPr>
        <w:t>RRCReconfiguration</w:t>
      </w:r>
      <w:r w:rsidRPr="00C8265F">
        <w:rPr>
          <w:lang w:eastAsia="zh-CN"/>
        </w:rPr>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w:t>
      </w:r>
      <w:r w:rsidRPr="00C8265F">
        <w:rPr>
          <w:lang w:eastAsia="zh-CN"/>
        </w:rPr>
        <w:t xml:space="preserve"> or </w:t>
      </w:r>
      <w:r w:rsidRPr="00C8265F">
        <w:rPr>
          <w:i/>
        </w:rPr>
        <w:t>RRC</w:t>
      </w:r>
      <w:r w:rsidRPr="00C8265F">
        <w:rPr>
          <w:i/>
          <w:lang w:eastAsia="zh-CN"/>
        </w:rPr>
        <w:t>Release</w:t>
      </w:r>
      <w:r w:rsidRPr="00C8265F">
        <w:rPr>
          <w:lang w:eastAsia="zh-CN"/>
        </w:rPr>
        <w:t xml:space="preserve"> message to the UE, </w:t>
      </w:r>
      <w:r w:rsidRPr="00C8265F">
        <w:t xml:space="preserve">using the SCG leg of split SRB1 or SRB3. Upon receiving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w:t>
      </w:r>
      <w:r w:rsidRPr="00C8265F">
        <w:rPr>
          <w:i/>
        </w:rPr>
        <w:t>econfiguration</w:t>
      </w:r>
      <w:r w:rsidRPr="00C8265F">
        <w:rPr>
          <w:lang w:eastAsia="zh-CN"/>
        </w:rPr>
        <w:t xml:space="preserve"> message, </w:t>
      </w:r>
      <w:r w:rsidRPr="00C8265F">
        <w:rPr>
          <w:i/>
        </w:rPr>
        <w:t>MobilityFromNRCommand</w:t>
      </w:r>
      <w:r w:rsidRPr="00C8265F">
        <w:t xml:space="preserve"> message or </w:t>
      </w:r>
      <w:r w:rsidRPr="00C8265F">
        <w:rPr>
          <w:i/>
        </w:rPr>
        <w:t>MobilityFromEUTRACommand</w:t>
      </w:r>
      <w:r w:rsidRPr="00C8265F">
        <w:t xml:space="preserve"> message</w:t>
      </w:r>
      <w:r w:rsidRPr="00C8265F">
        <w:rPr>
          <w:lang w:eastAsia="zh-CN"/>
        </w:rPr>
        <w:t xml:space="preserve">, the UE resumes MCG transmissions </w:t>
      </w:r>
      <w:r w:rsidRPr="00C8265F">
        <w:t xml:space="preserve">for all radio bearers. Upon receiving an </w:t>
      </w:r>
      <w:r w:rsidRPr="00C8265F">
        <w:rPr>
          <w:i/>
        </w:rPr>
        <w:t>RRC</w:t>
      </w:r>
      <w:r w:rsidRPr="00C8265F">
        <w:rPr>
          <w:i/>
          <w:lang w:eastAsia="zh-CN"/>
        </w:rPr>
        <w:t>ConnectionRelease</w:t>
      </w:r>
      <w:r w:rsidRPr="00C8265F">
        <w:t xml:space="preserve"> message or</w:t>
      </w:r>
      <w:r w:rsidRPr="00C8265F">
        <w:rPr>
          <w:lang w:eastAsia="zh-CN"/>
        </w:rPr>
        <w:t xml:space="preserve"> </w:t>
      </w:r>
      <w:r w:rsidRPr="00C8265F">
        <w:rPr>
          <w:i/>
        </w:rPr>
        <w:t>RRC</w:t>
      </w:r>
      <w:r w:rsidRPr="00C8265F">
        <w:rPr>
          <w:i/>
          <w:lang w:eastAsia="zh-CN"/>
        </w:rPr>
        <w:t>Release</w:t>
      </w:r>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For EN-DC, NGEN-DC and NR-DC, consistent UL LBT failure on PSCell;</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r w:rsidRPr="00C8265F">
        <w:rPr>
          <w:i/>
          <w:iCs/>
          <w:lang w:eastAsia="zh-CN"/>
        </w:rPr>
        <w:t>SCGFailureInformation</w:t>
      </w:r>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UE may not continue measurements based on configuration from the SN after SCG failure in certain cases (e.g. UE cannot maintain the timing of PSCell).</w:t>
      </w:r>
    </w:p>
    <w:p w14:paraId="1EDE88C2" w14:textId="77777777" w:rsidR="001827C0" w:rsidRPr="00C8265F" w:rsidRDefault="001827C0" w:rsidP="001827C0">
      <w:r w:rsidRPr="00C8265F">
        <w:t xml:space="preserve">The UE includes in the </w:t>
      </w:r>
      <w:r w:rsidRPr="00C8265F">
        <w:rPr>
          <w:i/>
          <w:iCs/>
          <w:lang w:eastAsia="zh-CN"/>
        </w:rPr>
        <w:t>SCGFailureInformation</w:t>
      </w:r>
      <w:r w:rsidRPr="00C8265F">
        <w:t xml:space="preserve"> message the measurement results available according to current measurement configuration of both the MN and the SN.</w:t>
      </w:r>
      <w:r w:rsidRPr="00C8265F">
        <w:tab/>
        <w:t xml:space="preserve">The MN handles the </w:t>
      </w:r>
      <w:r w:rsidRPr="00C8265F">
        <w:rPr>
          <w:i/>
          <w:iCs/>
          <w:lang w:eastAsia="zh-CN"/>
        </w:rPr>
        <w:t>SCGFailureInformation</w:t>
      </w:r>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5E9814" w:rsidR="001827C0" w:rsidRPr="00C8265F" w:rsidRDefault="001827C0" w:rsidP="001827C0">
      <w:r w:rsidRPr="00C8265F">
        <w:t xml:space="preserve">In case of </w:t>
      </w:r>
      <w:r w:rsidRPr="00C8265F">
        <w:rPr>
          <w:lang w:eastAsia="zh-CN"/>
        </w:rPr>
        <w:t>CPA/</w:t>
      </w:r>
      <w:r w:rsidRPr="00C8265F">
        <w:t xml:space="preserve">CPC, upon transmission of the </w:t>
      </w:r>
      <w:r w:rsidRPr="00C8265F">
        <w:rPr>
          <w:i/>
          <w:iCs/>
          <w:lang w:eastAsia="zh-CN"/>
        </w:rPr>
        <w:t>SCGFailureInformation</w:t>
      </w:r>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r w:rsidRPr="00C8265F">
        <w:rPr>
          <w:i/>
          <w:iCs/>
          <w:lang w:eastAsia="zh-CN"/>
        </w:rPr>
        <w:t>SCGFailureInformation</w:t>
      </w:r>
      <w:r w:rsidRPr="00C8265F">
        <w:t xml:space="preserve"> message to the MN</w:t>
      </w:r>
      <w:r w:rsidRPr="00C8265F">
        <w:rPr>
          <w:lang w:eastAsia="zh-CN"/>
        </w:rPr>
        <w:t xml:space="preserve"> or upon </w:t>
      </w:r>
      <w:r w:rsidRPr="00C8265F">
        <w:t xml:space="preserve">transmission of the </w:t>
      </w:r>
      <w:r w:rsidRPr="00C8265F">
        <w:rPr>
          <w:i/>
          <w:iCs/>
          <w:lang w:eastAsia="zh-CN"/>
        </w:rPr>
        <w:t>MCGFailureInformation</w:t>
      </w:r>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ins w:id="10" w:author="作者">
        <w:r>
          <w:rPr>
            <w:lang w:eastAsia="zh-CN"/>
          </w:rPr>
          <w:t>In case of CPA/CPC</w:t>
        </w:r>
        <w:r w:rsidR="00322B88">
          <w:rPr>
            <w:lang w:eastAsia="zh-CN"/>
          </w:rPr>
          <w:t>/subsequent CPAC/CHO with candidate SCG(s)</w:t>
        </w:r>
        <w:r>
          <w:rPr>
            <w:lang w:eastAsia="zh-CN"/>
          </w:rPr>
          <w:t xml:space="preserve">, </w:t>
        </w:r>
      </w:ins>
      <w:del w:id="11" w:author="作者">
        <w:r w:rsidRPr="00C8265F" w:rsidDel="001827C0">
          <w:delText xml:space="preserve">The </w:delText>
        </w:r>
      </w:del>
      <w:ins w:id="12" w:author="作者">
        <w:r>
          <w:t>t</w:t>
        </w:r>
        <w:r w:rsidRPr="00C8265F">
          <w:t xml:space="preserve">he </w:t>
        </w:r>
      </w:ins>
      <w:r w:rsidRPr="00C8265F">
        <w:t xml:space="preserve">UE is not required to continue measurements for candidate PSCell(s) for execution condition upon transmission of the </w:t>
      </w:r>
      <w:r w:rsidRPr="00C8265F">
        <w:rPr>
          <w:i/>
          <w:iCs/>
          <w:lang w:eastAsia="zh-CN"/>
        </w:rPr>
        <w:t>SCGFailureInformation</w:t>
      </w:r>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3"/>
        <w:rPr>
          <w:lang w:eastAsia="zh-CN"/>
        </w:rPr>
      </w:pPr>
      <w:r w:rsidRPr="00AF20AB">
        <w:rPr>
          <w:lang w:eastAsia="zh-CN"/>
        </w:rPr>
        <w:t>10.3.2</w:t>
      </w:r>
      <w:r w:rsidRPr="00AF20AB">
        <w:rPr>
          <w:lang w:eastAsia="zh-CN"/>
        </w:rPr>
        <w:tab/>
        <w:t>MR-DC with 5GC</w:t>
      </w:r>
      <w:bookmarkEnd w:id="9"/>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7pt;height:238.45pt" o:ole="">
            <v:imagedata r:id="rId13" o:title=""/>
            <o:lock v:ext="edit" aspectratio="f"/>
          </v:shape>
          <o:OLEObject Type="Embed" ProgID="Visio.Drawing.15" ShapeID="_x0000_i1025" DrawAspect="Content" ObjectID="_1775655568" r:id="rId14"/>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13" w:author="作者">
        <w:r>
          <w:t xml:space="preserve">candidate </w:t>
        </w:r>
      </w:ins>
      <w:r w:rsidRPr="00C8265F">
        <w:t>configuration</w:t>
      </w:r>
      <w:ins w:id="14" w:author="作者">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15" w:author="作者">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6B030356" w:rsidR="009C5961" w:rsidRPr="00C8265F" w:rsidRDefault="009C5961" w:rsidP="009C5961">
      <w:pPr>
        <w:pStyle w:val="B1"/>
      </w:pPr>
      <w:r w:rsidRPr="00C8265F">
        <w:t>3</w:t>
      </w:r>
      <w:r w:rsidRPr="00C8265F">
        <w:rPr>
          <w:lang w:eastAsia="zh-CN"/>
        </w:rPr>
        <w:t>a</w:t>
      </w:r>
      <w:r w:rsidRPr="00C8265F">
        <w:t>.</w:t>
      </w:r>
      <w:r w:rsidRPr="00C8265F">
        <w:tab/>
      </w:r>
      <w:del w:id="16"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17" w:author="作者">
        <w:r>
          <w:rPr>
            <w:lang w:eastAsia="zh-CN"/>
          </w:rPr>
          <w:t>T</w:t>
        </w:r>
      </w:ins>
      <w:r w:rsidRPr="00C8265F">
        <w:t xml:space="preserve">he UE performs DL synchronization with </w:t>
      </w:r>
      <w:ins w:id="18" w:author="作者">
        <w:r>
          <w:t xml:space="preserve">LTM </w:t>
        </w:r>
      </w:ins>
      <w:r w:rsidRPr="00C8265F">
        <w:t>candidate cell(s) before receiving the cell switch command</w:t>
      </w:r>
      <w:ins w:id="19" w:author="作者">
        <w:r w:rsidR="006E3EC6">
          <w:t xml:space="preserve">, </w:t>
        </w:r>
        <w:r w:rsidR="006E3EC6" w:rsidRPr="006E3EC6">
          <w:t>as specified in clause in 9.2.3.5.2 in TS 38.300</w:t>
        </w:r>
        <w:r w:rsidR="006E3EC6">
          <w:t xml:space="preserve"> [3]</w:t>
        </w:r>
      </w:ins>
      <w:r w:rsidRPr="00C8265F">
        <w:t>.</w:t>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20"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21" w:author="作者">
        <w:r>
          <w:rPr>
            <w:lang w:eastAsia="zh-CN"/>
          </w:rPr>
          <w:t>T</w:t>
        </w:r>
      </w:ins>
      <w:r w:rsidRPr="00C8265F">
        <w:t xml:space="preserve">he UE </w:t>
      </w:r>
      <w:ins w:id="22" w:author="作者">
        <w:r>
          <w:t xml:space="preserve">may </w:t>
        </w:r>
      </w:ins>
      <w:r w:rsidRPr="00C8265F">
        <w:t>perform</w:t>
      </w:r>
      <w:del w:id="23" w:author="作者">
        <w:r w:rsidRPr="00C8265F" w:rsidDel="009C5961">
          <w:delText>s</w:delText>
        </w:r>
      </w:del>
      <w:r w:rsidRPr="00C8265F">
        <w:t xml:space="preserve"> </w:t>
      </w:r>
      <w:del w:id="24" w:author="作者">
        <w:r w:rsidRPr="00C8265F" w:rsidDel="009C5961">
          <w:delText>early TA acquisition</w:delText>
        </w:r>
      </w:del>
      <w:ins w:id="25" w:author="作者">
        <w:r>
          <w:t>UL synchronization</w:t>
        </w:r>
      </w:ins>
      <w:r w:rsidRPr="00C8265F">
        <w:t xml:space="preserve"> with </w:t>
      </w:r>
      <w:ins w:id="26" w:author="作者">
        <w:r>
          <w:t xml:space="preserve">LTM </w:t>
        </w:r>
      </w:ins>
      <w:r w:rsidRPr="00C8265F">
        <w:t>candidate cell(s) before receiving the cell switch command</w:t>
      </w:r>
      <w:ins w:id="27" w:author="作者">
        <w:r>
          <w:t>,</w:t>
        </w:r>
      </w:ins>
      <w:r w:rsidRPr="00C8265F">
        <w:t xml:space="preserve"> as specified in</w:t>
      </w:r>
      <w:r w:rsidRPr="00C8265F">
        <w:rPr>
          <w:lang w:eastAsia="zh-CN"/>
        </w:rPr>
        <w:t xml:space="preserve"> clause </w:t>
      </w:r>
      <w:del w:id="28" w:author="作者">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lastRenderedPageBreak/>
        <w:t>4.</w:t>
      </w:r>
      <w:r w:rsidRPr="00C8265F">
        <w:tab/>
        <w:t xml:space="preserve">The UE performs L1 measurements on the configured </w:t>
      </w:r>
      <w:ins w:id="29"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0051C6E"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30" w:author="作者">
        <w:r w:rsidR="0019347E">
          <w:t>n LTM cell switch command</w:t>
        </w:r>
      </w:ins>
      <w:r w:rsidRPr="00C8265F">
        <w:t xml:space="preserve"> MAC CE triggering cell switch by including </w:t>
      </w:r>
      <w:ins w:id="31" w:author="作者">
        <w:r w:rsidR="0019347E">
          <w:t xml:space="preserve">a target configuration ID </w:t>
        </w:r>
      </w:ins>
      <w:del w:id="32" w:author="作者">
        <w:r w:rsidRPr="00C8265F" w:rsidDel="006E3EC6">
          <w:delText>the candidate configuration index of the target cell</w:delText>
        </w:r>
      </w:del>
      <w:ins w:id="33" w:author="作者">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34" w:author="作者">
        <w:r w:rsidR="0019347E">
          <w:t xml:space="preserve">candidate </w:t>
        </w:r>
      </w:ins>
      <w:r w:rsidRPr="00C8265F">
        <w:t xml:space="preserve">configuration indicated by </w:t>
      </w:r>
      <w:del w:id="35" w:author="作者">
        <w:r w:rsidRPr="00C8265F" w:rsidDel="0019347E">
          <w:delText xml:space="preserve">candidate </w:delText>
        </w:r>
      </w:del>
      <w:ins w:id="36" w:author="作者">
        <w:r w:rsidR="0019347E">
          <w:t xml:space="preserve">the target </w:t>
        </w:r>
      </w:ins>
      <w:r w:rsidRPr="00C8265F">
        <w:t xml:space="preserve">configuration </w:t>
      </w:r>
      <w:del w:id="37" w:author="作者">
        <w:r w:rsidRPr="00C8265F" w:rsidDel="0019347E">
          <w:delText>index</w:delText>
        </w:r>
      </w:del>
      <w:ins w:id="38" w:author="作者">
        <w:r w:rsidR="0019347E">
          <w:t>ID</w:t>
        </w:r>
      </w:ins>
      <w:r w:rsidRPr="00C8265F">
        <w:t>.</w:t>
      </w:r>
    </w:p>
    <w:p w14:paraId="2432725E" w14:textId="77777777" w:rsidR="009C5961" w:rsidRPr="00C8265F" w:rsidRDefault="009C5961" w:rsidP="009C5961">
      <w:pPr>
        <w:pStyle w:val="B1"/>
      </w:pPr>
      <w:r w:rsidRPr="00C8265F">
        <w:rPr>
          <w:lang w:eastAsia="zh-CN"/>
        </w:rPr>
        <w:t>6</w:t>
      </w:r>
      <w:r w:rsidRPr="00C8265F">
        <w:t>.</w:t>
      </w:r>
      <w:r w:rsidRPr="00C8265F">
        <w:tab/>
        <w:t>The UE performs the random access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random access procedure is successfully completed. For RACH-less LTM, the UE considers that LTM </w:t>
      </w:r>
      <w:ins w:id="39" w:author="作者">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40" w:name="_Hlk164966513"/>
      <w:r w:rsidRPr="00C8265F">
        <w:rPr>
          <w:lang w:eastAsia="zh-CN"/>
        </w:rPr>
        <w:t xml:space="preserve">as specified in clause in 9.2.3.5.2 in TS 38.300 </w:t>
      </w:r>
      <w:bookmarkEnd w:id="40"/>
      <w:r w:rsidRPr="00C8265F">
        <w:rPr>
          <w:lang w:eastAsia="zh-CN"/>
        </w:rPr>
        <w:t>[3]</w:t>
      </w:r>
      <w:r w:rsidRPr="00C8265F">
        <w:t>.</w:t>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41"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2.05pt;height:266.05pt" o:ole="">
            <v:imagedata r:id="rId15" o:title=""/>
            <o:lock v:ext="edit" aspectratio="f"/>
          </v:shape>
          <o:OLEObject Type="Embed" ProgID="Visio.Drawing.15" ShapeID="_x0000_i1026" DrawAspect="Content" ObjectID="_1775655569" r:id="rId16"/>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42" w:author="作者">
        <w:r w:rsidR="0019347E">
          <w:t xml:space="preserve">candidate </w:t>
        </w:r>
      </w:ins>
      <w:r w:rsidRPr="00C8265F">
        <w:t>configuration</w:t>
      </w:r>
      <w:ins w:id="43" w:author="作者">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lastRenderedPageBreak/>
        <w:t>3.</w:t>
      </w:r>
      <w:r w:rsidRPr="00C8265F">
        <w:tab/>
        <w:t xml:space="preserve">The UE </w:t>
      </w:r>
      <w:ins w:id="44" w:author="作者">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200D48C5" w:rsidR="009C5961" w:rsidRPr="00C8265F" w:rsidRDefault="009C5961" w:rsidP="009C5961">
      <w:pPr>
        <w:pStyle w:val="B1"/>
      </w:pPr>
      <w:r w:rsidRPr="00C8265F">
        <w:rPr>
          <w:lang w:eastAsia="zh-CN"/>
        </w:rPr>
        <w:t>5a</w:t>
      </w:r>
      <w:r w:rsidRPr="00C8265F">
        <w:t>.</w:t>
      </w:r>
      <w:r w:rsidRPr="00C8265F">
        <w:tab/>
      </w:r>
      <w:del w:id="45"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46" w:author="作者">
        <w:r w:rsidR="0019347E">
          <w:t>T</w:t>
        </w:r>
      </w:ins>
      <w:r w:rsidRPr="00C8265F">
        <w:t xml:space="preserve">he UE performs DL synchronization with </w:t>
      </w:r>
      <w:ins w:id="47" w:author="作者">
        <w:r w:rsidR="0019347E">
          <w:t xml:space="preserve">LTM </w:t>
        </w:r>
      </w:ins>
      <w:r w:rsidRPr="00C8265F">
        <w:t>candidate cell(s) before receiving the cell switch command</w:t>
      </w:r>
      <w:ins w:id="48" w:author="作者">
        <w:r w:rsidR="006E3EC6">
          <w:t xml:space="preserve">, </w:t>
        </w:r>
        <w:r w:rsidR="006E3EC6" w:rsidRPr="006E3EC6">
          <w:t>as specified in clause in 9.2.3.5.2 in TS 38.300</w:t>
        </w:r>
        <w:r w:rsidR="006E3EC6">
          <w:t xml:space="preserve"> [3]</w:t>
        </w:r>
      </w:ins>
      <w:r w:rsidRPr="00C8265F">
        <w:t>.</w:t>
      </w:r>
    </w:p>
    <w:p w14:paraId="5808A434" w14:textId="1ED9FE24" w:rsidR="009C5961" w:rsidRPr="00C8265F" w:rsidRDefault="009C5961" w:rsidP="009C5961">
      <w:pPr>
        <w:pStyle w:val="B1"/>
      </w:pPr>
      <w:r w:rsidRPr="00C8265F">
        <w:rPr>
          <w:lang w:eastAsia="zh-CN"/>
        </w:rPr>
        <w:t>5b</w:t>
      </w:r>
      <w:r w:rsidRPr="00C8265F">
        <w:t>.</w:t>
      </w:r>
      <w:r w:rsidRPr="00C8265F">
        <w:tab/>
      </w:r>
      <w:del w:id="49"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50" w:author="作者">
        <w:r w:rsidR="0019347E">
          <w:t>T</w:t>
        </w:r>
      </w:ins>
      <w:r w:rsidRPr="00C8265F">
        <w:t xml:space="preserve">he UE </w:t>
      </w:r>
      <w:ins w:id="51" w:author="作者">
        <w:r w:rsidR="0019347E">
          <w:t xml:space="preserve">may </w:t>
        </w:r>
      </w:ins>
      <w:r w:rsidRPr="00C8265F">
        <w:t>perform</w:t>
      </w:r>
      <w:del w:id="52" w:author="作者">
        <w:r w:rsidRPr="00C8265F" w:rsidDel="0019347E">
          <w:delText>s</w:delText>
        </w:r>
      </w:del>
      <w:r w:rsidRPr="00C8265F">
        <w:t xml:space="preserve"> </w:t>
      </w:r>
      <w:del w:id="53" w:author="作者">
        <w:r w:rsidRPr="00C8265F" w:rsidDel="0019347E">
          <w:delText xml:space="preserve">early TA acquisition </w:delText>
        </w:r>
      </w:del>
      <w:ins w:id="54" w:author="作者">
        <w:r w:rsidR="0019347E">
          <w:t xml:space="preserve">UL synchronization </w:t>
        </w:r>
      </w:ins>
      <w:r w:rsidRPr="00C8265F">
        <w:t xml:space="preserve">with </w:t>
      </w:r>
      <w:ins w:id="55" w:author="作者">
        <w:r w:rsidR="0019347E">
          <w:t xml:space="preserve">LTM </w:t>
        </w:r>
      </w:ins>
      <w:r w:rsidRPr="00C8265F">
        <w:t>candidate cell(s) before receiving the cell switch command</w:t>
      </w:r>
      <w:ins w:id="56" w:author="作者">
        <w:r w:rsidR="0019347E">
          <w:t>,</w:t>
        </w:r>
      </w:ins>
      <w:r w:rsidRPr="00C8265F">
        <w:t xml:space="preserve"> as specified in</w:t>
      </w:r>
      <w:r w:rsidRPr="00C8265F">
        <w:rPr>
          <w:lang w:eastAsia="zh-CN"/>
        </w:rPr>
        <w:t xml:space="preserve"> clause </w:t>
      </w:r>
      <w:del w:id="57" w:author="作者">
        <w:r w:rsidRPr="00C8265F" w:rsidDel="00B45D50">
          <w:rPr>
            <w:lang w:eastAsia="zh-CN"/>
          </w:rPr>
          <w:delText xml:space="preserve">in </w:delText>
        </w:r>
      </w:del>
      <w:r w:rsidRPr="00C8265F">
        <w:rPr>
          <w:lang w:eastAsia="zh-CN"/>
        </w:rPr>
        <w:t>9.2.3.5.2 in TS 38.300 [3].</w:t>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58"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586565EC" w:rsidR="009C5961" w:rsidRPr="00C8265F" w:rsidRDefault="009C5961" w:rsidP="009C5961">
      <w:pPr>
        <w:pStyle w:val="B1"/>
      </w:pPr>
      <w:r w:rsidRPr="00C8265F">
        <w:rPr>
          <w:lang w:eastAsia="zh-CN"/>
        </w:rPr>
        <w:t>7</w:t>
      </w:r>
      <w:r w:rsidRPr="00C8265F">
        <w:t>.</w:t>
      </w:r>
      <w:r w:rsidRPr="00C8265F">
        <w:tab/>
        <w:t xml:space="preserve">The </w:t>
      </w:r>
      <w:r w:rsidRPr="00C8265F">
        <w:rPr>
          <w:lang w:eastAsia="zh-CN"/>
        </w:rPr>
        <w:t>SN</w:t>
      </w:r>
      <w:r w:rsidRPr="00C8265F">
        <w:t xml:space="preserve"> decides to execute cell switch to a target cell and transmits a</w:t>
      </w:r>
      <w:ins w:id="59" w:author="作者">
        <w:r w:rsidR="0019347E">
          <w:t xml:space="preserve">n </w:t>
        </w:r>
        <w:r w:rsidR="0019347E">
          <w:rPr>
            <w:rFonts w:eastAsia="Times New Roman"/>
            <w:lang w:eastAsia="ja-JP"/>
          </w:rPr>
          <w:t>LTM cell switch command</w:t>
        </w:r>
      </w:ins>
      <w:r w:rsidRPr="00C8265F">
        <w:t xml:space="preserve"> MAC CE triggering cell switch by including </w:t>
      </w:r>
      <w:ins w:id="60" w:author="作者">
        <w:r w:rsidR="0019347E">
          <w:t>a target configuration ID</w:t>
        </w:r>
      </w:ins>
      <w:del w:id="61" w:author="作者">
        <w:r w:rsidRPr="00C8265F" w:rsidDel="006E3EC6">
          <w:delText>the candidate configuration index of the target cell</w:delText>
        </w:r>
      </w:del>
      <w:ins w:id="62" w:author="作者">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63" w:author="作者">
        <w:r w:rsidR="0019347E">
          <w:t xml:space="preserve">candidate </w:t>
        </w:r>
      </w:ins>
      <w:r w:rsidRPr="00C8265F">
        <w:t xml:space="preserve">configuration indicated by </w:t>
      </w:r>
      <w:del w:id="64" w:author="作者">
        <w:r w:rsidRPr="00C8265F" w:rsidDel="0019347E">
          <w:delText xml:space="preserve">candidate </w:delText>
        </w:r>
      </w:del>
      <w:ins w:id="65" w:author="作者">
        <w:r w:rsidR="0019347E">
          <w:t>the target</w:t>
        </w:r>
        <w:r w:rsidR="0019347E" w:rsidRPr="00C8265F">
          <w:t xml:space="preserve"> </w:t>
        </w:r>
      </w:ins>
      <w:r w:rsidRPr="00C8265F">
        <w:t xml:space="preserve">configuration </w:t>
      </w:r>
      <w:del w:id="66" w:author="作者">
        <w:r w:rsidRPr="00C8265F" w:rsidDel="0019347E">
          <w:delText>index</w:delText>
        </w:r>
      </w:del>
      <w:ins w:id="67" w:author="作者">
        <w:r w:rsidR="0019347E">
          <w:t>ID</w:t>
        </w:r>
      </w:ins>
      <w:r w:rsidRPr="00C8265F">
        <w:t>.</w:t>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The UE performs the random access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random access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transmission, as specified in clause in 9.2.3.5.2 in TS 38.300 [3]</w:t>
      </w:r>
      <w:r w:rsidRPr="00C8265F">
        <w:t>.</w:t>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68"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69" w:name="_Toc29248369"/>
      <w:bookmarkStart w:id="70" w:name="_Toc37200956"/>
      <w:bookmarkStart w:id="71" w:name="_Toc46492822"/>
      <w:bookmarkStart w:id="72" w:name="_Toc52568348"/>
      <w:bookmarkStart w:id="73"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t>PSCell change</w:t>
      </w:r>
      <w:bookmarkEnd w:id="69"/>
      <w:bookmarkEnd w:id="70"/>
      <w:bookmarkEnd w:id="71"/>
      <w:bookmarkEnd w:id="72"/>
      <w:bookmarkEnd w:id="73"/>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等线"/>
          <w:noProof/>
          <w:lang w:eastAsia="zh-CN"/>
        </w:rPr>
        <w:t>For SRB3 PDCP may discard all stored SDUs and PDUs</w:t>
      </w:r>
      <w:r w:rsidRPr="00C8265F">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w:t>
      </w:r>
      <w:r w:rsidRPr="00C8265F">
        <w:lastRenderedPageBreak/>
        <w:t xml:space="preserve">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While executing CPC, the UE is not required to continue evaluating the execution condition of other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17EF52D1" w:rsidR="001827C0" w:rsidRPr="001827C0" w:rsidRDefault="001827C0" w:rsidP="001827C0">
      <w:pPr>
        <w:rPr>
          <w:lang w:eastAsia="zh-CN"/>
        </w:rPr>
      </w:pPr>
      <w:r w:rsidRPr="00C8265F">
        <w:rPr>
          <w:lang w:eastAsia="zh-CN"/>
        </w:rPr>
        <w:t>An SCG LTM is defined as a PSCell cell switch procedure that the network triggers via MAC CE based on L1 measurements. Only intra-SN SCG LTM without MN involvement is supported.</w:t>
      </w:r>
      <w:ins w:id="74" w:author="作者">
        <w:r>
          <w:rPr>
            <w:lang w:eastAsia="zh-CN"/>
          </w:rPr>
          <w:t xml:space="preserve"> </w:t>
        </w:r>
        <w:r w:rsidR="00A0468A">
          <w:rPr>
            <w:lang w:eastAsia="zh-CN"/>
          </w:rPr>
          <w:t xml:space="preserve">The </w:t>
        </w:r>
        <w:r w:rsidRPr="00C8265F">
          <w:t xml:space="preserve">MN can inform </w:t>
        </w:r>
        <w:r w:rsidR="00A0468A">
          <w:t xml:space="preserve">the </w:t>
        </w:r>
        <w:r w:rsidRPr="00C8265F">
          <w:t xml:space="preserve">SN of the maximum number of </w:t>
        </w:r>
        <w:r>
          <w:t>LTM candidate configurations</w:t>
        </w:r>
        <w:r w:rsidRPr="00C8265F">
          <w:t xml:space="preserve"> the SN is allowed to configure for </w:t>
        </w:r>
        <w:r>
          <w:t>SCG LTM.</w:t>
        </w:r>
      </w:ins>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75" w:name="_Toc163042047"/>
      <w:r w:rsidRPr="00C8265F">
        <w:rPr>
          <w:lang w:eastAsia="zh-CN"/>
        </w:rPr>
        <w:t>10.20</w:t>
      </w:r>
      <w:r w:rsidRPr="00C8265F">
        <w:rPr>
          <w:lang w:eastAsia="zh-CN"/>
        </w:rPr>
        <w:tab/>
        <w:t>Subsequent Conditional PSCell Addition or Change</w:t>
      </w:r>
      <w:bookmarkEnd w:id="75"/>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lastRenderedPageBreak/>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While executing subsequent CPAC, the UE is not required to continue evaluating the execution condition of other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1D7EB5B9" w:rsidR="009C5961" w:rsidRPr="00C8265F" w:rsidRDefault="009C5961" w:rsidP="009C5961">
      <w:pPr>
        <w:jc w:val="both"/>
        <w:rPr>
          <w:b/>
          <w:lang w:eastAsia="zh-CN"/>
        </w:rPr>
      </w:pPr>
      <w:r w:rsidRPr="00C8265F">
        <w:rPr>
          <w:b/>
          <w:lang w:eastAsia="zh-CN"/>
        </w:rPr>
        <w:t>MN initiated 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55pt;height:715.8pt" o:ole="">
            <v:imagedata r:id="rId17" o:title=""/>
          </v:shape>
          <o:OLEObject Type="Embed" ProgID="Mscgen.Chart" ShapeID="_x0000_i1027" DrawAspect="Content" ObjectID="_1775655570" r:id="rId18"/>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76" w:author="作者">
        <w:r w:rsidR="00DB57A5">
          <w:t xml:space="preserve">may </w:t>
        </w:r>
      </w:ins>
      <w:r w:rsidRPr="00C8265F">
        <w:t>include</w:t>
      </w:r>
      <w:del w:id="77" w:author="作者">
        <w:r w:rsidRPr="00C8265F" w:rsidDel="00DB57A5">
          <w:delText>s</w:delText>
        </w:r>
      </w:del>
      <w:r w:rsidRPr="00C8265F">
        <w:t xml:space="preserve"> </w:t>
      </w:r>
      <w:del w:id="78" w:author="作者">
        <w:r w:rsidRPr="00C8265F" w:rsidDel="00DB57A5">
          <w:delText xml:space="preserve">the </w:delText>
        </w:r>
      </w:del>
      <w:ins w:id="79" w:author="作者">
        <w:r w:rsidR="00DB57A5">
          <w:t>an</w:t>
        </w:r>
        <w:r w:rsidR="00DB57A5" w:rsidRPr="00C8265F">
          <w:t xml:space="preserve"> </w:t>
        </w:r>
      </w:ins>
      <w:r w:rsidRPr="00C8265F">
        <w:t xml:space="preserve">indication </w:t>
      </w:r>
      <w:del w:id="80" w:author="作者">
        <w:r w:rsidRPr="00C8265F" w:rsidDel="00A0468A">
          <w:delText xml:space="preserve">of </w:delText>
        </w:r>
      </w:del>
      <w:ins w:id="81" w:author="作者">
        <w:r w:rsidR="00DB57A5">
          <w:t>that the SCG radio resource configuration of a prepared PSCell is a</w:t>
        </w:r>
      </w:ins>
      <w:del w:id="82" w:author="作者">
        <w:r w:rsidRPr="00C8265F" w:rsidDel="00DB57A5">
          <w:delText>the</w:delText>
        </w:r>
      </w:del>
      <w:r w:rsidRPr="00C8265F">
        <w:t xml:space="preserve"> </w:t>
      </w:r>
      <w:r w:rsidRPr="00C8265F">
        <w:rPr>
          <w:lang w:eastAsia="zh-CN"/>
        </w:rPr>
        <w:t>complete</w:t>
      </w:r>
      <w:r w:rsidRPr="00C8265F">
        <w:t xml:space="preserve"> </w:t>
      </w:r>
      <w:del w:id="83" w:author="作者">
        <w:r w:rsidRPr="00C8265F" w:rsidDel="00DB57A5">
          <w:delText xml:space="preserve">or delta RRC </w:delText>
        </w:r>
      </w:del>
      <w:r w:rsidRPr="00C8265F">
        <w:t>configuration</w:t>
      </w:r>
      <w:ins w:id="84" w:author="作者">
        <w:r w:rsidR="009E346E">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85" w:author="作者">
        <w:r w:rsidR="00203332">
          <w:t xml:space="preserve"> and the MN </w:t>
        </w:r>
        <w:r w:rsidR="00987805">
          <w:t>decide</w:t>
        </w:r>
        <w:r w:rsidR="00203332">
          <w:t>s to configure the SN-1 as a candidate SN for the subsequent CPAC</w:t>
        </w:r>
      </w:ins>
      <w:r w:rsidRPr="00C8265F">
        <w:t>, 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86" w:author="作者">
        <w:r w:rsidR="006608A5">
          <w:rPr>
            <w:lang w:eastAsia="zh-CN"/>
          </w:rPr>
          <w:t xml:space="preserve">initial execution of </w:t>
        </w:r>
      </w:ins>
      <w:r w:rsidRPr="00C8265F">
        <w:rPr>
          <w:lang w:eastAsia="zh-CN"/>
        </w:rPr>
        <w:t>subsequent CPAC</w:t>
      </w:r>
      <w:ins w:id="87"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88" w:author="作者"/>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7ADFE9CB" w:rsidR="00E07DE3" w:rsidRPr="00C8265F" w:rsidDel="001E31EF" w:rsidRDefault="001E31EF" w:rsidP="001E31EF">
      <w:pPr>
        <w:keepLines/>
        <w:ind w:left="1135" w:hanging="851"/>
        <w:rPr>
          <w:del w:id="89" w:author="作者"/>
        </w:rPr>
      </w:pPr>
      <w:ins w:id="90" w:author="作者">
        <w:r w:rsidRPr="00C8265F">
          <w:t xml:space="preserve">NOTE </w:t>
        </w:r>
        <w:r>
          <w:t>3b</w:t>
        </w:r>
        <w:r w:rsidRPr="00C8265F">
          <w:t>:</w:t>
        </w:r>
        <w:r w:rsidRPr="00C8265F">
          <w:tab/>
        </w:r>
        <w:r w:rsidRPr="001E31EF">
          <w:t>If the UE was configured with SN-1 in Dual Connectivity operation (i.e. SN-1 is the source SN), the steps 14</w:t>
        </w:r>
        <w:r w:rsidR="009E346E">
          <w:t>-</w:t>
        </w:r>
        <w:r w:rsidRPr="001E31EF">
          <w:t xml:space="preserve">16 in Figure 10.20-2 </w:t>
        </w:r>
        <w:r w:rsidR="009E346E">
          <w:t>are executed</w:t>
        </w:r>
        <w:r w:rsidRPr="001E31EF">
          <w:t xml:space="preserve"> before the step </w:t>
        </w:r>
        <w:r>
          <w:t>1</w:t>
        </w:r>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91" w:author="作者"/>
        </w:rPr>
      </w:pPr>
      <w:del w:id="92" w:author="作者">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93" w:author="作者"/>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478A6917" w:rsidR="001E31EF" w:rsidRPr="00C8265F" w:rsidDel="001E31EF" w:rsidRDefault="001E31EF" w:rsidP="00027C89">
      <w:pPr>
        <w:keepLines/>
        <w:ind w:left="1135" w:hanging="851"/>
        <w:rPr>
          <w:del w:id="94" w:author="作者"/>
        </w:rPr>
      </w:pPr>
      <w:ins w:id="95" w:author="作者">
        <w:r w:rsidRPr="00C8265F">
          <w:t>NOTE 4a:</w:t>
        </w:r>
        <w:r w:rsidRPr="00C8265F">
          <w:tab/>
          <w:t xml:space="preserve">If the selected candidate PSCell that the UE executed in the step 22 belongs to the same last serving SN, the steps 10-11 in the Figure 10.20-3 </w:t>
        </w:r>
        <w:r w:rsidR="006608A5">
          <w:t>are executed</w:t>
        </w:r>
        <w:r w:rsidRPr="00C8265F">
          <w:t xml:space="preserve"> instead of the steps 25-30</w:t>
        </w:r>
        <w:r>
          <w:t xml:space="preserve"> in this figure</w:t>
        </w:r>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5pt;height:513.35pt" o:ole="">
            <v:imagedata r:id="rId19" o:title=""/>
          </v:shape>
          <o:OLEObject Type="Embed" ProgID="Mscgen.Chart" ShapeID="_x0000_i1028" DrawAspect="Content" ObjectID="_1775655571" r:id="rId20"/>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96" w:author="作者">
        <w:r w:rsidR="00987805">
          <w:t xml:space="preserve">may </w:t>
        </w:r>
      </w:ins>
      <w:r w:rsidRPr="00C8265F">
        <w:t>include</w:t>
      </w:r>
      <w:del w:id="97" w:author="作者">
        <w:r w:rsidRPr="00C8265F" w:rsidDel="00987805">
          <w:delText>s</w:delText>
        </w:r>
      </w:del>
      <w:r w:rsidRPr="00C8265F">
        <w:t xml:space="preserve"> </w:t>
      </w:r>
      <w:del w:id="98" w:author="作者">
        <w:r w:rsidRPr="00C8265F" w:rsidDel="00987805">
          <w:delText xml:space="preserve">the </w:delText>
        </w:r>
      </w:del>
      <w:ins w:id="99" w:author="作者">
        <w:r w:rsidR="00987805">
          <w:t>an</w:t>
        </w:r>
        <w:r w:rsidR="00987805" w:rsidRPr="00C8265F">
          <w:t xml:space="preserve"> </w:t>
        </w:r>
      </w:ins>
      <w:r w:rsidRPr="00C8265F">
        <w:t xml:space="preserve">indication </w:t>
      </w:r>
      <w:del w:id="100" w:author="作者">
        <w:r w:rsidRPr="00C8265F" w:rsidDel="006608A5">
          <w:delText xml:space="preserve">of </w:delText>
        </w:r>
      </w:del>
      <w:ins w:id="101" w:author="作者">
        <w:r w:rsidR="00987805">
          <w:t xml:space="preserve">that the SCG radio resource configuration of a prepared PSCell is </w:t>
        </w:r>
      </w:ins>
      <w:del w:id="102" w:author="作者">
        <w:r w:rsidRPr="00C8265F" w:rsidDel="00987805">
          <w:delText xml:space="preserve">the </w:delText>
        </w:r>
      </w:del>
      <w:ins w:id="103" w:author="作者">
        <w:r w:rsidR="00987805">
          <w:t>a</w:t>
        </w:r>
        <w:r w:rsidR="00987805" w:rsidRPr="00C8265F">
          <w:t xml:space="preserve"> </w:t>
        </w:r>
      </w:ins>
      <w:r w:rsidRPr="00C8265F">
        <w:rPr>
          <w:lang w:eastAsia="zh-CN"/>
        </w:rPr>
        <w:t>complete</w:t>
      </w:r>
      <w:del w:id="104" w:author="作者">
        <w:r w:rsidRPr="00C8265F" w:rsidDel="00987805">
          <w:delText xml:space="preserve"> or delta RRC </w:delText>
        </w:r>
      </w:del>
      <w:r w:rsidRPr="00C8265F">
        <w:t>configuration</w:t>
      </w:r>
      <w:ins w:id="105" w:author="作者">
        <w:r w:rsidR="006608A5">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06" w:author="作者">
        <w:r w:rsidRPr="00C8265F" w:rsidDel="00987805">
          <w:rPr>
            <w:lang w:eastAsia="zh-CN"/>
          </w:rPr>
          <w:delText>S</w:delText>
        </w:r>
      </w:del>
      <w:ins w:id="107" w:author="作者">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08" w:author="作者">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09" w:author="作者">
        <w:r w:rsidR="00987805">
          <w:rPr>
            <w:lang w:eastAsia="zh-CN"/>
          </w:rPr>
          <w:t xml:space="preserve">of the list of PSCell(s)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10" w:author="作者">
        <w:r w:rsidR="006608A5">
          <w:rPr>
            <w:lang w:eastAsia="zh-CN"/>
          </w:rPr>
          <w:t xml:space="preserve">initial execution of </w:t>
        </w:r>
      </w:ins>
      <w:r w:rsidRPr="00C8265F">
        <w:rPr>
          <w:lang w:eastAsia="zh-CN"/>
        </w:rPr>
        <w:t>subsequent CPAC</w:t>
      </w:r>
      <w:ins w:id="111"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12" w:author="作者">
        <w:r w:rsidR="00987805">
          <w:t xml:space="preserve"> for the </w:t>
        </w:r>
        <w:r w:rsidR="006608A5">
          <w:t xml:space="preserve">initial execution of </w:t>
        </w:r>
        <w:r w:rsidR="00987805">
          <w:t>subsequent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6BFDEDB"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del w:id="113" w:author="作者">
        <w:r w:rsidRPr="00C8265F" w:rsidDel="009828C3">
          <w:delText xml:space="preserve">may </w:delText>
        </w:r>
        <w:r w:rsidRPr="00C8265F" w:rsidDel="006608A5">
          <w:delText>follow</w:delText>
        </w:r>
      </w:del>
      <w:ins w:id="114" w:author="作者">
        <w:r w:rsidR="006608A5">
          <w:t>are executed</w:t>
        </w:r>
      </w:ins>
      <w:r w:rsidRPr="00C8265F">
        <w:t xml:space="preserve"> instead of the steps 14-19</w:t>
      </w:r>
      <w:ins w:id="115" w:author="作者">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116" w:author="作者">
        <w:r w:rsidR="006608A5">
          <w:t xml:space="preserve"> In step 11,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2pt;height:304.85pt" o:ole="">
            <v:imagedata r:id="rId21" o:title=""/>
            <o:lock v:ext="edit" aspectratio="f"/>
          </v:shape>
          <o:OLEObject Type="Embed" ProgID="Visio.Drawing.15" ShapeID="_x0000_i1029" DrawAspect="Content" ObjectID="_1775655572" r:id="rId22"/>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117" w:author="作者">
        <w:r w:rsidR="009828C3">
          <w:rPr>
            <w:lang w:eastAsia="zh-CN"/>
          </w:rPr>
          <w:t>to</w:t>
        </w:r>
      </w:ins>
      <w:del w:id="118" w:author="作者">
        <w:r w:rsidRPr="00C8265F" w:rsidDel="009828C3">
          <w:rPr>
            <w:lang w:eastAsia="zh-CN"/>
          </w:rPr>
          <w:delText xml:space="preserve"> </w:delText>
        </w:r>
      </w:del>
      <w:r w:rsidRPr="00C8265F">
        <w:rPr>
          <w:lang w:eastAsia="zh-CN"/>
        </w:rPr>
        <w:t>prepare</w:t>
      </w:r>
      <w:del w:id="119" w:author="作者">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20" w:author="作者">
        <w:r w:rsidR="009828C3">
          <w:t xml:space="preserve">the initial execution of subsequent CPAC and </w:t>
        </w:r>
        <w:r w:rsidR="006608A5">
          <w:t xml:space="preserve">execution conditions proposed for </w:t>
        </w:r>
      </w:ins>
      <w:r w:rsidRPr="00C8265F">
        <w:t>the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121" w:author="作者">
        <w:r w:rsidRPr="00C8265F" w:rsidDel="006608A5">
          <w:rPr>
            <w:lang w:eastAsia="zh-CN"/>
          </w:rPr>
          <w:delText xml:space="preserve">of </w:delText>
        </w:r>
      </w:del>
      <w:r w:rsidRPr="00C8265F">
        <w:rPr>
          <w:lang w:eastAsia="zh-CN"/>
        </w:rPr>
        <w:t>that the SCG radio resource configuration</w:t>
      </w:r>
      <w:ins w:id="122" w:author="作者">
        <w:r w:rsidR="00DB57A5">
          <w:rPr>
            <w:lang w:eastAsia="zh-CN"/>
          </w:rPr>
          <w:t xml:space="preserve"> of </w:t>
        </w:r>
        <w:r w:rsidR="009828C3">
          <w:rPr>
            <w:lang w:eastAsia="zh-CN"/>
          </w:rPr>
          <w:t>a</w:t>
        </w:r>
        <w:r w:rsidR="00DB57A5">
          <w:rPr>
            <w:lang w:eastAsia="zh-CN"/>
          </w:rPr>
          <w:t xml:space="preserve"> prepared PSCell</w:t>
        </w:r>
      </w:ins>
      <w:r w:rsidRPr="00C8265F">
        <w:rPr>
          <w:lang w:eastAsia="zh-CN"/>
        </w:rPr>
        <w:t xml:space="preserve"> is a complete </w:t>
      </w:r>
      <w:del w:id="123" w:author="作者">
        <w:r w:rsidRPr="00C8265F" w:rsidDel="00DB57A5">
          <w:rPr>
            <w:lang w:eastAsia="zh-CN"/>
          </w:rPr>
          <w:delText xml:space="preserve">or delta RRC </w:delText>
        </w:r>
      </w:del>
      <w:r w:rsidRPr="00C8265F">
        <w:rPr>
          <w:lang w:eastAsia="zh-CN"/>
        </w:rPr>
        <w:t>configuration</w:t>
      </w:r>
      <w:ins w:id="124" w:author="作者">
        <w:r w:rsidR="006608A5">
          <w:rPr>
            <w:lang w:eastAsia="zh-CN"/>
          </w:rPr>
          <w:t>, i.e. that it is not a delta configuration</w:t>
        </w:r>
      </w:ins>
      <w:r w:rsidRPr="00C8265F">
        <w:rPr>
          <w:lang w:eastAsia="zh-CN"/>
        </w:rPr>
        <w:t xml:space="preserve"> with respect to the reference SCG configuration.</w:t>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125" w:author="作者">
        <w:r w:rsidR="009828C3">
          <w:rPr>
            <w:lang w:eastAsia="zh-CN"/>
          </w:rPr>
          <w:t xml:space="preserve"> for the </w:t>
        </w:r>
        <w:r w:rsidR="006608A5">
          <w:rPr>
            <w:lang w:eastAsia="zh-CN"/>
          </w:rPr>
          <w:t xml:space="preserve">initial execution of </w:t>
        </w:r>
        <w:r w:rsidR="009828C3">
          <w:rPr>
            <w:lang w:eastAsia="zh-CN"/>
          </w:rPr>
          <w:t>subsequent CPAC</w:t>
        </w:r>
        <w:r w:rsidR="006608A5">
          <w:rPr>
            <w:lang w:eastAsia="zh-CN"/>
          </w:rPr>
          <w:t xml:space="preserve"> and execution conditions for the following execution of subsequent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126" w:author="作者">
        <w:r w:rsidRPr="00C8265F" w:rsidDel="009828C3">
          <w:rPr>
            <w:lang w:eastAsia="zh-CN"/>
          </w:rPr>
          <w:delText xml:space="preserve">also includes execution conditions for the following execution of the subsequent CPAC,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127" w:author="作者">
        <w:r w:rsidR="00AA41B6">
          <w:rPr>
            <w:lang w:eastAsia="zh-CN"/>
          </w:rPr>
          <w:t xml:space="preserve"> for the </w:t>
        </w:r>
        <w:r w:rsidR="006608A5">
          <w:rPr>
            <w:lang w:eastAsia="zh-CN"/>
          </w:rPr>
          <w:t xml:space="preserve">initial execution of </w:t>
        </w:r>
        <w:r w:rsidR="00AA41B6">
          <w:rPr>
            <w:lang w:eastAsia="zh-CN"/>
          </w:rPr>
          <w:t>subsequent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128" w:author="作者">
        <w:r w:rsidRPr="00C8265F" w:rsidDel="009828C3">
          <w:delText xml:space="preserve">and when RRC full configuration is not used, </w:delText>
        </w:r>
      </w:del>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129" w:author="作者"/>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ins w:id="130" w:author="作者">
        <w:r w:rsidRPr="00C8265F">
          <w:t>NOTE 1</w:t>
        </w:r>
        <w:r>
          <w:t>4</w:t>
        </w:r>
        <w:r w:rsidRPr="00C8265F">
          <w:t>:</w:t>
        </w:r>
        <w:r w:rsidRPr="00C8265F">
          <w:tab/>
          <w:t xml:space="preserve">The steps </w:t>
        </w:r>
        <w:r>
          <w:t>7</w:t>
        </w:r>
        <w:r w:rsidRPr="00C8265F">
          <w:t>-</w:t>
        </w:r>
        <w:r>
          <w:t>13</w:t>
        </w:r>
        <w:r w:rsidRPr="00C8265F">
          <w:t xml:space="preserve"> can be performed multiple times for the following execution of subsequent CPAC, using the subsequent CPAC configuration provided in step </w:t>
        </w:r>
        <w:r>
          <w:t>4</w:t>
        </w:r>
        <w:r w:rsidRPr="00C8265F">
          <w:t>.</w:t>
        </w:r>
        <w:r w:rsidR="006608A5">
          <w:t xml:space="preserve"> In step 7,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lastRenderedPageBreak/>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5475" w14:textId="77777777" w:rsidR="00EB2FC1" w:rsidRDefault="00EB2FC1">
      <w:r>
        <w:separator/>
      </w:r>
    </w:p>
  </w:endnote>
  <w:endnote w:type="continuationSeparator" w:id="0">
    <w:p w14:paraId="2E25DE54" w14:textId="77777777" w:rsidR="00EB2FC1" w:rsidRDefault="00EB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A5839" w14:textId="77777777" w:rsidR="00EB2FC1" w:rsidRDefault="00EB2FC1">
      <w:r>
        <w:separator/>
      </w:r>
    </w:p>
  </w:footnote>
  <w:footnote w:type="continuationSeparator" w:id="0">
    <w:p w14:paraId="3C92DC48" w14:textId="77777777" w:rsidR="00EB2FC1" w:rsidRDefault="00EB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3EC6" w:rsidRDefault="006E3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3EC6" w:rsidRDefault="006E3EC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3EC6" w:rsidRDefault="006E3E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0F38"/>
    <w:rsid w:val="000C6598"/>
    <w:rsid w:val="000D44B3"/>
    <w:rsid w:val="00101ADF"/>
    <w:rsid w:val="00145D43"/>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1321"/>
    <w:rsid w:val="002C3FAB"/>
    <w:rsid w:val="002C7104"/>
    <w:rsid w:val="002D2AD0"/>
    <w:rsid w:val="002E472E"/>
    <w:rsid w:val="00305409"/>
    <w:rsid w:val="00322B88"/>
    <w:rsid w:val="003609EF"/>
    <w:rsid w:val="0036231A"/>
    <w:rsid w:val="00371846"/>
    <w:rsid w:val="00374DD4"/>
    <w:rsid w:val="003A67BC"/>
    <w:rsid w:val="003E1A36"/>
    <w:rsid w:val="003F13CA"/>
    <w:rsid w:val="00410371"/>
    <w:rsid w:val="004242F1"/>
    <w:rsid w:val="00441E94"/>
    <w:rsid w:val="00470514"/>
    <w:rsid w:val="00492892"/>
    <w:rsid w:val="004A5E82"/>
    <w:rsid w:val="004B75B7"/>
    <w:rsid w:val="004C3F34"/>
    <w:rsid w:val="004E79E7"/>
    <w:rsid w:val="0051580D"/>
    <w:rsid w:val="00543F8E"/>
    <w:rsid w:val="00547111"/>
    <w:rsid w:val="00592D74"/>
    <w:rsid w:val="005D2940"/>
    <w:rsid w:val="005E2C44"/>
    <w:rsid w:val="00621188"/>
    <w:rsid w:val="006257ED"/>
    <w:rsid w:val="00651694"/>
    <w:rsid w:val="00653FA3"/>
    <w:rsid w:val="006608A5"/>
    <w:rsid w:val="00665C47"/>
    <w:rsid w:val="00695808"/>
    <w:rsid w:val="006B46FB"/>
    <w:rsid w:val="006D6DB8"/>
    <w:rsid w:val="006E21FB"/>
    <w:rsid w:val="006E3EC6"/>
    <w:rsid w:val="007176FF"/>
    <w:rsid w:val="00752B8F"/>
    <w:rsid w:val="00754CF1"/>
    <w:rsid w:val="00766B98"/>
    <w:rsid w:val="00773E1A"/>
    <w:rsid w:val="00792342"/>
    <w:rsid w:val="007977A8"/>
    <w:rsid w:val="007B512A"/>
    <w:rsid w:val="007C2097"/>
    <w:rsid w:val="007D6A07"/>
    <w:rsid w:val="007E62BA"/>
    <w:rsid w:val="007F7259"/>
    <w:rsid w:val="008040A8"/>
    <w:rsid w:val="00821BED"/>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18BF"/>
    <w:rsid w:val="00A246B6"/>
    <w:rsid w:val="00A33EF4"/>
    <w:rsid w:val="00A47E70"/>
    <w:rsid w:val="00A50CF0"/>
    <w:rsid w:val="00A7671C"/>
    <w:rsid w:val="00A8329D"/>
    <w:rsid w:val="00A85E4E"/>
    <w:rsid w:val="00A9490A"/>
    <w:rsid w:val="00A975F0"/>
    <w:rsid w:val="00AA2CBC"/>
    <w:rsid w:val="00AA41B6"/>
    <w:rsid w:val="00AC5820"/>
    <w:rsid w:val="00AD0B4F"/>
    <w:rsid w:val="00AD1CD8"/>
    <w:rsid w:val="00AD7FEF"/>
    <w:rsid w:val="00AF5604"/>
    <w:rsid w:val="00B2264D"/>
    <w:rsid w:val="00B258BB"/>
    <w:rsid w:val="00B2652C"/>
    <w:rsid w:val="00B3186E"/>
    <w:rsid w:val="00B42EA1"/>
    <w:rsid w:val="00B45D50"/>
    <w:rsid w:val="00B62150"/>
    <w:rsid w:val="00B6222E"/>
    <w:rsid w:val="00B67B97"/>
    <w:rsid w:val="00B71C80"/>
    <w:rsid w:val="00B835FA"/>
    <w:rsid w:val="00B92CFB"/>
    <w:rsid w:val="00B968C8"/>
    <w:rsid w:val="00BA3EC5"/>
    <w:rsid w:val="00BA51D9"/>
    <w:rsid w:val="00BB5DFC"/>
    <w:rsid w:val="00BD279D"/>
    <w:rsid w:val="00BD6BB8"/>
    <w:rsid w:val="00C66BA2"/>
    <w:rsid w:val="00C758E4"/>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6B34"/>
    <w:rsid w:val="00DE34CF"/>
    <w:rsid w:val="00E07DE3"/>
    <w:rsid w:val="00E13F3D"/>
    <w:rsid w:val="00E15F4F"/>
    <w:rsid w:val="00E1628E"/>
    <w:rsid w:val="00E34898"/>
    <w:rsid w:val="00E57791"/>
    <w:rsid w:val="00E82D85"/>
    <w:rsid w:val="00E937C7"/>
    <w:rsid w:val="00EB09B7"/>
    <w:rsid w:val="00EB2FC1"/>
    <w:rsid w:val="00EE7D7C"/>
    <w:rsid w:val="00F253E4"/>
    <w:rsid w:val="00F25D98"/>
    <w:rsid w:val="00F300FB"/>
    <w:rsid w:val="00F81678"/>
    <w:rsid w:val="00FB6386"/>
    <w:rsid w:val="00FC0B9E"/>
    <w:rsid w:val="00FC4027"/>
    <w:rsid w:val="00FF1B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A4D9-BA20-4908-BDE1-952EC245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8745</Words>
  <Characters>49851</Characters>
  <Application>Microsoft Office Word</Application>
  <DocSecurity>0</DocSecurity>
  <Lines>415</Lines>
  <Paragraphs>116</Paragraphs>
  <ScaleCrop>false</ScaleCrop>
  <Company/>
  <LinksUpToDate>false</LinksUpToDate>
  <CharactersWithSpaces>58480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2024-04-26T08:50:00Z</dcterms:created>
  <dcterms:modified xsi:type="dcterms:W3CDTF">2024-04-26T08:51:00Z</dcterms:modified>
</cp:coreProperties>
</file>