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r>
        <w:rPr>
          <w:sz w:val="22"/>
          <w:szCs w:val="22"/>
        </w:rPr>
        <w:t>Mediatek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 xml:space="preserve">[POST125bis][020][AI/ML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SimSun"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[POST125bis][020][AI/ML PHY] UE side data collection (Mediatek)</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r w:rsidR="00130F7D">
        <w:rPr>
          <w:sz w:val="22"/>
          <w:szCs w:val="22"/>
        </w:rPr>
        <w:t>f</w:t>
      </w:r>
      <w:r w:rsidRPr="00A51E88">
        <w:rPr>
          <w:sz w:val="22"/>
          <w:szCs w:val="22"/>
        </w:rPr>
        <w:t xml:space="preserve">on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uawei, HiSilicon</w:t>
            </w:r>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05720C"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77777777" w:rsidR="0005720C" w:rsidRDefault="0005720C" w:rsidP="00AA27DD">
            <w:pPr>
              <w:rPr>
                <w:rFonts w:ascii="Arial" w:hAnsi="Arial" w:cs="Arial"/>
              </w:rPr>
            </w:pPr>
            <w:bookmarkStart w:id="8" w:name="OLE_LINK14"/>
          </w:p>
        </w:tc>
        <w:tc>
          <w:tcPr>
            <w:tcW w:w="2389" w:type="dxa"/>
            <w:tcBorders>
              <w:top w:val="single" w:sz="4" w:space="0" w:color="auto"/>
              <w:left w:val="single" w:sz="4" w:space="0" w:color="auto"/>
              <w:bottom w:val="single" w:sz="4" w:space="0" w:color="auto"/>
              <w:right w:val="single" w:sz="4" w:space="0" w:color="auto"/>
            </w:tcBorders>
          </w:tcPr>
          <w:p w14:paraId="3058BF40" w14:textId="77777777" w:rsidR="0005720C" w:rsidRDefault="0005720C" w:rsidP="00AA27DD">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57ADCA0C" w14:textId="77777777" w:rsidR="0005720C" w:rsidRDefault="0005720C" w:rsidP="00AA27DD">
            <w:pPr>
              <w:rPr>
                <w:rFonts w:ascii="Arial" w:hAnsi="Arial" w:cs="Arial"/>
              </w:rPr>
            </w:pPr>
          </w:p>
        </w:tc>
      </w:tr>
    </w:tbl>
    <w:p w14:paraId="747045F9" w14:textId="77777777" w:rsidR="00A51E88" w:rsidRDefault="00A51E88" w:rsidP="00A51E88">
      <w:pPr>
        <w:pStyle w:val="Heading1"/>
      </w:pPr>
      <w:r>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27"/>
        <w:gridCol w:w="4389"/>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RAN2 did not study or analyse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5pt;height:165.5pt;mso-width-percent:0;mso-height-percent:0;mso-width-percent:0;mso-height-percent:0" o:ole="">
                  <v:imagedata r:id="rId12" o:title=""/>
                </v:shape>
                <o:OLEObject Type="Embed" ProgID="Visio.Drawing.15" ShapeID="_x0000_i1025" DrawAspect="Content" ObjectID="_1775631403" r:id="rId13"/>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26" type="#_x0000_t75" alt="" style="width:209.5pt;height:169.5pt;mso-width-percent:0;mso-height-percent:0;mso-width-percent:0;mso-height-percent:0" o:ole="">
                  <v:imagedata r:id="rId14" o:title=""/>
                </v:shape>
                <o:OLEObject Type="Embed" ProgID="Visio.Drawing.15" ShapeID="_x0000_i1026" DrawAspect="Content" ObjectID="_1775631404" r:id="rId15"/>
              </w:object>
            </w:r>
          </w:p>
          <w:p w14:paraId="79D1C491" w14:textId="4CF17A0C" w:rsidR="00A51E88" w:rsidRDefault="00A51E88" w:rsidP="00A51E88">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27" type="#_x0000_t75" alt="" style="width:221.5pt;height:154.5pt;mso-width-percent:0;mso-height-percent:0;mso-width-percent:0;mso-height-percent:0" o:ole="">
                  <v:imagedata r:id="rId16" o:title=""/>
                </v:shape>
                <o:OLEObject Type="Embed" ProgID="Visio.Drawing.15" ShapeID="_x0000_i1027" DrawAspect="Content" ObjectID="_1775631405" r:id="rId17"/>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10.5pt;height:160.5pt;mso-width-percent:0;mso-height-percent:0;mso-width-percent:0;mso-height-percent:0" o:ole="">
                  <v:imagedata r:id="rId18" o:title=""/>
                </v:shape>
                <o:OLEObject Type="Embed" ProgID="Visio.Drawing.15" ShapeID="_x0000_i1028" DrawAspect="Content" ObjectID="_1775631406" r:id="rId19"/>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w:t>
      </w:r>
      <w:r w:rsidRPr="00E4537B">
        <w:rPr>
          <w:rFonts w:ascii="Times New Roman" w:hAnsi="Times New Roman"/>
        </w:rPr>
        <w:lastRenderedPageBreak/>
        <w:t>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E65C2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E65C2C">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E65C2C">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0"/>
                          <a:stretch>
                            <a:fillRect/>
                          </a:stretch>
                        </pic:blipFill>
                        <pic:spPr>
                          <a:xfrm>
                            <a:off x="0" y="0"/>
                            <a:ext cx="3939678" cy="792650"/>
                          </a:xfrm>
                          <a:prstGeom prst="rect">
                            <a:avLst/>
                          </a:prstGeom>
                        </pic:spPr>
                      </pic:pic>
                    </a:graphicData>
                  </a:graphic>
                </wp:inline>
              </w:drawing>
            </w:r>
          </w:p>
          <w:p w14:paraId="23986CE9" w14:textId="04C5E608"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tc>
      </w:tr>
      <w:tr w:rsidR="00DF1EC2" w14:paraId="60A5EF04" w14:textId="77777777" w:rsidTr="00E65C2C">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17365E" w14:paraId="4D120A6A" w14:textId="77777777" w:rsidTr="00E65C2C">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568CA1" w14:textId="77777777"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(similar to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w:t>
            </w:r>
            <w:r w:rsidR="0022550C">
              <w:rPr>
                <w:rFonts w:ascii="Times New Roman" w:hAnsi="Times New Roman"/>
                <w:kern w:val="0"/>
              </w:rPr>
              <w:t>server for training data collection for UE-side models</w:t>
            </w:r>
            <w:r w:rsidR="0022550C">
              <w:rPr>
                <w:rFonts w:ascii="Times New Roman" w:hAnsi="Times New Roman"/>
                <w:kern w:val="0"/>
              </w:rPr>
              <w:t xml:space="preserve"> outside the MNO”</w:t>
            </w:r>
            <w:r>
              <w:rPr>
                <w:rFonts w:ascii="Times New Roman" w:hAnsi="Times New Roman"/>
                <w:kern w:val="0"/>
              </w:rPr>
              <w:t>.</w:t>
            </w:r>
          </w:p>
        </w:tc>
      </w:tr>
      <w:tr w:rsidR="0017365E" w14:paraId="686348EC" w14:textId="77777777" w:rsidTr="00E65C2C">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253B20BA" w14:textId="62F521F8" w:rsidR="0017365E" w:rsidRDefault="0017365E" w:rsidP="0017365E">
            <w:pPr>
              <w:rPr>
                <w:rFonts w:ascii="Times New Roman" w:hAnsi="Times New Roman"/>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lastRenderedPageBreak/>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72943D9E" w:rsidR="00E4537B" w:rsidRDefault="009F6014" w:rsidP="00E4537B">
      <w:pPr>
        <w:pStyle w:val="BodyText"/>
        <w:spacing w:before="120"/>
        <w:rPr>
          <w:rFonts w:ascii="Times New Roman" w:hAnsi="Times New Roman"/>
        </w:rPr>
      </w:pPr>
      <w:bookmarkStart w:id="24"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25" w:name="OLE_LINK103"/>
            <w:bookmarkEnd w:id="24"/>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26" w:name="OLE_LINK104"/>
            <w:r w:rsidRPr="0033507D">
              <w:rPr>
                <w:rFonts w:ascii="Times New Roman" w:hAnsi="Times New Roman"/>
                <w:kern w:val="0"/>
                <w:sz w:val="20"/>
                <w:szCs w:val="20"/>
              </w:rPr>
              <w:t>Inside/outside MNO’s network</w:t>
            </w:r>
            <w:bookmarkEnd w:id="26"/>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27" w:name="OLE_LINK110"/>
      <w:bookmarkEnd w:id="25"/>
      <w:r w:rsidRPr="0033507D">
        <w:rPr>
          <w:rFonts w:ascii="Times New Roman" w:hAnsi="Times New Roman"/>
          <w:b/>
          <w:bCs/>
        </w:rPr>
        <w:t xml:space="preserve">Q2.1: </w:t>
      </w:r>
      <w:bookmarkStart w:id="28"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28"/>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29" w:name="OLE_LINK112"/>
            <w:bookmarkEnd w:id="2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DF1EC2" w:rsidP="00DF1EC2">
            <w:pPr>
              <w:jc w:val="center"/>
            </w:pPr>
            <w:r>
              <w:rPr>
                <w:noProof/>
              </w:rPr>
              <w:object w:dxaOrig="7920" w:dyaOrig="1290" w14:anchorId="3E5E7E64">
                <v:shape id="_x0000_i1029" type="#_x0000_t75" style="width:322.5pt;height:52.5pt" o:ole="">
                  <v:imagedata r:id="rId21" o:title=""/>
                </v:shape>
                <o:OLEObject Type="Embed" ProgID="PBrush" ShapeID="_x0000_i1029" DrawAspect="Content" ObjectID="_1775631407" r:id="rId22"/>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NOTE 5: Interactions at reference point R8 are beyond the scope of 3GPP standardisation.</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30" w:name="OLE_LINK113"/>
            <w:bookmarkEnd w:id="29"/>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he wording could be improved, i.e. suggest to use outside-MNO server.</w:t>
            </w:r>
          </w:p>
        </w:tc>
      </w:tr>
    </w:tbl>
    <w:p w14:paraId="3477BF57" w14:textId="77F36459" w:rsidR="009F6014" w:rsidRPr="0033507D" w:rsidRDefault="009F6014" w:rsidP="009F6014">
      <w:pPr>
        <w:pStyle w:val="BodyText"/>
        <w:spacing w:before="120"/>
        <w:rPr>
          <w:rFonts w:ascii="Times New Roman" w:hAnsi="Times New Roman"/>
          <w:b/>
          <w:bCs/>
        </w:rPr>
      </w:pPr>
      <w:r w:rsidRPr="0033507D">
        <w:rPr>
          <w:rFonts w:ascii="Times New Roman" w:hAnsi="Times New Roman"/>
          <w:b/>
          <w:bCs/>
        </w:rPr>
        <w:t xml:space="preserve">Q2.2: </w:t>
      </w:r>
      <w:bookmarkStart w:id="31"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31"/>
    </w:p>
    <w:tbl>
      <w:tblPr>
        <w:tblStyle w:val="TableGrid"/>
        <w:tblW w:w="0" w:type="auto"/>
        <w:tblLook w:val="04A0" w:firstRow="1" w:lastRow="0" w:firstColumn="1" w:lastColumn="0" w:noHBand="0" w:noVBand="1"/>
      </w:tblPr>
      <w:tblGrid>
        <w:gridCol w:w="1838"/>
        <w:gridCol w:w="7178"/>
      </w:tblGrid>
      <w:tr w:rsidR="009F6014" w14:paraId="28233A44" w14:textId="77777777" w:rsidTr="00DD28D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32" w:name="OLE_LINK114"/>
            <w:bookmarkEnd w:id="30"/>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DD28DA">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lastRenderedPageBreak/>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DD28DA">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4858DD3F" w14:textId="77777777" w:rsidR="00CD1349" w:rsidRPr="00CD1349" w:rsidRDefault="00CD1349" w:rsidP="00CD1349">
            <w:pPr>
              <w:rPr>
                <w:rFonts w:ascii="Times New Roman" w:hAnsi="Times New Roman"/>
                <w:kern w:val="0"/>
              </w:rPr>
            </w:pPr>
          </w:p>
          <w:p w14:paraId="7C926449" w14:textId="104100A0" w:rsidR="000542E0" w:rsidRPr="00CD1349"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tc>
      </w:tr>
      <w:tr w:rsidR="004315C8" w14:paraId="2245B41D" w14:textId="77777777" w:rsidTr="00DD28DA">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DD28DA">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DD28DA">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DD28DA">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33" w:name="OLE_LINK121"/>
            <w:bookmarkEnd w:id="32"/>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5FC3CC6E" w:rsidR="008A6ADB" w:rsidRDefault="008A6ADB" w:rsidP="00DD28DA">
            <w:pPr>
              <w:rPr>
                <w:rFonts w:ascii="Times New Roman" w:hAnsi="Times New Roman"/>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27929720" w14:textId="5D36BF67" w:rsidR="008A6ADB" w:rsidRDefault="008A6ADB" w:rsidP="00DD28DA">
            <w:pPr>
              <w:rPr>
                <w:rFonts w:ascii="Times New Roman" w:hAnsi="Times New Roman"/>
                <w:kern w:val="0"/>
              </w:rPr>
            </w:pPr>
            <w:r>
              <w:rPr>
                <w:rFonts w:ascii="Times New Roman" w:hAnsi="Times New Roman" w:hint="eastAsia"/>
                <w:kern w:val="0"/>
              </w:rPr>
              <w:lastRenderedPageBreak/>
              <w:t>S</w:t>
            </w:r>
            <w:r>
              <w:rPr>
                <w:rFonts w:ascii="Times New Roman" w:hAnsi="Times New Roman"/>
                <w:kern w:val="0"/>
              </w:rPr>
              <w:t xml:space="preserve">econdly, </w:t>
            </w:r>
            <w:r w:rsidR="00C246D4">
              <w:rPr>
                <w:rFonts w:ascii="Times New Roman" w:hAnsi="Times New Roman"/>
                <w:kern w:val="0"/>
              </w:rPr>
              <w:t>we suggest to clarify</w:t>
            </w:r>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1B62A56F" w14:textId="5C1F5615" w:rsidR="00AD7229" w:rsidRPr="00C246D4"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suggest to clarify the following: if the training data (from UE side) is transferred to a UE-side server inside MNO, does it mean that MNO can directly use the data for training purpose</w:t>
            </w:r>
            <w:r w:rsidR="00AB3F28">
              <w:rPr>
                <w:rFonts w:ascii="Times New Roman" w:hAnsi="Times New Roman"/>
                <w:kern w:val="0"/>
              </w:rPr>
              <w:t>?</w:t>
            </w:r>
          </w:p>
        </w:tc>
      </w:tr>
    </w:tbl>
    <w:p w14:paraId="3E7CAE3F" w14:textId="1F109C0F" w:rsidR="00C46DA8" w:rsidRDefault="0061471E" w:rsidP="00C46DA8">
      <w:pPr>
        <w:pStyle w:val="Heading2"/>
        <w:jc w:val="both"/>
        <w:rPr>
          <w:rFonts w:eastAsiaTheme="minorEastAsia"/>
          <w:lang w:eastAsia="zh-TW"/>
        </w:rPr>
      </w:pPr>
      <w:r>
        <w:rPr>
          <w:rFonts w:eastAsiaTheme="minorEastAsia"/>
          <w:lang w:eastAsia="zh-TW"/>
        </w:rPr>
        <w:lastRenderedPageBreak/>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34" w:name="OLE_LINK33"/>
      <w:bookmarkStart w:id="35" w:name="OLE_LINK32"/>
      <w:bookmarkStart w:id="36" w:name="OLE_LINK91"/>
      <w:bookmarkEnd w:id="33"/>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34"/>
    <w:bookmarkEnd w:id="35"/>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37" w:name="OLE_LINK35"/>
      <w:r w:rsidR="00D4685A">
        <w:rPr>
          <w:rFonts w:ascii="Times New Roman" w:hAnsi="Times New Roman"/>
        </w:rPr>
        <w:t xml:space="preserve">termination </w:t>
      </w:r>
      <w:bookmarkEnd w:id="37"/>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38"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39" w:name="OLE_LINK116"/>
            <w:bookmarkEnd w:id="38"/>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E42CE47" w14:textId="4D12E1B4" w:rsidR="00861739" w:rsidRDefault="00861739" w:rsidP="008A6ADB">
            <w:pPr>
              <w:rPr>
                <w:rFonts w:ascii="Times New Roman" w:hAnsi="Times New Roman"/>
                <w:kern w:val="0"/>
              </w:rPr>
            </w:pPr>
            <w:r>
              <w:rPr>
                <w:rFonts w:ascii="Times New Roman" w:hAnsi="Times New Roman"/>
                <w:kern w:val="0"/>
              </w:rP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2F9CA7FE" w14:textId="036F8F2F" w:rsidR="0076656C" w:rsidRPr="001856C8" w:rsidRDefault="0076656C" w:rsidP="0076656C">
      <w:pPr>
        <w:pStyle w:val="BodyText"/>
        <w:spacing w:before="120"/>
        <w:rPr>
          <w:rFonts w:ascii="Times New Roman" w:hAnsi="Times New Roman"/>
          <w:b/>
          <w:bCs/>
        </w:rPr>
      </w:pPr>
      <w:bookmarkStart w:id="40" w:name="OLE_LINK117"/>
      <w:bookmarkEnd w:id="39"/>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41" w:name="OLE_LINK118"/>
            <w:bookmarkEnd w:id="40"/>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 xml:space="preserve">We do not consider “outside” the MNO as an option for that reason, we propose to </w:t>
            </w:r>
            <w:r>
              <w:rPr>
                <w:rFonts w:ascii="Times New Roman" w:hAnsi="Times New Roman"/>
                <w:kern w:val="0"/>
              </w:rPr>
              <w:lastRenderedPageBreak/>
              <w:t>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3"/>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w:t>
            </w:r>
            <w:r>
              <w:rPr>
                <w:rFonts w:ascii="Times New Roman" w:hAnsi="Times New Roman"/>
                <w:kern w:val="0"/>
              </w:rPr>
              <w:t>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r>
              <w:rPr>
                <w:rFonts w:ascii="Times New Roman" w:hAnsi="Times New Roman"/>
                <w:kern w:val="0"/>
              </w:rPr>
              <w:t>Yes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terminology “termination entity” is a bit confusing. As we asked in Q1, whether there is one UE server or more than one UE server should be clarified.</w:t>
            </w:r>
          </w:p>
        </w:tc>
      </w:tr>
    </w:tbl>
    <w:p w14:paraId="6F415D10" w14:textId="527C8125" w:rsidR="0076656C" w:rsidRPr="001856C8" w:rsidRDefault="0076656C" w:rsidP="0076656C">
      <w:pPr>
        <w:pStyle w:val="BodyText"/>
        <w:spacing w:before="120"/>
        <w:rPr>
          <w:rFonts w:ascii="Times New Roman" w:hAnsi="Times New Roman"/>
          <w:b/>
          <w:bCs/>
        </w:rPr>
      </w:pPr>
      <w:bookmarkStart w:id="42" w:name="OLE_LINK119"/>
      <w:bookmarkEnd w:id="41"/>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43" w:name="OLE_LINK120"/>
            <w:bookmarkEnd w:id="4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4"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bl>
    <w:bookmarkEnd w:id="43"/>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44"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bl>
    <w:bookmarkEnd w:id="44"/>
    <w:p w14:paraId="79D4FF5D" w14:textId="7A80C05A" w:rsidR="0076656C" w:rsidRPr="0076656C" w:rsidRDefault="0076656C" w:rsidP="0076656C">
      <w:pPr>
        <w:pStyle w:val="Heading2"/>
        <w:jc w:val="both"/>
        <w:rPr>
          <w:rFonts w:eastAsia="PMingLiU"/>
          <w:lang w:eastAsia="zh-TW"/>
        </w:rPr>
      </w:pPr>
      <w:r>
        <w:rPr>
          <w:rFonts w:eastAsiaTheme="minorEastAsia"/>
          <w:lang w:eastAsia="zh-TW"/>
        </w:rPr>
        <w:lastRenderedPageBreak/>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45" w:name="OLE_LINK41"/>
      <w:bookmarkStart w:id="46"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bookmarkEnd w:id="45"/>
    <w:p w14:paraId="0977CAA5" w14:textId="1E07FB03"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w:t>
      </w:r>
      <w:r w:rsidR="008D0DEB">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00946EE4">
        <w:rPr>
          <w:rFonts w:ascii="Times New Roman" w:hAnsi="Times New Roman"/>
        </w:rPr>
        <w:t xml:space="preserve"> to the server for UE-side data collection</w:t>
      </w:r>
      <w:r w:rsidRPr="00DE241F">
        <w:rPr>
          <w:rFonts w:ascii="Times New Roman" w:hAnsi="Times New Roman"/>
        </w:rPr>
        <w:t>.</w:t>
      </w:r>
    </w:p>
    <w:p w14:paraId="53A5BF9B" w14:textId="7DBCF764"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p w14:paraId="18B488D5" w14:textId="21C0375D"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sidR="008D0DEB">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bookmarkEnd w:id="46"/>
    <w:p w14:paraId="51772675" w14:textId="22D84D4A" w:rsidR="001B5AF4" w:rsidRDefault="001B5AF4" w:rsidP="001B5AF4">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r w:rsidR="00946EE4">
        <w:rPr>
          <w:rFonts w:ascii="Times New Roman" w:hAnsi="Times New Roman"/>
        </w:rPr>
        <w:t>transfer</w:t>
      </w:r>
      <w:r>
        <w:rPr>
          <w:rFonts w:ascii="Times New Roman" w:hAnsi="Times New Roman"/>
        </w:rPr>
        <w:t>.</w:t>
      </w:r>
    </w:p>
    <w:p w14:paraId="20EA1DE3" w14:textId="77777777" w:rsidR="009F5433" w:rsidRDefault="009F5433" w:rsidP="00DE241F">
      <w:pPr>
        <w:pStyle w:val="BodyText"/>
        <w:spacing w:before="120"/>
        <w:rPr>
          <w:rFonts w:ascii="Times New Roman" w:hAnsi="Times New Roman"/>
        </w:rPr>
      </w:pPr>
      <w:bookmarkStart w:id="47" w:name="OLE_LINK39"/>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47"/>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48"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48"/>
    </w:p>
    <w:tbl>
      <w:tblPr>
        <w:tblStyle w:val="TableGrid"/>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uggest to remove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BodyText"/>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5A54948B" w14:textId="54406E29" w:rsidR="00DC114C" w:rsidRPr="00DC114C" w:rsidRDefault="00DC114C" w:rsidP="00DC114C">
            <w:pPr>
              <w:pStyle w:val="ListParagraph"/>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high level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t>F</w:t>
            </w:r>
            <w:r>
              <w:rPr>
                <w:rFonts w:ascii="Times New Roman" w:hAnsi="Times New Roman"/>
                <w:kern w:val="0"/>
              </w:rPr>
              <w:t>or dimension discussions, we think the scope should be: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st bullet and 4th bullet should be about the capability of the MNO, so we suggest to merge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So we think the discussion here is also relevant to section 2.5. </w:t>
            </w:r>
            <w:r w:rsidR="003F6542" w:rsidRPr="003F6542">
              <w:rPr>
                <w:rFonts w:ascii="Times New Roman" w:hAnsi="Times New Roman"/>
                <w:b/>
                <w:kern w:val="0"/>
              </w:rPr>
              <w:t>Our suggetion is:</w:t>
            </w:r>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r w:rsidRPr="008067B1">
              <w:rPr>
                <w:rFonts w:ascii="Times New Roman" w:hAnsi="Times New Roman"/>
                <w:b/>
                <w:kern w:val="0"/>
              </w:rPr>
              <w:t>So we prefer to not list both bullets here.</w:t>
            </w:r>
            <w:r>
              <w:rPr>
                <w:rFonts w:ascii="Times New Roman" w:hAnsi="Times New Roman"/>
                <w:kern w:val="0"/>
              </w:rPr>
              <w:t xml:space="preserve"> If needed, we could address them later.</w:t>
            </w:r>
          </w:p>
        </w:tc>
      </w:tr>
    </w:tbl>
    <w:p w14:paraId="4209F50C" w14:textId="77777777" w:rsidR="009F5433" w:rsidRPr="002C35B6" w:rsidRDefault="009F5433" w:rsidP="00DE241F">
      <w:pPr>
        <w:pStyle w:val="BodyText"/>
        <w:spacing w:before="120"/>
        <w:rPr>
          <w:rFonts w:ascii="Times New Roman" w:hAnsi="Times New Roman"/>
        </w:rPr>
      </w:pPr>
    </w:p>
    <w:p w14:paraId="56DD973B" w14:textId="1B06689A" w:rsidR="00DE241F" w:rsidRDefault="008D0DEB" w:rsidP="009F6014">
      <w:pPr>
        <w:pStyle w:val="BodyText"/>
        <w:spacing w:before="120"/>
        <w:rPr>
          <w:rFonts w:ascii="Times New Roman" w:hAnsi="Times New Roman"/>
        </w:rPr>
      </w:pPr>
      <w:bookmarkStart w:id="49"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50" w:name="OLE_LINK127"/>
      <w:bookmarkEnd w:id="49"/>
      <w:r w:rsidRPr="001856C8">
        <w:rPr>
          <w:rFonts w:ascii="Times New Roman" w:hAnsi="Times New Roman" w:hint="eastAsia"/>
          <w:b/>
          <w:bCs/>
        </w:rPr>
        <w:lastRenderedPageBreak/>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51" w:name="OLE_LINK42"/>
      <w:bookmarkStart w:id="52"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53"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53"/>
      <w:r w:rsidR="00CA77E6">
        <w:rPr>
          <w:rFonts w:ascii="Times New Roman" w:hAnsi="Times New Roman"/>
          <w:b/>
          <w:bCs/>
        </w:rPr>
        <w:t xml:space="preserve"> </w:t>
      </w:r>
      <w:bookmarkEnd w:id="51"/>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54" w:name="OLE_LINK129"/>
            <w:bookmarkEnd w:id="50"/>
            <w:bookmarkEnd w:id="52"/>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w:t>
            </w:r>
            <w:r w:rsidR="00B37499">
              <w:rPr>
                <w:rFonts w:ascii="Times New Roman" w:hAnsi="Times New Roman"/>
                <w:kern w:val="0"/>
              </w:rPr>
              <w:t xml:space="preserve">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r>
              <w:rPr>
                <w:rFonts w:ascii="Times New Roman" w:hAnsi="Times New Roman"/>
                <w:kern w:val="0"/>
              </w:rPr>
              <w:t xml:space="preserve">So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26E7D865"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olution 1a) cna work without specific controllability.</w:t>
            </w:r>
          </w:p>
        </w:tc>
      </w:tr>
    </w:tbl>
    <w:bookmarkEnd w:id="54"/>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55"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56" w:name="OLE_LINK133"/>
      <w:bookmarkEnd w:id="55"/>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57" w:name="OLE_LINK135"/>
            <w:bookmarkEnd w:id="56"/>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lastRenderedPageBreak/>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r w:rsidR="004A141C">
              <w:rPr>
                <w:rFonts w:ascii="Times New Roman" w:hAnsi="Times New Roman"/>
                <w:kern w:val="0"/>
              </w:rPr>
              <w:t xml:space="preserve">in </w:t>
            </w:r>
            <w:r>
              <w:rPr>
                <w:rFonts w:ascii="Times New Roman" w:hAnsi="Times New Roman"/>
                <w:kern w:val="0"/>
              </w:rPr>
              <w:t xml:space="preserve"> Q4.1</w:t>
            </w:r>
            <w:r w:rsidR="004A141C">
              <w:rPr>
                <w:rFonts w:ascii="Times New Roman" w:hAnsi="Times New Roman"/>
                <w:kern w:val="0"/>
              </w:rPr>
              <w:t>.</w:t>
            </w:r>
          </w:p>
        </w:tc>
      </w:tr>
    </w:tbl>
    <w:p w14:paraId="191B14A1" w14:textId="77777777" w:rsidR="009C0CAD" w:rsidRPr="002C35B6" w:rsidRDefault="008D0DEB" w:rsidP="002C35B6">
      <w:pPr>
        <w:pStyle w:val="BodyText"/>
        <w:spacing w:before="120"/>
        <w:rPr>
          <w:rFonts w:ascii="Times New Roman" w:hAnsi="Times New Roman"/>
        </w:rPr>
      </w:pPr>
      <w:bookmarkStart w:id="58" w:name="OLE_LINK132"/>
      <w:bookmarkStart w:id="59" w:name="OLE_LINK136"/>
      <w:bookmarkEnd w:id="57"/>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lastRenderedPageBreak/>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58"/>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60" w:name="OLE_LINK137"/>
      <w:bookmarkEnd w:id="59"/>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61"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62" w:name="OLE_LINK138"/>
            <w:bookmarkEnd w:id="60"/>
            <w:bookmarkEnd w:id="6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2F66D217" w14:textId="75CB8345" w:rsidR="001D060F" w:rsidRPr="00770CAD"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Related to whether to use NAS or RRC signalling,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w:t>
            </w:r>
            <w:r>
              <w:rPr>
                <w:rFonts w:ascii="Times New Roman" w:hAnsi="Times New Roman"/>
                <w:kern w:val="0"/>
              </w:rPr>
              <w:lastRenderedPageBreak/>
              <w:t xml:space="preserve">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to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discussion of controllability is inseparable from discussion of visiblity of data content.</w:t>
            </w:r>
          </w:p>
        </w:tc>
      </w:tr>
    </w:tbl>
    <w:bookmarkEnd w:id="62"/>
    <w:p w14:paraId="1B194B5B" w14:textId="4590744B" w:rsidR="008A04CB" w:rsidRDefault="008A04CB" w:rsidP="008A04CB">
      <w:pPr>
        <w:pStyle w:val="BodyText"/>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21A0B19E"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r w:rsidRPr="00CA77E6">
        <w:rPr>
          <w:rFonts w:ascii="Times New Roman" w:hAnsi="Times New Roman"/>
          <w:b/>
          <w:bCs/>
        </w:rPr>
        <w:t xml:space="preserve">, and with the ability to directly </w:t>
      </w:r>
      <w:r w:rsidR="00BD4A7D" w:rsidRPr="00CA77E6">
        <w:rPr>
          <w:rFonts w:ascii="Times New Roman" w:hAnsi="Times New Roman"/>
          <w:b/>
          <w:bCs/>
        </w:rPr>
        <w:t>manage</w:t>
      </w:r>
      <w:r w:rsidRPr="00CA77E6">
        <w:rPr>
          <w:rFonts w:ascii="Times New Roman" w:hAnsi="Times New Roman"/>
          <w:b/>
          <w:bCs/>
        </w:rPr>
        <w:t xml:space="preserve"> the data collection procedure?</w:t>
      </w:r>
    </w:p>
    <w:tbl>
      <w:tblPr>
        <w:tblStyle w:val="TableGrid"/>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63"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F607A37" w14:textId="3E70E221" w:rsidR="002264E3" w:rsidRDefault="002264E3" w:rsidP="008A6ADB">
            <w:pPr>
              <w:rPr>
                <w:rFonts w:ascii="Times New Roman" w:hAnsi="Times New Roman"/>
                <w:kern w:val="0"/>
              </w:rPr>
            </w:pPr>
            <w:r>
              <w:rPr>
                <w:rFonts w:ascii="Times New Roman" w:hAnsi="Times New Roman"/>
                <w:kern w:val="0"/>
              </w:rPr>
              <w:t xml:space="preserve">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w:t>
            </w:r>
            <w:r>
              <w:rPr>
                <w:rFonts w:ascii="Times New Roman" w:hAnsi="Times New Roman"/>
                <w:kern w:val="0"/>
              </w:rPr>
              <w:lastRenderedPageBreak/>
              <w:t>level.</w:t>
            </w:r>
            <w:r>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r>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to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visiblity of data content.</w:t>
            </w:r>
          </w:p>
        </w:tc>
      </w:tr>
    </w:tbl>
    <w:p w14:paraId="687A4F0C" w14:textId="6CED42BC" w:rsidR="008A04CB" w:rsidRPr="008A04CB" w:rsidRDefault="008A04CB" w:rsidP="008A04CB">
      <w:pPr>
        <w:pStyle w:val="Heading2"/>
        <w:jc w:val="both"/>
        <w:rPr>
          <w:rFonts w:eastAsiaTheme="minorEastAsia"/>
          <w:lang w:eastAsia="zh-TW"/>
        </w:rPr>
      </w:pPr>
      <w:bookmarkStart w:id="64" w:name="OLE_LINK150"/>
      <w:bookmarkEnd w:id="63"/>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65" w:name="OLE_LINK143"/>
      <w:bookmarkEnd w:id="64"/>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66"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66"/>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w:t>
            </w:r>
            <w:r>
              <w:rPr>
                <w:rFonts w:ascii="Times New Roman" w:hAnsi="Times New Roman"/>
                <w:kern w:val="0"/>
              </w:rPr>
              <w:lastRenderedPageBreak/>
              <w:t xml:space="preserve">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visiblity of data content means each data to be collected should be standardized in relevant signalling level. It means that MNO should be able to see from the collected data what has been collected from UEs/users.</w:t>
            </w: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65"/>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67"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67"/>
    </w:p>
    <w:p w14:paraId="1AB1DE5A" w14:textId="799876B1"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r w:rsidR="00074FF2">
        <w:rPr>
          <w:rFonts w:ascii="Times New Roman" w:hAnsi="Times New Roman"/>
        </w:rPr>
        <w:t xml:space="preserve"> if needed</w:t>
      </w:r>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lastRenderedPageBreak/>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68"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69" w:name="OLE_LINK147"/>
            <w:bookmarkEnd w:id="6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the boundary between partial visiblity and full visibility is unclear.</w:t>
            </w:r>
          </w:p>
          <w:p w14:paraId="07A809C3" w14:textId="29BBCA78" w:rsidR="005603FA" w:rsidRDefault="00DE1BD7" w:rsidP="00B54189">
            <w:pPr>
              <w:rPr>
                <w:rFonts w:ascii="Times New Roman" w:hAnsi="Times New Roman"/>
                <w:kern w:val="0"/>
                <w:sz w:val="20"/>
                <w:szCs w:val="20"/>
              </w:rPr>
            </w:pPr>
            <w:r w:rsidRPr="00DE1BD7">
              <w:rPr>
                <w:rFonts w:ascii="Times New Roman" w:hAnsi="Times New Roman"/>
                <w:b/>
                <w:kern w:val="0"/>
                <w:sz w:val="20"/>
                <w:szCs w:val="20"/>
              </w:rPr>
              <w:t>So we suggest to remove "if needed".</w:t>
            </w:r>
          </w:p>
        </w:tc>
      </w:tr>
    </w:tbl>
    <w:p w14:paraId="6DBBC54F" w14:textId="48B8D1BD" w:rsidR="00AE31A4" w:rsidRPr="006A2E03" w:rsidRDefault="00AE31A4" w:rsidP="00AE31A4">
      <w:pPr>
        <w:pStyle w:val="BodyText"/>
        <w:spacing w:before="120"/>
        <w:rPr>
          <w:rFonts w:ascii="Times New Roman" w:hAnsi="Times New Roman"/>
          <w:b/>
          <w:bCs/>
        </w:rPr>
      </w:pPr>
      <w:bookmarkStart w:id="70" w:name="OLE_LINK148"/>
      <w:bookmarkEnd w:id="69"/>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71" w:name="OLE_LINK149"/>
            <w:bookmarkEnd w:id="7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A641D42" w14:textId="5E95DBF4"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916982C" w14:textId="63D799DF" w:rsidR="00B874CC" w:rsidRDefault="00B874CC" w:rsidP="00B874CC">
            <w:pPr>
              <w:rPr>
                <w:rFonts w:ascii="Times New Roman" w:hAnsi="Times New Roman"/>
                <w:kern w:val="0"/>
              </w:rPr>
            </w:pPr>
            <w:r>
              <w:rPr>
                <w:rFonts w:ascii="Times New Roman" w:hAnsi="Times New Roman"/>
                <w:kern w:val="0"/>
              </w:rPr>
              <w:t xml:space="preserve">No. We consider UE-side data collector is inside the MNO network. Consequently, </w:t>
            </w:r>
            <w:r>
              <w:rPr>
                <w:rFonts w:ascii="Times New Roman" w:hAnsi="Times New Roman"/>
                <w:kern w:val="0"/>
              </w:rPr>
              <w:lastRenderedPageBreak/>
              <w:t>MNO has full visibility</w:t>
            </w: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bl>
    <w:bookmarkEnd w:id="71"/>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7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lastRenderedPageBreak/>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57AFCB2" w14:textId="12157681"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bl>
    <w:bookmarkEnd w:id="72"/>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73"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74" w:name="OLE_LINK154"/>
      <w:bookmarkEnd w:id="73"/>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75" w:name="OLE_LINK159"/>
            <w:bookmarkEnd w:id="7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25E170E9" w14:textId="117A9895" w:rsidR="002B0D82" w:rsidRPr="002B0D82" w:rsidRDefault="009C3F32" w:rsidP="009F6014">
      <w:pPr>
        <w:pStyle w:val="BodyText"/>
        <w:spacing w:before="120"/>
        <w:rPr>
          <w:rFonts w:ascii="Times New Roman" w:hAnsi="Times New Roman"/>
        </w:rPr>
      </w:pPr>
      <w:bookmarkStart w:id="76" w:name="OLE_LINK156"/>
      <w:bookmarkStart w:id="77" w:name="OLE_LINK160"/>
      <w:bookmarkEnd w:id="75"/>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76"/>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78" w:name="OLE_LINK161"/>
      <w:bookmarkEnd w:id="77"/>
      <w:r w:rsidRPr="006A2E03">
        <w:rPr>
          <w:rFonts w:ascii="Times New Roman" w:hAnsi="Times New Roman"/>
          <w:b/>
          <w:bCs/>
        </w:rPr>
        <w:lastRenderedPageBreak/>
        <w:t xml:space="preserve">Q6.2: </w:t>
      </w:r>
      <w:bookmarkStart w:id="79"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79"/>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bl>
    <w:bookmarkEnd w:id="78"/>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80"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81"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82" w:name="OLE_LINK12"/>
            <w:bookmarkEnd w:id="80"/>
            <w:bookmarkEnd w:id="81"/>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bookmarkEnd w:id="82"/>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w:t>
            </w:r>
            <w:r>
              <w:rPr>
                <w:rFonts w:ascii="Times New Roman" w:hAnsi="Times New Roman"/>
                <w:kern w:val="0"/>
              </w:rPr>
              <w:lastRenderedPageBreak/>
              <w:t xml:space="preserve">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337790"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77777777" w:rsidR="00337790" w:rsidRDefault="00337790" w:rsidP="00337790">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A30B37D" w14:textId="77777777" w:rsidR="00337790" w:rsidRDefault="00337790" w:rsidP="00337790">
            <w:pPr>
              <w:rPr>
                <w:rFonts w:ascii="Times New Roman" w:hAnsi="Times New Roman"/>
                <w:kern w:val="0"/>
              </w:rPr>
            </w:pP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83" w:name="OLE_LINK1"/>
      <w:bookmarkStart w:id="84" w:name="OLE_LINK387"/>
      <w:bookmarkStart w:id="85" w:name="OLE_LINK379"/>
      <w:bookmarkStart w:id="86" w:name="OLE_LINK351"/>
      <w:bookmarkEnd w:id="36"/>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lastRenderedPageBreak/>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87"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88" w:name="OLE_LINK6"/>
      <w:r>
        <w:rPr>
          <w:rFonts w:ascii="Times New Roman" w:hAnsi="Times New Roman"/>
        </w:rPr>
        <w:t>study</w:t>
      </w:r>
      <w:r w:rsidR="00DD439C" w:rsidRPr="00DD439C">
        <w:rPr>
          <w:rFonts w:ascii="Times New Roman" w:hAnsi="Times New Roman"/>
        </w:rPr>
        <w:t xml:space="preserve">. </w:t>
      </w:r>
    </w:p>
    <w:bookmarkEnd w:id="87"/>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w:t>
            </w:r>
            <w:r w:rsidRPr="000B59FB">
              <w:rPr>
                <w:rFonts w:ascii="Times New Roman" w:hAnsi="Times New Roman"/>
              </w:rPr>
              <w:lastRenderedPageBreak/>
              <w:t xml:space="preserve">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It is important also to stress that i</w:t>
            </w:r>
            <w:r>
              <w:rPr>
                <w:rFonts w:ascii="Times New Roman" w:hAnsi="Times New Roman"/>
                <w:kern w:val="0"/>
              </w:rPr>
              <w:t xml:space="preserve">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a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w:t>
            </w:r>
            <w:r>
              <w:rPr>
                <w:rFonts w:ascii="Times New Roman" w:hAnsi="Times New Roman"/>
                <w:kern w:val="0"/>
              </w:rPr>
              <w:lastRenderedPageBreak/>
              <w:t xml:space="preserve">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as we commented in section 2.4 and 2.5, this solution can not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5D31C6">
          <w:pgSz w:w="11906" w:h="16838"/>
          <w:pgMar w:top="1440" w:right="1440" w:bottom="1440" w:left="1440" w:header="720" w:footer="720" w:gutter="0"/>
          <w:cols w:space="720"/>
          <w:docGrid w:type="lines" w:linePitch="312"/>
        </w:sectPr>
      </w:pPr>
    </w:p>
    <w:bookmarkEnd w:id="83"/>
    <w:bookmarkEnd w:id="84"/>
    <w:bookmarkEnd w:id="88"/>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89" w:name="_Hlk164374534"/>
            <w:bookmarkStart w:id="90" w:name="_Hlk164375983"/>
            <w:bookmarkStart w:id="91"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92" w:name="OLE_LINK85"/>
            <w:r w:rsidRPr="0089636B">
              <w:rPr>
                <w:rFonts w:ascii="Times New Roman" w:hAnsi="Times New Roman" w:cs="Times New Roman"/>
                <w:b/>
                <w:bCs/>
                <w:sz w:val="16"/>
                <w:szCs w:val="16"/>
                <w:lang w:val="en-GB"/>
              </w:rPr>
              <w:t>Termination Entity</w:t>
            </w:r>
            <w:bookmarkEnd w:id="92"/>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93" w:name="OLE_LINK367"/>
            <w:r w:rsidRPr="0089636B">
              <w:rPr>
                <w:rFonts w:ascii="Times New Roman" w:hAnsi="Times New Roman" w:cs="Times New Roman"/>
                <w:sz w:val="16"/>
                <w:szCs w:val="16"/>
                <w:lang w:val="en-GB"/>
              </w:rPr>
              <w:t>UE-side OTT server</w:t>
            </w:r>
            <w:bookmarkEnd w:id="93"/>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89"/>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94" w:name="OLE_LINK87"/>
            <w:bookmarkEnd w:id="90"/>
            <w:r w:rsidRPr="0089636B">
              <w:rPr>
                <w:rFonts w:ascii="Times New Roman" w:hAnsi="Times New Roman" w:cs="Times New Roman"/>
                <w:b/>
                <w:bCs/>
                <w:kern w:val="0"/>
                <w:sz w:val="16"/>
                <w:szCs w:val="16"/>
                <w:lang w:val="en-GB"/>
              </w:rPr>
              <w:t>Transport Tunnel</w:t>
            </w:r>
            <w:bookmarkEnd w:id="94"/>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95"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95"/>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96"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96"/>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97" w:name="OLE_LINK86"/>
            <w:r w:rsidRPr="0089636B">
              <w:rPr>
                <w:rFonts w:ascii="Times New Roman" w:hAnsi="Times New Roman" w:cs="Times New Roman"/>
                <w:b/>
                <w:bCs/>
                <w:kern w:val="0"/>
                <w:sz w:val="16"/>
                <w:szCs w:val="16"/>
                <w:lang w:val="en-GB"/>
              </w:rPr>
              <w:t>Protocol layer for data transfer</w:t>
            </w:r>
            <w:bookmarkEnd w:id="97"/>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98" w:name="OLE_LINK384"/>
            <w:r w:rsidR="00610B1E" w:rsidRPr="0089636B">
              <w:rPr>
                <w:rFonts w:ascii="Times New Roman" w:hAnsi="Times New Roman" w:cs="Times New Roman"/>
                <w:kern w:val="0"/>
                <w:sz w:val="16"/>
                <w:szCs w:val="16"/>
                <w:lang w:val="en-GB"/>
              </w:rPr>
              <w:t>(FFS: transport layer of UP tunnel)</w:t>
            </w:r>
            <w:bookmarkEnd w:id="98"/>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99"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99"/>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SimSun" w:hAnsi="Times New Roman" w:cs="Times New Roman"/>
                <w:b/>
                <w:bCs/>
                <w:kern w:val="0"/>
                <w:sz w:val="16"/>
                <w:szCs w:val="16"/>
              </w:rPr>
            </w:pPr>
            <w:r w:rsidRPr="0089636B">
              <w:rPr>
                <w:rFonts w:ascii="Times New Roman" w:eastAsia="SimSun"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100" w:name="OLE_LINK386"/>
            <w:r w:rsidRPr="0089636B">
              <w:rPr>
                <w:rFonts w:ascii="Times New Roman" w:hAnsi="Times New Roman" w:cs="Times New Roman"/>
                <w:sz w:val="16"/>
                <w:szCs w:val="16"/>
                <w:lang w:val="en-GB"/>
              </w:rPr>
              <w:t>Standardized/non-standardized</w:t>
            </w:r>
            <w:bookmarkEnd w:id="100"/>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SimSun"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101" w:name="OLE_LINK378"/>
            <w:r w:rsidRPr="0089636B">
              <w:rPr>
                <w:rFonts w:ascii="Times New Roman" w:hAnsi="Times New Roman" w:cs="Times New Roman"/>
                <w:sz w:val="16"/>
                <w:szCs w:val="16"/>
                <w:lang w:val="en-GB"/>
              </w:rPr>
              <w:t xml:space="preserve">Yes, </w:t>
            </w:r>
            <w:bookmarkStart w:id="102" w:name="OLE_LINK370"/>
            <w:r w:rsidRPr="0089636B">
              <w:rPr>
                <w:rFonts w:ascii="Times New Roman" w:hAnsi="Times New Roman" w:cs="Times New Roman"/>
                <w:sz w:val="16"/>
                <w:szCs w:val="16"/>
                <w:lang w:val="en-GB"/>
              </w:rPr>
              <w:t xml:space="preserve">if the data content is standardized </w:t>
            </w:r>
            <w:bookmarkEnd w:id="102"/>
            <w:r w:rsidR="0051711C" w:rsidRPr="0089636B">
              <w:rPr>
                <w:rFonts w:ascii="Times New Roman" w:hAnsi="Times New Roman" w:cs="Times New Roman"/>
                <w:sz w:val="16"/>
                <w:szCs w:val="16"/>
                <w:lang w:val="en-GB"/>
              </w:rPr>
              <w:t xml:space="preserve">or disclosed to MNO. </w:t>
            </w:r>
            <w:bookmarkEnd w:id="101"/>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SimSun" w:hAnsi="Times New Roman" w:cs="Times New Roman"/>
                <w:b/>
                <w:bCs/>
                <w:kern w:val="0"/>
                <w:sz w:val="16"/>
                <w:szCs w:val="16"/>
              </w:rPr>
            </w:pPr>
            <w:bookmarkStart w:id="103" w:name="OLE_LINK372"/>
            <w:r w:rsidRPr="0089636B">
              <w:rPr>
                <w:rFonts w:ascii="Times New Roman" w:eastAsia="SimSun" w:hAnsi="Times New Roman" w:cs="Times New Roman"/>
                <w:b/>
                <w:bCs/>
                <w:kern w:val="0"/>
                <w:sz w:val="16"/>
                <w:szCs w:val="16"/>
              </w:rPr>
              <w:t>RAN configuration/condition</w:t>
            </w:r>
            <w:bookmarkEnd w:id="103"/>
            <w:r w:rsidRPr="0089636B">
              <w:rPr>
                <w:rFonts w:ascii="Times New Roman" w:eastAsia="SimSun"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104"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104"/>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105" w:name="OLE_LINK385"/>
            <w:r w:rsidRPr="0089636B">
              <w:rPr>
                <w:rFonts w:ascii="Times New Roman" w:hAnsi="Times New Roman" w:cs="Times New Roman"/>
                <w:sz w:val="16"/>
                <w:szCs w:val="16"/>
              </w:rPr>
              <w:t>Controlled by MNO</w:t>
            </w:r>
            <w:bookmarkEnd w:id="105"/>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106" w:name="OLE_LINK375"/>
            <w:r w:rsidRPr="0089636B">
              <w:rPr>
                <w:rFonts w:ascii="Times New Roman" w:hAnsi="Times New Roman" w:cs="Times New Roman"/>
                <w:sz w:val="16"/>
                <w:szCs w:val="16"/>
                <w:lang w:val="en-GB"/>
              </w:rPr>
              <w:t>Minimum, NW can enforce security and privacy protection.</w:t>
            </w:r>
            <w:bookmarkEnd w:id="106"/>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91"/>
    </w:tbl>
    <w:p w14:paraId="779C60DF" w14:textId="1EC82E3C" w:rsidR="00445DE2" w:rsidRDefault="00445DE2" w:rsidP="005A295E">
      <w:pPr>
        <w:spacing w:before="120" w:after="120"/>
        <w:rPr>
          <w:rFonts w:ascii="Times New Roman" w:hAnsi="Times New Roman"/>
          <w:sz w:val="20"/>
          <w:szCs w:val="20"/>
          <w:lang w:val="en-GB"/>
        </w:rPr>
        <w:sectPr w:rsidR="00445DE2" w:rsidSect="005D31C6">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107" w:name="OLE_LINK325"/>
      <w:bookmarkEnd w:id="18"/>
      <w:bookmarkEnd w:id="85"/>
      <w:bookmarkEnd w:id="86"/>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108" w:name="OLE_LINK48"/>
      <w:bookmarkEnd w:id="107"/>
    </w:p>
    <w:bookmarkEnd w:id="108"/>
    <w:p w14:paraId="259CEA68" w14:textId="5A23DA3E" w:rsidR="00DB40CB" w:rsidRDefault="00DB40CB" w:rsidP="00DB40CB">
      <w:pPr>
        <w:pStyle w:val="Heading1"/>
      </w:pPr>
      <w:r>
        <w:t>5 Reference</w:t>
      </w:r>
    </w:p>
    <w:p w14:paraId="1A2C38FA" w14:textId="19D2AEEA" w:rsidR="00356CD9"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5"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9D4DD3"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5D31C6">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54D0" w14:textId="77777777" w:rsidR="00E360A6" w:rsidRDefault="00E360A6" w:rsidP="00B5491F">
      <w:r>
        <w:separator/>
      </w:r>
    </w:p>
  </w:endnote>
  <w:endnote w:type="continuationSeparator" w:id="0">
    <w:p w14:paraId="34811FF5" w14:textId="77777777" w:rsidR="00E360A6" w:rsidRDefault="00E360A6"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1D22" w14:textId="77777777" w:rsidR="00E360A6" w:rsidRDefault="00E360A6" w:rsidP="00B5491F">
      <w:r>
        <w:separator/>
      </w:r>
    </w:p>
  </w:footnote>
  <w:footnote w:type="continuationSeparator" w:id="0">
    <w:p w14:paraId="7E576441" w14:textId="77777777" w:rsidR="00E360A6" w:rsidRDefault="00E360A6"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5"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527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1557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41947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5854404">
    <w:abstractNumId w:val="28"/>
  </w:num>
  <w:num w:numId="5" w16cid:durableId="1773429187">
    <w:abstractNumId w:val="13"/>
  </w:num>
  <w:num w:numId="6" w16cid:durableId="329599916">
    <w:abstractNumId w:val="10"/>
  </w:num>
  <w:num w:numId="7" w16cid:durableId="1508248461">
    <w:abstractNumId w:val="28"/>
  </w:num>
  <w:num w:numId="8" w16cid:durableId="8218972">
    <w:abstractNumId w:val="22"/>
  </w:num>
  <w:num w:numId="9" w16cid:durableId="1959801703">
    <w:abstractNumId w:val="9"/>
  </w:num>
  <w:num w:numId="10" w16cid:durableId="386999912">
    <w:abstractNumId w:val="14"/>
  </w:num>
  <w:num w:numId="11" w16cid:durableId="1830632810">
    <w:abstractNumId w:val="11"/>
  </w:num>
  <w:num w:numId="12" w16cid:durableId="1971789463">
    <w:abstractNumId w:val="17"/>
  </w:num>
  <w:num w:numId="13" w16cid:durableId="23020136">
    <w:abstractNumId w:val="12"/>
  </w:num>
  <w:num w:numId="14" w16cid:durableId="1937976826">
    <w:abstractNumId w:val="21"/>
  </w:num>
  <w:num w:numId="15" w16cid:durableId="852648861">
    <w:abstractNumId w:val="2"/>
  </w:num>
  <w:num w:numId="16" w16cid:durableId="331227923">
    <w:abstractNumId w:val="6"/>
  </w:num>
  <w:num w:numId="17" w16cid:durableId="1120075837">
    <w:abstractNumId w:val="16"/>
  </w:num>
  <w:num w:numId="18" w16cid:durableId="333185324">
    <w:abstractNumId w:val="19"/>
  </w:num>
  <w:num w:numId="19" w16cid:durableId="1055087193">
    <w:abstractNumId w:val="23"/>
  </w:num>
  <w:num w:numId="20" w16cid:durableId="313602600">
    <w:abstractNumId w:val="7"/>
  </w:num>
  <w:num w:numId="21" w16cid:durableId="1662083437">
    <w:abstractNumId w:val="7"/>
  </w:num>
  <w:num w:numId="22" w16cid:durableId="1198160775">
    <w:abstractNumId w:val="1"/>
  </w:num>
  <w:num w:numId="23" w16cid:durableId="971986089">
    <w:abstractNumId w:val="11"/>
  </w:num>
  <w:num w:numId="24" w16cid:durableId="1940478297">
    <w:abstractNumId w:val="18"/>
  </w:num>
  <w:num w:numId="25" w16cid:durableId="1722945547">
    <w:abstractNumId w:val="8"/>
  </w:num>
  <w:num w:numId="26" w16cid:durableId="445541820">
    <w:abstractNumId w:val="26"/>
  </w:num>
  <w:num w:numId="27" w16cid:durableId="670835670">
    <w:abstractNumId w:val="15"/>
  </w:num>
  <w:num w:numId="28" w16cid:durableId="625426503">
    <w:abstractNumId w:val="4"/>
  </w:num>
  <w:num w:numId="29" w16cid:durableId="1718772265">
    <w:abstractNumId w:val="27"/>
  </w:num>
  <w:num w:numId="30" w16cid:durableId="869925050">
    <w:abstractNumId w:val="30"/>
  </w:num>
  <w:num w:numId="31" w16cid:durableId="993416318">
    <w:abstractNumId w:val="3"/>
  </w:num>
  <w:num w:numId="32" w16cid:durableId="366031672">
    <w:abstractNumId w:val="29"/>
  </w:num>
  <w:num w:numId="33" w16cid:durableId="634019724">
    <w:abstractNumId w:val="5"/>
  </w:num>
  <w:num w:numId="34" w16cid:durableId="169249264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179F4"/>
    <w:rsid w:val="0003259C"/>
    <w:rsid w:val="00033A8F"/>
    <w:rsid w:val="00036D0A"/>
    <w:rsid w:val="00037687"/>
    <w:rsid w:val="00044855"/>
    <w:rsid w:val="00051C90"/>
    <w:rsid w:val="000542E0"/>
    <w:rsid w:val="0005720C"/>
    <w:rsid w:val="00062974"/>
    <w:rsid w:val="0006318D"/>
    <w:rsid w:val="00063C2D"/>
    <w:rsid w:val="00066140"/>
    <w:rsid w:val="00070A5A"/>
    <w:rsid w:val="000729AC"/>
    <w:rsid w:val="00074FF2"/>
    <w:rsid w:val="00077F67"/>
    <w:rsid w:val="00083C8E"/>
    <w:rsid w:val="00086CCA"/>
    <w:rsid w:val="00093F5D"/>
    <w:rsid w:val="00096A5F"/>
    <w:rsid w:val="000A0415"/>
    <w:rsid w:val="000B2A6F"/>
    <w:rsid w:val="000B380F"/>
    <w:rsid w:val="000B59FB"/>
    <w:rsid w:val="000B5AA3"/>
    <w:rsid w:val="000C5900"/>
    <w:rsid w:val="000D27A7"/>
    <w:rsid w:val="000D47D3"/>
    <w:rsid w:val="000E7BAB"/>
    <w:rsid w:val="000F61C1"/>
    <w:rsid w:val="001044A6"/>
    <w:rsid w:val="001058F5"/>
    <w:rsid w:val="00105CF9"/>
    <w:rsid w:val="00106100"/>
    <w:rsid w:val="001103DA"/>
    <w:rsid w:val="0011442B"/>
    <w:rsid w:val="00116242"/>
    <w:rsid w:val="00130F7D"/>
    <w:rsid w:val="001319EA"/>
    <w:rsid w:val="00132EE2"/>
    <w:rsid w:val="00140AD7"/>
    <w:rsid w:val="00142801"/>
    <w:rsid w:val="001470DB"/>
    <w:rsid w:val="00151B89"/>
    <w:rsid w:val="0017365E"/>
    <w:rsid w:val="00176C7A"/>
    <w:rsid w:val="001856C8"/>
    <w:rsid w:val="0019376B"/>
    <w:rsid w:val="00197117"/>
    <w:rsid w:val="001B0BF2"/>
    <w:rsid w:val="001B4065"/>
    <w:rsid w:val="001B5AF4"/>
    <w:rsid w:val="001D060F"/>
    <w:rsid w:val="001D51F6"/>
    <w:rsid w:val="001D7A5D"/>
    <w:rsid w:val="00201A04"/>
    <w:rsid w:val="00202B8C"/>
    <w:rsid w:val="002109BA"/>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405B"/>
    <w:rsid w:val="002974F0"/>
    <w:rsid w:val="002A056C"/>
    <w:rsid w:val="002A2C9B"/>
    <w:rsid w:val="002A2D93"/>
    <w:rsid w:val="002A35EE"/>
    <w:rsid w:val="002A674B"/>
    <w:rsid w:val="002A7A6E"/>
    <w:rsid w:val="002B0D82"/>
    <w:rsid w:val="002B1319"/>
    <w:rsid w:val="002B5F75"/>
    <w:rsid w:val="002C1931"/>
    <w:rsid w:val="002C35B6"/>
    <w:rsid w:val="002C64E7"/>
    <w:rsid w:val="002D77CD"/>
    <w:rsid w:val="002E099F"/>
    <w:rsid w:val="002E7564"/>
    <w:rsid w:val="002F1C80"/>
    <w:rsid w:val="002F5DEB"/>
    <w:rsid w:val="002F6EA0"/>
    <w:rsid w:val="003139BD"/>
    <w:rsid w:val="00315D8B"/>
    <w:rsid w:val="0032465C"/>
    <w:rsid w:val="0032772D"/>
    <w:rsid w:val="00327CA3"/>
    <w:rsid w:val="0033507D"/>
    <w:rsid w:val="00336A24"/>
    <w:rsid w:val="00337790"/>
    <w:rsid w:val="00342B95"/>
    <w:rsid w:val="00352599"/>
    <w:rsid w:val="00352B79"/>
    <w:rsid w:val="00356CD9"/>
    <w:rsid w:val="00362A92"/>
    <w:rsid w:val="003639A1"/>
    <w:rsid w:val="00365AB6"/>
    <w:rsid w:val="00372415"/>
    <w:rsid w:val="00383DA0"/>
    <w:rsid w:val="0039477F"/>
    <w:rsid w:val="003A286F"/>
    <w:rsid w:val="003A42EB"/>
    <w:rsid w:val="003A6944"/>
    <w:rsid w:val="003B4295"/>
    <w:rsid w:val="003B637D"/>
    <w:rsid w:val="003B67B0"/>
    <w:rsid w:val="003C4A88"/>
    <w:rsid w:val="003D35BB"/>
    <w:rsid w:val="003D4920"/>
    <w:rsid w:val="003E4811"/>
    <w:rsid w:val="003F2FA5"/>
    <w:rsid w:val="003F4C10"/>
    <w:rsid w:val="003F4E68"/>
    <w:rsid w:val="003F6542"/>
    <w:rsid w:val="00400C9F"/>
    <w:rsid w:val="0040249D"/>
    <w:rsid w:val="004024A1"/>
    <w:rsid w:val="00415D21"/>
    <w:rsid w:val="00423795"/>
    <w:rsid w:val="004248C4"/>
    <w:rsid w:val="00425248"/>
    <w:rsid w:val="004315C8"/>
    <w:rsid w:val="00435F15"/>
    <w:rsid w:val="0044248A"/>
    <w:rsid w:val="0044318A"/>
    <w:rsid w:val="00445DE2"/>
    <w:rsid w:val="00454710"/>
    <w:rsid w:val="004619F4"/>
    <w:rsid w:val="00461CE7"/>
    <w:rsid w:val="004628F5"/>
    <w:rsid w:val="00463CB7"/>
    <w:rsid w:val="004658E0"/>
    <w:rsid w:val="00465B87"/>
    <w:rsid w:val="004733CB"/>
    <w:rsid w:val="00476424"/>
    <w:rsid w:val="00476FE2"/>
    <w:rsid w:val="00477C55"/>
    <w:rsid w:val="00483628"/>
    <w:rsid w:val="00497B48"/>
    <w:rsid w:val="004A141C"/>
    <w:rsid w:val="004A4A1A"/>
    <w:rsid w:val="004C1E23"/>
    <w:rsid w:val="004C4E49"/>
    <w:rsid w:val="00516F61"/>
    <w:rsid w:val="0051711C"/>
    <w:rsid w:val="00524806"/>
    <w:rsid w:val="00534506"/>
    <w:rsid w:val="005345EE"/>
    <w:rsid w:val="00542B22"/>
    <w:rsid w:val="00544EB2"/>
    <w:rsid w:val="0055599C"/>
    <w:rsid w:val="005603FA"/>
    <w:rsid w:val="00560B17"/>
    <w:rsid w:val="00586037"/>
    <w:rsid w:val="00586932"/>
    <w:rsid w:val="0059649D"/>
    <w:rsid w:val="005A1CEE"/>
    <w:rsid w:val="005A295E"/>
    <w:rsid w:val="005A4090"/>
    <w:rsid w:val="005B05F4"/>
    <w:rsid w:val="005B1B18"/>
    <w:rsid w:val="005B20DE"/>
    <w:rsid w:val="005C229C"/>
    <w:rsid w:val="005D31C6"/>
    <w:rsid w:val="005E3310"/>
    <w:rsid w:val="005E44A6"/>
    <w:rsid w:val="005E50DA"/>
    <w:rsid w:val="005F003F"/>
    <w:rsid w:val="005F7606"/>
    <w:rsid w:val="00601564"/>
    <w:rsid w:val="00601A33"/>
    <w:rsid w:val="006066AA"/>
    <w:rsid w:val="006077E2"/>
    <w:rsid w:val="0061025C"/>
    <w:rsid w:val="00610B1E"/>
    <w:rsid w:val="00610C2F"/>
    <w:rsid w:val="0061471E"/>
    <w:rsid w:val="00623171"/>
    <w:rsid w:val="006255C4"/>
    <w:rsid w:val="0063483E"/>
    <w:rsid w:val="0063544F"/>
    <w:rsid w:val="00646CBC"/>
    <w:rsid w:val="00674C3E"/>
    <w:rsid w:val="00695A6C"/>
    <w:rsid w:val="0069706D"/>
    <w:rsid w:val="006A2E03"/>
    <w:rsid w:val="006B2961"/>
    <w:rsid w:val="006B58E1"/>
    <w:rsid w:val="006B6163"/>
    <w:rsid w:val="006B695A"/>
    <w:rsid w:val="006E2A95"/>
    <w:rsid w:val="006E409F"/>
    <w:rsid w:val="006E736C"/>
    <w:rsid w:val="006E7FE8"/>
    <w:rsid w:val="006F549C"/>
    <w:rsid w:val="00702F17"/>
    <w:rsid w:val="00717B82"/>
    <w:rsid w:val="00723F4B"/>
    <w:rsid w:val="00732005"/>
    <w:rsid w:val="00734DC2"/>
    <w:rsid w:val="00736AEE"/>
    <w:rsid w:val="00742A78"/>
    <w:rsid w:val="007572C7"/>
    <w:rsid w:val="0076656C"/>
    <w:rsid w:val="00770CAD"/>
    <w:rsid w:val="00772018"/>
    <w:rsid w:val="00773CDF"/>
    <w:rsid w:val="00780E35"/>
    <w:rsid w:val="0078220D"/>
    <w:rsid w:val="00783ED8"/>
    <w:rsid w:val="00783F03"/>
    <w:rsid w:val="00785507"/>
    <w:rsid w:val="00795AAA"/>
    <w:rsid w:val="007A1170"/>
    <w:rsid w:val="007A7E53"/>
    <w:rsid w:val="007B3B90"/>
    <w:rsid w:val="007C5F22"/>
    <w:rsid w:val="007D0F18"/>
    <w:rsid w:val="007D379F"/>
    <w:rsid w:val="007D4CEF"/>
    <w:rsid w:val="007D5F78"/>
    <w:rsid w:val="007F04D5"/>
    <w:rsid w:val="008067B1"/>
    <w:rsid w:val="0081503A"/>
    <w:rsid w:val="00815691"/>
    <w:rsid w:val="0083013E"/>
    <w:rsid w:val="00833268"/>
    <w:rsid w:val="0085419F"/>
    <w:rsid w:val="00861083"/>
    <w:rsid w:val="00861739"/>
    <w:rsid w:val="00865092"/>
    <w:rsid w:val="00873066"/>
    <w:rsid w:val="008847EB"/>
    <w:rsid w:val="00885640"/>
    <w:rsid w:val="0089213A"/>
    <w:rsid w:val="0089636B"/>
    <w:rsid w:val="008A04CB"/>
    <w:rsid w:val="008A6ADB"/>
    <w:rsid w:val="008B2097"/>
    <w:rsid w:val="008D0DEB"/>
    <w:rsid w:val="008E114E"/>
    <w:rsid w:val="008E20D8"/>
    <w:rsid w:val="008E25CF"/>
    <w:rsid w:val="008E3413"/>
    <w:rsid w:val="008F5B1E"/>
    <w:rsid w:val="008F76D2"/>
    <w:rsid w:val="0090228C"/>
    <w:rsid w:val="00920288"/>
    <w:rsid w:val="00920E13"/>
    <w:rsid w:val="009333CF"/>
    <w:rsid w:val="00946EE4"/>
    <w:rsid w:val="00947A09"/>
    <w:rsid w:val="00952F82"/>
    <w:rsid w:val="00957FD9"/>
    <w:rsid w:val="00966419"/>
    <w:rsid w:val="00970DD4"/>
    <w:rsid w:val="00973988"/>
    <w:rsid w:val="009826B2"/>
    <w:rsid w:val="009844BB"/>
    <w:rsid w:val="00985C5B"/>
    <w:rsid w:val="009878AD"/>
    <w:rsid w:val="009A1968"/>
    <w:rsid w:val="009B0B18"/>
    <w:rsid w:val="009B1AB8"/>
    <w:rsid w:val="009B53D8"/>
    <w:rsid w:val="009B7653"/>
    <w:rsid w:val="009C0CAD"/>
    <w:rsid w:val="009C3F32"/>
    <w:rsid w:val="009D4DD3"/>
    <w:rsid w:val="009E0C4C"/>
    <w:rsid w:val="009E1A03"/>
    <w:rsid w:val="009F1D6E"/>
    <w:rsid w:val="009F5433"/>
    <w:rsid w:val="009F6014"/>
    <w:rsid w:val="00A04392"/>
    <w:rsid w:val="00A0765E"/>
    <w:rsid w:val="00A1002A"/>
    <w:rsid w:val="00A1163A"/>
    <w:rsid w:val="00A13D32"/>
    <w:rsid w:val="00A2270A"/>
    <w:rsid w:val="00A33F0C"/>
    <w:rsid w:val="00A34DE9"/>
    <w:rsid w:val="00A5021D"/>
    <w:rsid w:val="00A51E88"/>
    <w:rsid w:val="00A53465"/>
    <w:rsid w:val="00A6585D"/>
    <w:rsid w:val="00A66E55"/>
    <w:rsid w:val="00A766F5"/>
    <w:rsid w:val="00A77D89"/>
    <w:rsid w:val="00A80AD8"/>
    <w:rsid w:val="00A8335E"/>
    <w:rsid w:val="00A83A4E"/>
    <w:rsid w:val="00A84E0A"/>
    <w:rsid w:val="00A85E7D"/>
    <w:rsid w:val="00A86028"/>
    <w:rsid w:val="00A943FD"/>
    <w:rsid w:val="00AA27DD"/>
    <w:rsid w:val="00AB2E15"/>
    <w:rsid w:val="00AB3F28"/>
    <w:rsid w:val="00AD2E65"/>
    <w:rsid w:val="00AD7229"/>
    <w:rsid w:val="00AD7665"/>
    <w:rsid w:val="00AE2A4C"/>
    <w:rsid w:val="00AE31A4"/>
    <w:rsid w:val="00AE6710"/>
    <w:rsid w:val="00B01A64"/>
    <w:rsid w:val="00B01D7A"/>
    <w:rsid w:val="00B05A24"/>
    <w:rsid w:val="00B27AE7"/>
    <w:rsid w:val="00B37499"/>
    <w:rsid w:val="00B4164B"/>
    <w:rsid w:val="00B4616A"/>
    <w:rsid w:val="00B522B7"/>
    <w:rsid w:val="00B54189"/>
    <w:rsid w:val="00B5491F"/>
    <w:rsid w:val="00B5515D"/>
    <w:rsid w:val="00B72E07"/>
    <w:rsid w:val="00B7486E"/>
    <w:rsid w:val="00B818F2"/>
    <w:rsid w:val="00B829EC"/>
    <w:rsid w:val="00B874CC"/>
    <w:rsid w:val="00B90829"/>
    <w:rsid w:val="00B9493E"/>
    <w:rsid w:val="00BA5113"/>
    <w:rsid w:val="00BC376F"/>
    <w:rsid w:val="00BC5A0B"/>
    <w:rsid w:val="00BD4A7D"/>
    <w:rsid w:val="00BD6769"/>
    <w:rsid w:val="00BF5BC2"/>
    <w:rsid w:val="00C102C4"/>
    <w:rsid w:val="00C1048B"/>
    <w:rsid w:val="00C15228"/>
    <w:rsid w:val="00C2169B"/>
    <w:rsid w:val="00C23BE3"/>
    <w:rsid w:val="00C246D4"/>
    <w:rsid w:val="00C30596"/>
    <w:rsid w:val="00C36968"/>
    <w:rsid w:val="00C421BB"/>
    <w:rsid w:val="00C46DA8"/>
    <w:rsid w:val="00C47F37"/>
    <w:rsid w:val="00C52A35"/>
    <w:rsid w:val="00C66A09"/>
    <w:rsid w:val="00C70640"/>
    <w:rsid w:val="00C70EF7"/>
    <w:rsid w:val="00C72950"/>
    <w:rsid w:val="00C96E90"/>
    <w:rsid w:val="00CA1775"/>
    <w:rsid w:val="00CA411D"/>
    <w:rsid w:val="00CA4AC2"/>
    <w:rsid w:val="00CA4D76"/>
    <w:rsid w:val="00CA77E6"/>
    <w:rsid w:val="00CB0143"/>
    <w:rsid w:val="00CC07C6"/>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30C8C"/>
    <w:rsid w:val="00D33B41"/>
    <w:rsid w:val="00D34BA7"/>
    <w:rsid w:val="00D3739C"/>
    <w:rsid w:val="00D40E59"/>
    <w:rsid w:val="00D4685A"/>
    <w:rsid w:val="00D518AD"/>
    <w:rsid w:val="00D57263"/>
    <w:rsid w:val="00D604CC"/>
    <w:rsid w:val="00D728F9"/>
    <w:rsid w:val="00D938B4"/>
    <w:rsid w:val="00D946CD"/>
    <w:rsid w:val="00DA1C81"/>
    <w:rsid w:val="00DA520C"/>
    <w:rsid w:val="00DA73E3"/>
    <w:rsid w:val="00DB16F2"/>
    <w:rsid w:val="00DB40CB"/>
    <w:rsid w:val="00DB66C0"/>
    <w:rsid w:val="00DC114C"/>
    <w:rsid w:val="00DD01B7"/>
    <w:rsid w:val="00DD28DA"/>
    <w:rsid w:val="00DD41EB"/>
    <w:rsid w:val="00DD439C"/>
    <w:rsid w:val="00DE1BD7"/>
    <w:rsid w:val="00DE241F"/>
    <w:rsid w:val="00DE36F6"/>
    <w:rsid w:val="00DE6BD6"/>
    <w:rsid w:val="00DF1EC2"/>
    <w:rsid w:val="00DF273A"/>
    <w:rsid w:val="00DF72D7"/>
    <w:rsid w:val="00E004D7"/>
    <w:rsid w:val="00E01C57"/>
    <w:rsid w:val="00E27C1F"/>
    <w:rsid w:val="00E31C44"/>
    <w:rsid w:val="00E360A6"/>
    <w:rsid w:val="00E374E6"/>
    <w:rsid w:val="00E4537B"/>
    <w:rsid w:val="00E5396C"/>
    <w:rsid w:val="00E55400"/>
    <w:rsid w:val="00E65C2C"/>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4129"/>
    <w:rsid w:val="00EC6561"/>
    <w:rsid w:val="00EE07C3"/>
    <w:rsid w:val="00EE19C3"/>
    <w:rsid w:val="00EF055C"/>
    <w:rsid w:val="00F107D8"/>
    <w:rsid w:val="00F17EE7"/>
    <w:rsid w:val="00F21754"/>
    <w:rsid w:val="00F25ED8"/>
    <w:rsid w:val="00F30F96"/>
    <w:rsid w:val="00F3106D"/>
    <w:rsid w:val="00F3640D"/>
    <w:rsid w:val="00F51A9E"/>
    <w:rsid w:val="00F60F0B"/>
    <w:rsid w:val="00F63ED5"/>
    <w:rsid w:val="00F72526"/>
    <w:rsid w:val="00F85BC8"/>
    <w:rsid w:val="00F92EF1"/>
    <w:rsid w:val="00F94172"/>
    <w:rsid w:val="00FA5B85"/>
    <w:rsid w:val="00FC3B06"/>
    <w:rsid w:val="00FC70F4"/>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73EA81"/>
  <w15:chartTrackingRefBased/>
  <w15:docId w15:val="{0007AE25-2931-4CEB-9CC7-79A39FA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B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SimSun"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SimSun"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SimSun"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SimSun"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SimSun"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semiHidden/>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yperlink" Target="file:///C:\Users\panidx\OneDrive%20-%20InterDigital%20Communications,%20Inc\Documents\3GPP%20RAN\TSGR2_125bis\Docs\R2-2402364.zip" TargetMode="External"/><Relationship Id="rId39" Type="http://schemas.openxmlformats.org/officeDocument/2006/relationships/hyperlink" Target="file:///C:\Users\panidx\OneDrive%20-%20InterDigital%20Communications,%20Inc\Documents\3GPP%20RAN\TSGR2_125bis\Docs\R2-2402375.zip" TargetMode="External"/><Relationship Id="rId21" Type="http://schemas.openxmlformats.org/officeDocument/2006/relationships/image" Target="media/image6.png"/><Relationship Id="rId34" Type="http://schemas.openxmlformats.org/officeDocument/2006/relationships/hyperlink" Target="file:///C:\Users\panidx\OneDrive%20-%20InterDigital%20Communications,%20Inc\Documents\3GPP%20RAN\TSGR2_125bis\Docs\R2-2403567.zip" TargetMode="External"/><Relationship Id="rId42" Type="http://schemas.openxmlformats.org/officeDocument/2006/relationships/hyperlink" Target="file:///C:\Users\panidx\OneDrive%20-%20InterDigital%20Communications,%20Inc\Documents\3GPP%20RAN\TSGR2_125bis\Docs\R2-2402669.zip" TargetMode="External"/><Relationship Id="rId47" Type="http://schemas.openxmlformats.org/officeDocument/2006/relationships/hyperlink" Target="file:///C:\Users\panidx\OneDrive%20-%20InterDigital%20Communications,%20Inc\Documents\3GPP%20RAN\TSGR2_125bis\Docs\R2-2403163.zip" TargetMode="External"/><Relationship Id="rId50" Type="http://schemas.openxmlformats.org/officeDocument/2006/relationships/hyperlink" Target="file:///C:\Users\panidx\OneDrive%20-%20InterDigital%20Communications,%20Inc\Documents\3GPP%20RAN\TSGR2_125bis\Docs\R2-240357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C:\Users\panidx\OneDrive%20-%20InterDigital%20Communications,%20Inc\Documents\3GPP%20RAN\TSGR2_125bis\Docs\R2-2403378.zip" TargetMode="External"/><Relationship Id="rId11" Type="http://schemas.openxmlformats.org/officeDocument/2006/relationships/endnotes" Target="endnotes.xml"/><Relationship Id="rId24" Type="http://schemas.openxmlformats.org/officeDocument/2006/relationships/hyperlink" Target="file:///C:\Users\panidx\OneDrive%20-%20InterDigital%20Communications,%20Inc\Documents\3GPP%20RAN\TSGR2_125bis\Docs\R2-2403492.zip" TargetMode="External"/><Relationship Id="rId32" Type="http://schemas.openxmlformats.org/officeDocument/2006/relationships/hyperlink" Target="file:///C:\Users\panidx\OneDrive%20-%20InterDigital%20Communications,%20Inc\Documents\3GPP%20RAN\TSGR2_125bis\Docs\R2-2402375.zip" TargetMode="External"/><Relationship Id="rId37" Type="http://schemas.openxmlformats.org/officeDocument/2006/relationships/hyperlink" Target="file:///C:\Users\panidx\OneDrive%20-%20InterDigital%20Communications,%20Inc\Documents\3GPP%20RAN\TSGR2_125bis\Docs\R2-2402316.zip" TargetMode="External"/><Relationship Id="rId40" Type="http://schemas.openxmlformats.org/officeDocument/2006/relationships/hyperlink" Target="file:///C:\Users\panidx\OneDrive%20-%20InterDigital%20Communications,%20Inc\Documents\3GPP%20RAN\TSGR2_125bis\Docs\R2-2402478.zip" TargetMode="External"/><Relationship Id="rId45" Type="http://schemas.openxmlformats.org/officeDocument/2006/relationships/hyperlink" Target="file:///C:\Users\panidx\OneDrive%20-%20InterDigital%20Communications,%20Inc\Documents\3GPP%20RAN\TSGR2_125bis\Docs\R2-240302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hyperlink" Target="file:///C:\Users\panidx\OneDrive%20-%20InterDigital%20Communications,%20Inc\Documents\3GPP%20RAN\TSGR2_125bis\Docs\R2-2403230.zip" TargetMode="External"/><Relationship Id="rId44" Type="http://schemas.openxmlformats.org/officeDocument/2006/relationships/hyperlink" Target="file:///C:\Users\panidx\OneDrive%20-%20InterDigital%20Communications,%20Inc\Documents\3GPP%20RAN\TSGR2_125bis\Docs\R2-2402864.zip" TargetMode="External"/><Relationship Id="rId52" Type="http://schemas.openxmlformats.org/officeDocument/2006/relationships/hyperlink" Target="file:///C:\Users\panidx\OneDrive%20-%20InterDigital%20Communications,%20Inc\Documents\3GPP%20RAN\TSGR2_125bis\Docs\R2-24036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hyperlink" Target="file:///C:\Users\panidx\OneDrive%20-%20InterDigital%20Communications,%20Inc\Documents\3GPP%20RAN\TSGR2_125bis\Docs\R2-2403235.zip" TargetMode="External"/><Relationship Id="rId30" Type="http://schemas.openxmlformats.org/officeDocument/2006/relationships/hyperlink" Target="file:///C:\Users\panidx\OneDrive%20-%20InterDigital%20Communications,%20Inc\Documents\3GPP%20RAN\TSGR2_125bis\Docs\R2-2403492.zip" TargetMode="External"/><Relationship Id="rId35" Type="http://schemas.openxmlformats.org/officeDocument/2006/relationships/hyperlink" Target="file:///C:\Users\panidx\OneDrive%20-%20InterDigital%20Communications,%20Inc\Documents\3GPP%20RAN\TSGR2_125bis\Docs\R2-2402171.zip" TargetMode="External"/><Relationship Id="rId43" Type="http://schemas.openxmlformats.org/officeDocument/2006/relationships/hyperlink" Target="file:///C:\Users\panidx\OneDrive%20-%20InterDigital%20Communications,%20Inc\Documents\3GPP%20RAN\TSGR2_125bis\Docs\R2-2402732.zip" TargetMode="External"/><Relationship Id="rId48" Type="http://schemas.openxmlformats.org/officeDocument/2006/relationships/hyperlink" Target="file:///C:\Users\panidx\OneDrive%20-%20InterDigital%20Communications,%20Inc\Documents\3GPP%20RAN\TSGR2_125bis\Docs\R2-2403230.zip" TargetMode="Externa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658.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hyperlink" Target="file:///C:\Users\panidx\OneDrive%20-%20InterDigital%20Communications,%20Inc\Documents\3GPP%20RAN\TSGR2_125bis\Docs\R2-2403967.zip" TargetMode="External"/><Relationship Id="rId33" Type="http://schemas.openxmlformats.org/officeDocument/2006/relationships/hyperlink" Target="file:///C:\Users\panidx\OneDrive%20-%20InterDigital%20Communications,%20Inc\Documents\3GPP%20RAN\TSGR2_125bis\Docs\R2-2402962.zip" TargetMode="External"/><Relationship Id="rId38" Type="http://schemas.openxmlformats.org/officeDocument/2006/relationships/hyperlink" Target="file:///C:\Users\panidx\OneDrive%20-%20InterDigital%20Communications,%20Inc\Documents\3GPP%20RAN\TSGR2_125bis\Docs\R2-2402342.zip" TargetMode="External"/><Relationship Id="rId46" Type="http://schemas.openxmlformats.org/officeDocument/2006/relationships/hyperlink" Target="file:///C:\Users\panidx\OneDrive%20-%20InterDigital%20Communications,%20Inc\Documents\3GPP%20RAN\TSGR2_125bis\Docs\R2-2403122.zip" TargetMode="External"/><Relationship Id="rId20" Type="http://schemas.openxmlformats.org/officeDocument/2006/relationships/image" Target="media/image5.png"/><Relationship Id="rId41" Type="http://schemas.openxmlformats.org/officeDocument/2006/relationships/hyperlink" Target="file:///C:\Users\panidx\OneDrive%20-%20InterDigital%20Communications,%20Inc\Documents\3GPP%20RAN\TSGR2_125bis\Docs\R2-2402489.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hyperlink" Target="file:///C:\Users\panidx\OneDrive%20-%20InterDigital%20Communications,%20Inc\Documents\3GPP%20RAN\TSGR2_125bis\Docs\R2-2403473.zip" TargetMode="External"/><Relationship Id="rId36" Type="http://schemas.openxmlformats.org/officeDocument/2006/relationships/hyperlink" Target="file:///C:\Users\panidx\OneDrive%20-%20InterDigital%20Communications,%20Inc\Documents\3GPP%20RAN\TSGR2_125bis\Docs\R2-2402302.zip" TargetMode="External"/><Relationship Id="rId49" Type="http://schemas.openxmlformats.org/officeDocument/2006/relationships/hyperlink" Target="file:///C:\Users\panidx\OneDrive%20-%20InterDigital%20Communications,%20Inc\Documents\3GPP%20RAN\TSGR2_125bis\Docs\R2-24035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B5B7C-123C-407D-9BC0-C456D9583F83}">
  <ds:schemaRefs>
    <ds:schemaRef ds:uri="http://schemas.openxmlformats.org/officeDocument/2006/bibliography"/>
  </ds:schemaRefs>
</ds:datastoreItem>
</file>

<file path=customXml/itemProps3.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4.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5.xml><?xml version="1.0" encoding="utf-8"?>
<ds:datastoreItem xmlns:ds="http://schemas.openxmlformats.org/officeDocument/2006/customXml" ds:itemID="{F436D736-8607-4F5C-AADA-BE95687D88F2}">
  <ds:schemaRefs>
    <ds:schemaRef ds:uri="http://schemas.microsoft.com/sharepoint/event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8</TotalTime>
  <Pages>26</Pages>
  <Words>9796</Words>
  <Characters>55839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65504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Marco</cp:lastModifiedBy>
  <cp:revision>18</cp:revision>
  <dcterms:created xsi:type="dcterms:W3CDTF">2024-04-26T08:00:00Z</dcterms:created>
  <dcterms:modified xsi:type="dcterms:W3CDTF">2024-04-26T08:09:00Z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ies>
</file>