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77F9" w14:textId="054908EC" w:rsidR="00363119" w:rsidRDefault="003957AF">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TSG-RAN2#125</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B2DC0">
        <w:rPr>
          <w:rFonts w:eastAsia="宋体" w:cs="Arial"/>
          <w:b/>
          <w:kern w:val="0"/>
          <w:sz w:val="28"/>
          <w:szCs w:val="28"/>
          <w:lang w:val="en-US" w:eastAsia="en-US"/>
        </w:rPr>
        <w:tab/>
      </w:r>
      <w:r w:rsidR="007F1E63" w:rsidRPr="007F1E63">
        <w:rPr>
          <w:rFonts w:eastAsia="宋体" w:cs="Arial"/>
          <w:b/>
          <w:kern w:val="0"/>
          <w:sz w:val="28"/>
          <w:szCs w:val="28"/>
          <w:lang w:val="en-US" w:eastAsia="en-US"/>
        </w:rPr>
        <w:t>R2-24</w:t>
      </w:r>
      <w:r w:rsidR="00686827">
        <w:rPr>
          <w:rFonts w:eastAsia="宋体"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[POST125][026][MT-SDT]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afd"/>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agreable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afd"/>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afd"/>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a6"/>
        <w:jc w:val="center"/>
        <w:rPr>
          <w:color w:val="000000"/>
          <w:sz w:val="21"/>
        </w:rPr>
      </w:pPr>
      <w:bookmarkStart w:id="6" w:name="_Ref161153598"/>
      <w:r>
        <w:t xml:space="preserve">Figure </w:t>
      </w:r>
      <w:r w:rsidR="00CA15DD">
        <w:fldChar w:fldCharType="begin"/>
      </w:r>
      <w:r w:rsidR="00CA15DD">
        <w:instrText xml:space="preserve"> SEQ Figure \* ARABIC </w:instrText>
      </w:r>
      <w:r w:rsidR="00CA15DD">
        <w:fldChar w:fldCharType="separate"/>
      </w:r>
      <w:r>
        <w:rPr>
          <w:noProof/>
        </w:rPr>
        <w:t>1</w:t>
      </w:r>
      <w:r w:rsidR="00CA15DD">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of the </w:t>
      </w:r>
      <w:r>
        <w:rPr>
          <w:rFonts w:cs="Arial"/>
          <w:color w:val="000000"/>
        </w:rPr>
        <w:lastRenderedPageBreak/>
        <w:t xml:space="preserve">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aff8"/>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aff8"/>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aff8"/>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aff0"/>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C665D3">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C665D3">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C665D3">
        <w:tc>
          <w:tcPr>
            <w:tcW w:w="1822" w:type="dxa"/>
          </w:tcPr>
          <w:p w14:paraId="4218DFF8" w14:textId="78913565" w:rsidR="00D9559D" w:rsidRDefault="00D9559D" w:rsidP="00D9559D">
            <w:pPr>
              <w:rPr>
                <w:rFonts w:cs="Arial"/>
                <w:color w:val="000000"/>
              </w:rPr>
            </w:pPr>
            <w:r>
              <w:rPr>
                <w:rFonts w:cs="Arial"/>
                <w:color w:val="000000"/>
              </w:rPr>
              <w:t>Huawei, HiSilicon</w:t>
            </w:r>
          </w:p>
        </w:tc>
        <w:tc>
          <w:tcPr>
            <w:tcW w:w="1185" w:type="dxa"/>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0CBE2793" w14:textId="51FDBF09" w:rsidR="00D9559D" w:rsidRDefault="00D9559D" w:rsidP="00D9559D">
            <w:pPr>
              <w:rPr>
                <w:rFonts w:cs="Arial"/>
                <w:color w:val="000000"/>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tc>
      </w:tr>
      <w:tr w:rsidR="00D9559D" w14:paraId="29CC1A23" w14:textId="77777777" w:rsidTr="00C665D3">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C665D3">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msg is transmitted (instead than when</w:t>
            </w:r>
            <w:r w:rsidR="00700842">
              <w:rPr>
                <w:rFonts w:cs="Arial"/>
                <w:color w:val="000000"/>
              </w:rPr>
              <w:t xml:space="preserve"> </w:t>
            </w:r>
            <w:r w:rsidR="00700842" w:rsidRPr="008E0053">
              <w:rPr>
                <w:rFonts w:cs="Arial"/>
                <w:i/>
                <w:iCs/>
                <w:color w:val="000000"/>
              </w:rPr>
              <w:t>RRCResumeRequest</w:t>
            </w:r>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C665D3">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C665D3">
        <w:tc>
          <w:tcPr>
            <w:tcW w:w="1822" w:type="dxa"/>
          </w:tcPr>
          <w:p w14:paraId="7B8CCB68" w14:textId="77777777" w:rsidR="002F5A9D" w:rsidRDefault="002F5A9D" w:rsidP="00C665D3">
            <w:pPr>
              <w:rPr>
                <w:rFonts w:cs="Arial" w:hint="eastAsia"/>
                <w:color w:val="000000"/>
                <w:lang w:eastAsia="zh-CN"/>
              </w:rPr>
            </w:pPr>
            <w:bookmarkStart w:id="7" w:name="_GoBack"/>
            <w:bookmarkEnd w:id="7"/>
          </w:p>
        </w:tc>
        <w:tc>
          <w:tcPr>
            <w:tcW w:w="1185" w:type="dxa"/>
          </w:tcPr>
          <w:p w14:paraId="636443F9" w14:textId="77777777" w:rsidR="002F5A9D" w:rsidRDefault="002F5A9D" w:rsidP="00C665D3">
            <w:pPr>
              <w:rPr>
                <w:rFonts w:cs="Arial" w:hint="eastAsia"/>
                <w:color w:val="000000"/>
                <w:lang w:eastAsia="zh-CN"/>
              </w:rPr>
            </w:pPr>
          </w:p>
        </w:tc>
        <w:tc>
          <w:tcPr>
            <w:tcW w:w="10941" w:type="dxa"/>
          </w:tcPr>
          <w:p w14:paraId="18909694" w14:textId="77777777" w:rsidR="002F5A9D" w:rsidRDefault="002F5A9D" w:rsidP="00C665D3">
            <w:pPr>
              <w:rPr>
                <w:rFonts w:cs="Arial"/>
                <w:color w:val="000000"/>
              </w:rPr>
            </w:pP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aff0"/>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D22C7F">
        <w:tc>
          <w:tcPr>
            <w:tcW w:w="1838" w:type="dxa"/>
          </w:tcPr>
          <w:p w14:paraId="185584AE" w14:textId="3D0290ED" w:rsidR="00D22C7F" w:rsidRDefault="00454747">
            <w:pPr>
              <w:rPr>
                <w:rFonts w:cs="Arial"/>
                <w:color w:val="000000"/>
              </w:rPr>
            </w:pPr>
            <w:r>
              <w:rPr>
                <w:rFonts w:cs="Arial"/>
                <w:color w:val="000000"/>
              </w:rPr>
              <w:t>Ericsson</w:t>
            </w:r>
          </w:p>
        </w:tc>
        <w:tc>
          <w:tcPr>
            <w:tcW w:w="992" w:type="dxa"/>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D22C7F">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D22C7F">
        <w:tc>
          <w:tcPr>
            <w:tcW w:w="1838" w:type="dxa"/>
          </w:tcPr>
          <w:p w14:paraId="761ADBFA" w14:textId="15448998" w:rsidR="00D9559D" w:rsidRDefault="00D9559D" w:rsidP="00D9559D">
            <w:pPr>
              <w:rPr>
                <w:rFonts w:cs="Arial"/>
                <w:color w:val="000000"/>
              </w:rPr>
            </w:pPr>
            <w:r>
              <w:rPr>
                <w:rFonts w:cs="Arial"/>
                <w:color w:val="000000"/>
              </w:rPr>
              <w:t>Huawei, HiSilicon</w:t>
            </w:r>
          </w:p>
        </w:tc>
        <w:tc>
          <w:tcPr>
            <w:tcW w:w="992" w:type="dxa"/>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D22C7F">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w:t>
            </w:r>
            <w:r>
              <w:rPr>
                <w:rFonts w:cs="Arial"/>
                <w:color w:val="000000"/>
              </w:rPr>
              <w:lastRenderedPageBreak/>
              <w:t xml:space="preserve">B. </w:t>
            </w:r>
          </w:p>
        </w:tc>
      </w:tr>
      <w:tr w:rsidR="0034073B" w14:paraId="2EBE8BD0" w14:textId="77777777" w:rsidTr="00D22C7F">
        <w:tc>
          <w:tcPr>
            <w:tcW w:w="1838" w:type="dxa"/>
          </w:tcPr>
          <w:p w14:paraId="205DAD73" w14:textId="51C2E78C" w:rsidR="0034073B" w:rsidRDefault="0034073B" w:rsidP="0034073B">
            <w:pPr>
              <w:rPr>
                <w:rFonts w:cs="Arial"/>
                <w:color w:val="000000"/>
              </w:rPr>
            </w:pPr>
            <w:r>
              <w:rPr>
                <w:rFonts w:cs="Arial"/>
                <w:color w:val="000000"/>
              </w:rPr>
              <w:lastRenderedPageBreak/>
              <w:t>Intel</w:t>
            </w:r>
          </w:p>
        </w:tc>
        <w:tc>
          <w:tcPr>
            <w:tcW w:w="992" w:type="dxa"/>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msg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msg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r w:rsidRPr="008E0053">
              <w:rPr>
                <w:rFonts w:ascii="Times New Roman" w:hAnsi="Times New Roman"/>
                <w:i/>
                <w:iCs/>
              </w:rPr>
              <w:t>TimeAlignmentTimer</w:t>
            </w:r>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C665D3" w14:paraId="47069152" w14:textId="77777777" w:rsidTr="00D22C7F">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D22C7F">
        <w:tc>
          <w:tcPr>
            <w:tcW w:w="1838" w:type="dxa"/>
          </w:tcPr>
          <w:p w14:paraId="4B9575BC" w14:textId="77777777" w:rsidR="002F5A9D" w:rsidRDefault="002F5A9D" w:rsidP="00C665D3">
            <w:pPr>
              <w:rPr>
                <w:rFonts w:cs="Arial" w:hint="eastAsia"/>
                <w:color w:val="000000"/>
                <w:lang w:eastAsia="zh-CN"/>
              </w:rPr>
            </w:pPr>
          </w:p>
        </w:tc>
        <w:tc>
          <w:tcPr>
            <w:tcW w:w="992" w:type="dxa"/>
          </w:tcPr>
          <w:p w14:paraId="3FD29705" w14:textId="77777777" w:rsidR="002F5A9D" w:rsidRDefault="002F5A9D" w:rsidP="00C665D3">
            <w:pPr>
              <w:rPr>
                <w:rFonts w:cs="Arial" w:hint="eastAsia"/>
                <w:color w:val="000000"/>
                <w:lang w:eastAsia="zh-CN"/>
              </w:rPr>
            </w:pPr>
          </w:p>
        </w:tc>
        <w:tc>
          <w:tcPr>
            <w:tcW w:w="11118" w:type="dxa"/>
          </w:tcPr>
          <w:p w14:paraId="0CF87FF9" w14:textId="77777777" w:rsidR="002F5A9D" w:rsidRDefault="002F5A9D" w:rsidP="00C665D3">
            <w:pPr>
              <w:rPr>
                <w:rFonts w:cs="Arial"/>
                <w:color w:val="000000"/>
              </w:rPr>
            </w:pP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aff8"/>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aff8"/>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w:t>
      </w:r>
      <w:r w:rsidR="007B0CF1">
        <w:rPr>
          <w:rFonts w:cs="Arial"/>
          <w:color w:val="000000"/>
        </w:rPr>
        <w:lastRenderedPageBreak/>
        <w:t xml:space="preserve">how to specify that UE still monitors paging until CCCH message is transmitted. </w:t>
      </w:r>
    </w:p>
    <w:p w14:paraId="68E2ED0E" w14:textId="34A7CC5B" w:rsidR="00D22C7F" w:rsidRPr="00A82537" w:rsidRDefault="00D22C7F" w:rsidP="00D22C7F">
      <w:pPr>
        <w:pStyle w:val="aff8"/>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aff8"/>
        <w:ind w:left="720" w:firstLineChars="0" w:firstLine="0"/>
        <w:rPr>
          <w:rFonts w:cs="Arial"/>
          <w:color w:val="000000"/>
        </w:rPr>
      </w:pPr>
      <w:r>
        <w:rPr>
          <w:rFonts w:cs="Arial"/>
          <w:color w:val="000000"/>
        </w:rPr>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aff8"/>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aff8"/>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aff8"/>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aff8"/>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aff0"/>
        <w:tblW w:w="0" w:type="auto"/>
        <w:tblLook w:val="04A0" w:firstRow="1" w:lastRow="0" w:firstColumn="1" w:lastColumn="0" w:noHBand="0" w:noVBand="1"/>
      </w:tblPr>
      <w:tblGrid>
        <w:gridCol w:w="1838"/>
        <w:gridCol w:w="992"/>
        <w:gridCol w:w="11118"/>
      </w:tblGrid>
      <w:tr w:rsidR="00B8589B" w14:paraId="643E77E3" w14:textId="77777777" w:rsidTr="00FA10E2">
        <w:tc>
          <w:tcPr>
            <w:tcW w:w="13948"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FA10E2">
        <w:tc>
          <w:tcPr>
            <w:tcW w:w="1838" w:type="dxa"/>
          </w:tcPr>
          <w:p w14:paraId="4B8A3002" w14:textId="77777777" w:rsidR="00B8589B" w:rsidRDefault="00B8589B" w:rsidP="00FA10E2">
            <w:pPr>
              <w:rPr>
                <w:rFonts w:cs="Arial"/>
                <w:color w:val="000000"/>
              </w:rPr>
            </w:pPr>
            <w:r>
              <w:rPr>
                <w:rFonts w:cs="Arial"/>
                <w:color w:val="000000"/>
              </w:rPr>
              <w:t>Company</w:t>
            </w:r>
          </w:p>
        </w:tc>
        <w:tc>
          <w:tcPr>
            <w:tcW w:w="992"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FA10E2">
        <w:tc>
          <w:tcPr>
            <w:tcW w:w="1838" w:type="dxa"/>
          </w:tcPr>
          <w:p w14:paraId="5560422F" w14:textId="5DE34238" w:rsidR="00B8589B" w:rsidRDefault="00047154" w:rsidP="00FA10E2">
            <w:pPr>
              <w:rPr>
                <w:rFonts w:cs="Arial"/>
                <w:color w:val="000000"/>
              </w:rPr>
            </w:pPr>
            <w:r>
              <w:rPr>
                <w:rFonts w:cs="Arial"/>
                <w:color w:val="000000"/>
              </w:rPr>
              <w:lastRenderedPageBreak/>
              <w:t>Ericsson</w:t>
            </w:r>
          </w:p>
        </w:tc>
        <w:tc>
          <w:tcPr>
            <w:tcW w:w="992" w:type="dxa"/>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Pr>
                <w:rFonts w:cs="Arial"/>
                <w:color w:val="000000"/>
              </w:rPr>
              <w:t>Seems like the behaviour of T</w:t>
            </w:r>
            <w:r w:rsidRPr="00047154">
              <w:rPr>
                <w:rFonts w:cs="Arial"/>
                <w:color w:val="000000"/>
                <w:vertAlign w:val="subscript"/>
              </w:rPr>
              <w:t>0</w:t>
            </w:r>
            <w:r>
              <w:rPr>
                <w:rFonts w:cs="Arial"/>
                <w:color w:val="000000"/>
              </w:rPr>
              <w:t xml:space="preserve"> could be extended up until the start of T</w:t>
            </w:r>
            <w:r w:rsidRPr="00047154">
              <w:rPr>
                <w:rFonts w:cs="Arial"/>
                <w:color w:val="000000"/>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FA10E2">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Pr>
                <w:rFonts w:eastAsia="Malgun Gothic" w:cs="Arial" w:hint="eastAsia"/>
                <w:color w:val="000000"/>
                <w:lang w:eastAsia="ko-KR"/>
              </w:rPr>
              <w:t xml:space="preserve">Agree with Ericsson. </w:t>
            </w:r>
            <w:r>
              <w:rPr>
                <w:rFonts w:eastAsia="Malgun Gothic" w:cs="Arial"/>
                <w:color w:val="000000"/>
                <w:lang w:eastAsia="ko-KR"/>
              </w:rPr>
              <w:t>UE can perform the addressed UE behaviour until T319a starts same as T0.</w:t>
            </w:r>
          </w:p>
        </w:tc>
      </w:tr>
      <w:tr w:rsidR="00D9559D" w14:paraId="21E1107C" w14:textId="77777777" w:rsidTr="00FA10E2">
        <w:tc>
          <w:tcPr>
            <w:tcW w:w="1838" w:type="dxa"/>
          </w:tcPr>
          <w:p w14:paraId="2B2132C1" w14:textId="62F44793" w:rsidR="00D9559D" w:rsidRDefault="00D9559D" w:rsidP="00D9559D">
            <w:pPr>
              <w:rPr>
                <w:rFonts w:cs="Arial"/>
                <w:color w:val="000000"/>
              </w:rPr>
            </w:pPr>
            <w:r>
              <w:rPr>
                <w:rFonts w:cs="Arial"/>
                <w:color w:val="000000"/>
              </w:rPr>
              <w:t>Huawei, HiSilicon</w:t>
            </w:r>
          </w:p>
        </w:tc>
        <w:tc>
          <w:tcPr>
            <w:tcW w:w="992" w:type="dxa"/>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For 2) and 3), the UE can simply behave as in time T0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For 4), Similarly as above, the UE will behave as if the SDT procedure was not ongoing,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FA10E2">
        <w:tc>
          <w:tcPr>
            <w:tcW w:w="1838" w:type="dxa"/>
          </w:tcPr>
          <w:p w14:paraId="5242220A" w14:textId="1E8EF080" w:rsidR="00D9559D" w:rsidRDefault="005912D9" w:rsidP="00D9559D">
            <w:pPr>
              <w:rPr>
                <w:rFonts w:cs="Arial"/>
                <w:color w:val="000000"/>
              </w:rPr>
            </w:pPr>
            <w:r>
              <w:rPr>
                <w:rFonts w:cs="Arial"/>
                <w:color w:val="000000"/>
              </w:rPr>
              <w:t>ZTE</w:t>
            </w:r>
          </w:p>
        </w:tc>
        <w:tc>
          <w:tcPr>
            <w:tcW w:w="992" w:type="dxa"/>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we should make the UE behaviour to be same in T1 as it is in T0. Otherwise, there will still be some need for different specification and checks. </w:t>
            </w:r>
          </w:p>
        </w:tc>
      </w:tr>
      <w:tr w:rsidR="00CB0021" w14:paraId="74B453A1" w14:textId="77777777" w:rsidTr="00FA10E2">
        <w:tc>
          <w:tcPr>
            <w:tcW w:w="1838" w:type="dxa"/>
          </w:tcPr>
          <w:p w14:paraId="0DB315F6" w14:textId="15E30F03" w:rsidR="00CB0021" w:rsidRDefault="00CB0021" w:rsidP="00CB0021">
            <w:pPr>
              <w:rPr>
                <w:rFonts w:cs="Arial"/>
                <w:color w:val="000000"/>
              </w:rPr>
            </w:pPr>
            <w:r>
              <w:rPr>
                <w:rFonts w:cs="Arial"/>
                <w:color w:val="000000"/>
              </w:rPr>
              <w:t>Intel</w:t>
            </w:r>
          </w:p>
        </w:tc>
        <w:tc>
          <w:tcPr>
            <w:tcW w:w="992" w:type="dxa"/>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Pr>
                <w:rFonts w:cs="Arial"/>
                <w:color w:val="000000"/>
              </w:rPr>
              <w:t>Agree w</w:t>
            </w:r>
            <w:r w:rsidR="00157333">
              <w:rPr>
                <w:rFonts w:cs="Arial"/>
                <w:color w:val="000000"/>
              </w:rPr>
              <w:t>ith Ericsson</w:t>
            </w:r>
            <w:r w:rsidR="00B524D0" w:rsidRPr="00E42FA7">
              <w:rPr>
                <w:rFonts w:cs="Arial"/>
                <w:color w:val="000000"/>
              </w:rPr>
              <w:t xml:space="preserve">. </w:t>
            </w:r>
          </w:p>
        </w:tc>
      </w:tr>
      <w:tr w:rsidR="00C665D3" w14:paraId="1DFBC21B" w14:textId="77777777" w:rsidTr="00FA10E2">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Pr>
                <w:rFonts w:cs="Arial"/>
                <w:color w:val="000000"/>
                <w:lang w:eastAsia="zh-CN"/>
              </w:rPr>
              <w:t>Share the view with Ericsson.</w:t>
            </w:r>
          </w:p>
        </w:tc>
      </w:tr>
      <w:tr w:rsidR="002F5A9D" w14:paraId="2636642E" w14:textId="77777777" w:rsidTr="00FA10E2">
        <w:tc>
          <w:tcPr>
            <w:tcW w:w="1838" w:type="dxa"/>
          </w:tcPr>
          <w:p w14:paraId="6D857C9F" w14:textId="77777777" w:rsidR="002F5A9D" w:rsidRDefault="002F5A9D" w:rsidP="00C665D3">
            <w:pPr>
              <w:rPr>
                <w:rFonts w:cs="Arial" w:hint="eastAsia"/>
                <w:color w:val="000000"/>
                <w:lang w:eastAsia="zh-CN"/>
              </w:rPr>
            </w:pPr>
          </w:p>
        </w:tc>
        <w:tc>
          <w:tcPr>
            <w:tcW w:w="992" w:type="dxa"/>
          </w:tcPr>
          <w:p w14:paraId="350ADD91" w14:textId="77777777" w:rsidR="002F5A9D" w:rsidRDefault="002F5A9D" w:rsidP="00C665D3">
            <w:pPr>
              <w:rPr>
                <w:rFonts w:cs="Arial" w:hint="eastAsia"/>
                <w:color w:val="000000"/>
                <w:lang w:eastAsia="zh-CN"/>
              </w:rPr>
            </w:pPr>
          </w:p>
        </w:tc>
        <w:tc>
          <w:tcPr>
            <w:tcW w:w="11118" w:type="dxa"/>
          </w:tcPr>
          <w:p w14:paraId="7CE2DC9D" w14:textId="77777777" w:rsidR="002F5A9D" w:rsidRDefault="002F5A9D" w:rsidP="00C665D3">
            <w:pPr>
              <w:rPr>
                <w:rFonts w:cs="Arial"/>
                <w:color w:val="000000"/>
                <w:lang w:eastAsia="zh-CN"/>
              </w:rPr>
            </w:pP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aff0"/>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lastRenderedPageBreak/>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A10E2">
        <w:tc>
          <w:tcPr>
            <w:tcW w:w="1838" w:type="dxa"/>
          </w:tcPr>
          <w:p w14:paraId="2C64A1D4" w14:textId="29CEEF6F" w:rsidR="00892553" w:rsidRDefault="00047154" w:rsidP="00FA10E2">
            <w:pPr>
              <w:rPr>
                <w:rFonts w:cs="Arial"/>
                <w:color w:val="000000"/>
              </w:rPr>
            </w:pPr>
            <w:r>
              <w:rPr>
                <w:rFonts w:cs="Arial"/>
                <w:color w:val="000000"/>
              </w:rPr>
              <w:t>Ericsson</w:t>
            </w:r>
          </w:p>
        </w:tc>
        <w:tc>
          <w:tcPr>
            <w:tcW w:w="992" w:type="dxa"/>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A10E2">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A10E2">
        <w:tc>
          <w:tcPr>
            <w:tcW w:w="1838" w:type="dxa"/>
          </w:tcPr>
          <w:p w14:paraId="4E43E61E" w14:textId="2FB8B818" w:rsidR="00D9559D" w:rsidRDefault="00D9559D" w:rsidP="00D9559D">
            <w:pPr>
              <w:rPr>
                <w:rFonts w:cs="Arial"/>
                <w:color w:val="000000"/>
              </w:rPr>
            </w:pPr>
            <w:r>
              <w:rPr>
                <w:rFonts w:cs="Arial"/>
                <w:color w:val="000000"/>
              </w:rPr>
              <w:t>Huawei, HiSilicon</w:t>
            </w:r>
          </w:p>
        </w:tc>
        <w:tc>
          <w:tcPr>
            <w:tcW w:w="992" w:type="dxa"/>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when ”SDT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A10E2">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We think ideally, we should make the UE behar</w:t>
            </w:r>
            <w:r w:rsidR="009B0F10">
              <w:rPr>
                <w:rFonts w:cs="Arial"/>
                <w:color w:val="000000"/>
              </w:rPr>
              <w:t>vi</w:t>
            </w:r>
            <w:r>
              <w:rPr>
                <w:rFonts w:cs="Arial"/>
                <w:color w:val="000000"/>
              </w:rPr>
              <w:t xml:space="preserve">our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A10E2">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A10E2">
        <w:tc>
          <w:tcPr>
            <w:tcW w:w="1838" w:type="dxa"/>
          </w:tcPr>
          <w:p w14:paraId="75E59587" w14:textId="4404303A"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A10E2">
        <w:tc>
          <w:tcPr>
            <w:tcW w:w="1838" w:type="dxa"/>
          </w:tcPr>
          <w:p w14:paraId="0E00BEBC" w14:textId="77777777" w:rsidR="002F5A9D" w:rsidRDefault="002F5A9D" w:rsidP="00C665D3">
            <w:pPr>
              <w:rPr>
                <w:rFonts w:cs="Arial" w:hint="eastAsia"/>
                <w:color w:val="000000"/>
                <w:lang w:eastAsia="zh-CN"/>
              </w:rPr>
            </w:pPr>
          </w:p>
        </w:tc>
        <w:tc>
          <w:tcPr>
            <w:tcW w:w="992" w:type="dxa"/>
          </w:tcPr>
          <w:p w14:paraId="4DA1D836" w14:textId="77777777" w:rsidR="002F5A9D" w:rsidRDefault="002F5A9D" w:rsidP="00C665D3">
            <w:pPr>
              <w:rPr>
                <w:rFonts w:cs="Arial" w:hint="eastAsia"/>
                <w:color w:val="000000"/>
                <w:lang w:eastAsia="zh-CN"/>
              </w:rPr>
            </w:pPr>
          </w:p>
        </w:tc>
        <w:tc>
          <w:tcPr>
            <w:tcW w:w="11118" w:type="dxa"/>
          </w:tcPr>
          <w:p w14:paraId="54F06602" w14:textId="77777777" w:rsidR="002F5A9D" w:rsidRDefault="002F5A9D" w:rsidP="00C665D3">
            <w:pPr>
              <w:rPr>
                <w:rFonts w:cs="Arial"/>
                <w:color w:val="000000"/>
              </w:rPr>
            </w:pP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aff0"/>
        <w:tblW w:w="0" w:type="auto"/>
        <w:tblLook w:val="04A0" w:firstRow="1" w:lastRow="0" w:firstColumn="1" w:lastColumn="0" w:noHBand="0" w:noVBand="1"/>
      </w:tblPr>
      <w:tblGrid>
        <w:gridCol w:w="1838"/>
        <w:gridCol w:w="992"/>
        <w:gridCol w:w="11118"/>
      </w:tblGrid>
      <w:tr w:rsidR="00AD48EE" w14:paraId="05AE7B18" w14:textId="77777777" w:rsidTr="00FA10E2">
        <w:tc>
          <w:tcPr>
            <w:tcW w:w="13948"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FA10E2">
        <w:tc>
          <w:tcPr>
            <w:tcW w:w="1838" w:type="dxa"/>
          </w:tcPr>
          <w:p w14:paraId="11B503E4" w14:textId="77777777" w:rsidR="00AD48EE" w:rsidRDefault="00AD48EE" w:rsidP="00FA10E2">
            <w:pPr>
              <w:rPr>
                <w:rFonts w:cs="Arial"/>
                <w:color w:val="000000"/>
              </w:rPr>
            </w:pPr>
            <w:r>
              <w:rPr>
                <w:rFonts w:cs="Arial"/>
                <w:color w:val="000000"/>
              </w:rPr>
              <w:t>Company</w:t>
            </w:r>
          </w:p>
        </w:tc>
        <w:tc>
          <w:tcPr>
            <w:tcW w:w="992"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FA10E2">
        <w:tc>
          <w:tcPr>
            <w:tcW w:w="1838" w:type="dxa"/>
          </w:tcPr>
          <w:p w14:paraId="16481753" w14:textId="472E615D" w:rsidR="00AD48EE" w:rsidRDefault="00047154" w:rsidP="00FA10E2">
            <w:pPr>
              <w:rPr>
                <w:rFonts w:cs="Arial"/>
                <w:color w:val="000000"/>
              </w:rPr>
            </w:pPr>
            <w:r>
              <w:rPr>
                <w:rFonts w:cs="Arial"/>
                <w:color w:val="000000"/>
              </w:rPr>
              <w:t>Ericsson</w:t>
            </w:r>
          </w:p>
        </w:tc>
        <w:tc>
          <w:tcPr>
            <w:tcW w:w="992" w:type="dxa"/>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 xml:space="preserve">Should be unified. Up until CG-SDT extended periodicities there was only one label. Preferably we could rely on the </w:t>
            </w:r>
            <w:r>
              <w:rPr>
                <w:rFonts w:cs="Arial"/>
                <w:color w:val="000000"/>
              </w:rPr>
              <w:lastRenderedPageBreak/>
              <w:t>T319a instead of SDT procedure ongoing.</w:t>
            </w:r>
          </w:p>
        </w:tc>
      </w:tr>
      <w:tr w:rsidR="00AD48EE" w14:paraId="51D35089" w14:textId="77777777" w:rsidTr="00FA10E2">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lastRenderedPageBreak/>
              <w:t>LGE</w:t>
            </w:r>
          </w:p>
        </w:tc>
        <w:tc>
          <w:tcPr>
            <w:tcW w:w="992" w:type="dxa"/>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FA10E2">
        <w:tc>
          <w:tcPr>
            <w:tcW w:w="1838" w:type="dxa"/>
          </w:tcPr>
          <w:p w14:paraId="32C56E63" w14:textId="721F9A2B" w:rsidR="00D9559D" w:rsidRDefault="00D9559D" w:rsidP="00D9559D">
            <w:pPr>
              <w:rPr>
                <w:rFonts w:cs="Arial"/>
                <w:color w:val="000000"/>
              </w:rPr>
            </w:pPr>
            <w:r>
              <w:rPr>
                <w:rFonts w:cs="Arial"/>
                <w:color w:val="000000"/>
              </w:rPr>
              <w:t>Huawei, HiSilicon</w:t>
            </w:r>
          </w:p>
        </w:tc>
        <w:tc>
          <w:tcPr>
            <w:tcW w:w="992" w:type="dxa"/>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We would prefer to keep the current “SDT procedure is ongoing” label as it is clearer. However, we do not have a strong view on this.</w:t>
            </w:r>
          </w:p>
        </w:tc>
      </w:tr>
      <w:tr w:rsidR="00D9559D" w14:paraId="208F9783" w14:textId="77777777" w:rsidTr="00FA10E2">
        <w:tc>
          <w:tcPr>
            <w:tcW w:w="1838" w:type="dxa"/>
          </w:tcPr>
          <w:p w14:paraId="08B7A632" w14:textId="3F7A1892" w:rsidR="00D9559D" w:rsidRDefault="009B0F10" w:rsidP="00D9559D">
            <w:pPr>
              <w:rPr>
                <w:rFonts w:cs="Arial"/>
                <w:color w:val="000000"/>
              </w:rPr>
            </w:pPr>
            <w:r>
              <w:rPr>
                <w:rFonts w:cs="Arial"/>
                <w:color w:val="000000"/>
              </w:rPr>
              <w:t>ZTE</w:t>
            </w:r>
          </w:p>
        </w:tc>
        <w:tc>
          <w:tcPr>
            <w:tcW w:w="992" w:type="dxa"/>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FA10E2">
        <w:tc>
          <w:tcPr>
            <w:tcW w:w="1838" w:type="dxa"/>
          </w:tcPr>
          <w:p w14:paraId="3FB43E3A" w14:textId="1BEE19E1" w:rsidR="001D7523" w:rsidRDefault="001D7523" w:rsidP="001D7523">
            <w:pPr>
              <w:rPr>
                <w:rFonts w:cs="Arial"/>
                <w:color w:val="000000"/>
              </w:rPr>
            </w:pPr>
            <w:r>
              <w:rPr>
                <w:rFonts w:cs="Arial"/>
                <w:color w:val="000000"/>
              </w:rPr>
              <w:t>Intel</w:t>
            </w:r>
          </w:p>
        </w:tc>
        <w:tc>
          <w:tcPr>
            <w:tcW w:w="992" w:type="dxa"/>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Pr>
                <w:rFonts w:cs="Arial"/>
                <w:color w:val="000000"/>
              </w:rPr>
              <w:t>We are ok to keep T319a running only as well as both as soon as it is clear that there is no intermediate UE behaviour and it is the same when saying “T319a is running” and “SDT is ongoing”.</w:t>
            </w:r>
          </w:p>
        </w:tc>
      </w:tr>
      <w:tr w:rsidR="00C665D3" w14:paraId="59D497B2" w14:textId="77777777" w:rsidTr="00FA10E2">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FA10E2">
        <w:tc>
          <w:tcPr>
            <w:tcW w:w="1838" w:type="dxa"/>
          </w:tcPr>
          <w:p w14:paraId="73D878DB" w14:textId="77777777" w:rsidR="002F5A9D" w:rsidRDefault="002F5A9D" w:rsidP="00C665D3">
            <w:pPr>
              <w:rPr>
                <w:rFonts w:cs="Arial" w:hint="eastAsia"/>
                <w:color w:val="000000"/>
                <w:lang w:eastAsia="zh-CN"/>
              </w:rPr>
            </w:pPr>
          </w:p>
        </w:tc>
        <w:tc>
          <w:tcPr>
            <w:tcW w:w="992" w:type="dxa"/>
          </w:tcPr>
          <w:p w14:paraId="52A14EDC" w14:textId="77777777" w:rsidR="002F5A9D" w:rsidRDefault="002F5A9D" w:rsidP="00C665D3">
            <w:pPr>
              <w:rPr>
                <w:rFonts w:cs="Arial" w:hint="eastAsia"/>
                <w:color w:val="000000"/>
                <w:lang w:eastAsia="zh-CN"/>
              </w:rPr>
            </w:pPr>
          </w:p>
        </w:tc>
        <w:tc>
          <w:tcPr>
            <w:tcW w:w="11118" w:type="dxa"/>
          </w:tcPr>
          <w:p w14:paraId="115B3DF1" w14:textId="77777777" w:rsidR="002F5A9D" w:rsidRDefault="002F5A9D" w:rsidP="00C665D3">
            <w:pPr>
              <w:rPr>
                <w:rFonts w:cs="Arial"/>
                <w:color w:val="000000"/>
                <w:lang w:eastAsia="zh-CN"/>
              </w:rPr>
            </w:pP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aff0"/>
        <w:tblW w:w="0" w:type="auto"/>
        <w:tblLook w:val="04A0" w:firstRow="1" w:lastRow="0" w:firstColumn="1" w:lastColumn="0" w:noHBand="0" w:noVBand="1"/>
      </w:tblPr>
      <w:tblGrid>
        <w:gridCol w:w="1838"/>
        <w:gridCol w:w="992"/>
        <w:gridCol w:w="11118"/>
      </w:tblGrid>
      <w:tr w:rsidR="005434D7" w14:paraId="32F295E3" w14:textId="77777777" w:rsidTr="00FA10E2">
        <w:tc>
          <w:tcPr>
            <w:tcW w:w="13948"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FA10E2">
        <w:tc>
          <w:tcPr>
            <w:tcW w:w="1838" w:type="dxa"/>
          </w:tcPr>
          <w:p w14:paraId="1F6CE934" w14:textId="77777777" w:rsidR="005434D7" w:rsidRDefault="005434D7" w:rsidP="00FA10E2">
            <w:pPr>
              <w:rPr>
                <w:rFonts w:cs="Arial"/>
                <w:color w:val="000000"/>
              </w:rPr>
            </w:pPr>
            <w:r>
              <w:rPr>
                <w:rFonts w:cs="Arial"/>
                <w:color w:val="000000"/>
              </w:rPr>
              <w:t>Company</w:t>
            </w:r>
          </w:p>
        </w:tc>
        <w:tc>
          <w:tcPr>
            <w:tcW w:w="992"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FA10E2">
        <w:tc>
          <w:tcPr>
            <w:tcW w:w="1838" w:type="dxa"/>
          </w:tcPr>
          <w:p w14:paraId="6070F186" w14:textId="6A665231" w:rsidR="005434D7" w:rsidRDefault="00047154" w:rsidP="00FA10E2">
            <w:pPr>
              <w:rPr>
                <w:rFonts w:cs="Arial"/>
                <w:color w:val="000000"/>
              </w:rPr>
            </w:pPr>
            <w:r>
              <w:rPr>
                <w:rFonts w:cs="Arial"/>
                <w:color w:val="000000"/>
              </w:rPr>
              <w:t>Ericsson</w:t>
            </w:r>
          </w:p>
        </w:tc>
        <w:tc>
          <w:tcPr>
            <w:tcW w:w="992"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FA10E2">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FA10E2">
        <w:tc>
          <w:tcPr>
            <w:tcW w:w="1838" w:type="dxa"/>
          </w:tcPr>
          <w:p w14:paraId="6ED012EE" w14:textId="460F89CB" w:rsidR="00D9559D" w:rsidRDefault="00D9559D" w:rsidP="00D9559D">
            <w:pPr>
              <w:rPr>
                <w:rFonts w:cs="Arial"/>
                <w:color w:val="000000"/>
              </w:rPr>
            </w:pPr>
            <w:r>
              <w:rPr>
                <w:rFonts w:cs="Arial"/>
                <w:color w:val="000000"/>
              </w:rPr>
              <w:t>Huawei, HiSilicon</w:t>
            </w:r>
          </w:p>
        </w:tc>
        <w:tc>
          <w:tcPr>
            <w:tcW w:w="992"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FA10E2">
        <w:tc>
          <w:tcPr>
            <w:tcW w:w="1838" w:type="dxa"/>
          </w:tcPr>
          <w:p w14:paraId="153AA06D" w14:textId="50EA0292" w:rsidR="00D9559D" w:rsidRDefault="009B0F10" w:rsidP="00D9559D">
            <w:pPr>
              <w:rPr>
                <w:rFonts w:cs="Arial"/>
                <w:color w:val="000000"/>
              </w:rPr>
            </w:pPr>
            <w:r>
              <w:rPr>
                <w:rFonts w:cs="Arial"/>
                <w:color w:val="000000"/>
              </w:rPr>
              <w:t>ZTE</w:t>
            </w:r>
          </w:p>
        </w:tc>
        <w:tc>
          <w:tcPr>
            <w:tcW w:w="992"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FA10E2">
        <w:tc>
          <w:tcPr>
            <w:tcW w:w="1838" w:type="dxa"/>
          </w:tcPr>
          <w:p w14:paraId="19262446" w14:textId="2852B410" w:rsidR="00B75447" w:rsidRDefault="00B75447" w:rsidP="00B75447">
            <w:pPr>
              <w:rPr>
                <w:rFonts w:cs="Arial"/>
                <w:color w:val="000000"/>
              </w:rPr>
            </w:pPr>
            <w:r>
              <w:rPr>
                <w:rFonts w:cs="Arial"/>
                <w:color w:val="000000"/>
              </w:rPr>
              <w:lastRenderedPageBreak/>
              <w:t>Intel</w:t>
            </w:r>
          </w:p>
        </w:tc>
        <w:tc>
          <w:tcPr>
            <w:tcW w:w="992"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C665D3" w14:paraId="4289232F" w14:textId="77777777" w:rsidTr="00FA10E2">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FA10E2">
        <w:tc>
          <w:tcPr>
            <w:tcW w:w="1838" w:type="dxa"/>
          </w:tcPr>
          <w:p w14:paraId="7354EB30" w14:textId="77777777" w:rsidR="002F5A9D" w:rsidRDefault="002F5A9D" w:rsidP="00C665D3">
            <w:pPr>
              <w:rPr>
                <w:rFonts w:cs="Arial" w:hint="eastAsia"/>
                <w:color w:val="000000"/>
                <w:lang w:eastAsia="zh-CN"/>
              </w:rPr>
            </w:pPr>
          </w:p>
        </w:tc>
        <w:tc>
          <w:tcPr>
            <w:tcW w:w="992" w:type="dxa"/>
          </w:tcPr>
          <w:p w14:paraId="1BCF77B1" w14:textId="77777777" w:rsidR="002F5A9D" w:rsidRDefault="002F5A9D" w:rsidP="00C665D3">
            <w:pPr>
              <w:rPr>
                <w:rFonts w:cs="Arial" w:hint="eastAsia"/>
                <w:color w:val="000000"/>
                <w:lang w:eastAsia="zh-CN"/>
              </w:rPr>
            </w:pPr>
          </w:p>
        </w:tc>
        <w:tc>
          <w:tcPr>
            <w:tcW w:w="11118" w:type="dxa"/>
          </w:tcPr>
          <w:p w14:paraId="012F8078" w14:textId="77777777" w:rsidR="002F5A9D" w:rsidRDefault="002F5A9D" w:rsidP="00C665D3">
            <w:pPr>
              <w:rPr>
                <w:rFonts w:cs="Arial"/>
                <w:color w:val="000000"/>
              </w:rPr>
            </w:pP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aff8"/>
        <w:numPr>
          <w:ilvl w:val="0"/>
          <w:numId w:val="14"/>
        </w:numPr>
        <w:ind w:firstLineChars="0"/>
        <w:rPr>
          <w:rFonts w:cs="Arial"/>
          <w:color w:val="000000"/>
        </w:rPr>
      </w:pPr>
      <w:r w:rsidRPr="00AD48EE">
        <w:rPr>
          <w:rFonts w:cs="Arial"/>
          <w:color w:val="000000"/>
        </w:rPr>
        <w:t>CG-SDT procedure ongoing</w:t>
      </w:r>
      <w:r>
        <w:rPr>
          <w:rFonts w:cs="Arial"/>
          <w:color w:val="000000"/>
        </w:rPr>
        <w:t xml:space="preserve"> / not ongoing</w:t>
      </w:r>
    </w:p>
    <w:p w14:paraId="6FD31D18" w14:textId="5353382E" w:rsidR="00AD48EE" w:rsidRDefault="00AD48EE" w:rsidP="00AD48EE">
      <w:pPr>
        <w:pStyle w:val="aff8"/>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aff0"/>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 xml:space="preserve">ongoing from the point when the RA procedure is initiated for SDT </w:t>
            </w:r>
            <w:r w:rsidRPr="00C14D64">
              <w:rPr>
                <w:rFonts w:cs="Arial"/>
                <w:b/>
                <w:bCs/>
                <w:color w:val="000000"/>
              </w:rPr>
              <w:lastRenderedPageBreak/>
              <w:t>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lastRenderedPageBreak/>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C665D3">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C665D3">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31E29210" w14:textId="63836207" w:rsidR="0096014D" w:rsidRP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tc>
      </w:tr>
      <w:tr w:rsidR="00BE4039" w14:paraId="6216AD7F" w14:textId="77777777" w:rsidTr="00C665D3">
        <w:tc>
          <w:tcPr>
            <w:tcW w:w="1832" w:type="dxa"/>
          </w:tcPr>
          <w:p w14:paraId="127EB46B" w14:textId="61F21397" w:rsidR="00BE4039" w:rsidRDefault="00BE4039" w:rsidP="00BE4039">
            <w:pPr>
              <w:rPr>
                <w:rFonts w:cs="Arial"/>
                <w:color w:val="000000"/>
              </w:rPr>
            </w:pPr>
            <w:r>
              <w:rPr>
                <w:rFonts w:cs="Arial"/>
                <w:color w:val="000000"/>
              </w:rPr>
              <w:t>Huawei, HiSilicon</w:t>
            </w:r>
          </w:p>
        </w:tc>
        <w:tc>
          <w:tcPr>
            <w:tcW w:w="1080" w:type="dxa"/>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We think what the rapporteur proposes is OK. As pointed out by LGE, there will be some difference between RA-SDT and CG-SDT, but this does not seem to create any issues while the current MAC design seems to assume the procedure is ongoing already when RACH was triggered. Hence, the rapporteur’s proposal allows to avoid unnecessary changes.</w:t>
            </w:r>
          </w:p>
        </w:tc>
      </w:tr>
      <w:tr w:rsidR="00BE4039" w14:paraId="63C0EE80" w14:textId="77777777" w:rsidTr="00C665D3">
        <w:tc>
          <w:tcPr>
            <w:tcW w:w="1832" w:type="dxa"/>
          </w:tcPr>
          <w:p w14:paraId="1B0AD128" w14:textId="17CF7182" w:rsidR="00BE4039" w:rsidRDefault="009B0F10" w:rsidP="00BE4039">
            <w:pPr>
              <w:rPr>
                <w:rFonts w:cs="Arial"/>
                <w:color w:val="000000"/>
              </w:rPr>
            </w:pPr>
            <w:r>
              <w:rPr>
                <w:rFonts w:cs="Arial"/>
                <w:color w:val="000000"/>
              </w:rPr>
              <w:t>ZTE</w:t>
            </w:r>
          </w:p>
        </w:tc>
        <w:tc>
          <w:tcPr>
            <w:tcW w:w="1080" w:type="dxa"/>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C665D3">
        <w:tc>
          <w:tcPr>
            <w:tcW w:w="1832" w:type="dxa"/>
          </w:tcPr>
          <w:p w14:paraId="7B8A9005" w14:textId="27FEC803" w:rsidR="00BE4039" w:rsidRDefault="00867340" w:rsidP="00BE4039">
            <w:pPr>
              <w:rPr>
                <w:rFonts w:cs="Arial"/>
                <w:color w:val="000000"/>
              </w:rPr>
            </w:pPr>
            <w:r>
              <w:rPr>
                <w:rFonts w:cs="Arial"/>
                <w:color w:val="000000"/>
              </w:rPr>
              <w:t>Intel</w:t>
            </w:r>
          </w:p>
        </w:tc>
        <w:tc>
          <w:tcPr>
            <w:tcW w:w="1080" w:type="dxa"/>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036"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33AA9888" w14:textId="52A5E5C1"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等线" w:hAnsi="Times New Roman"/>
                <w:b/>
                <w:bCs/>
                <w:lang w:eastAsia="zh-CN"/>
              </w:rPr>
              <w:t>The MAC entity may be configured by RRC with SDT and the SDT procedure may be initiated by RRC layer for MO-SDT or MT-SDT</w:t>
            </w:r>
            <w:r w:rsidRPr="008E0053">
              <w:rPr>
                <w:rFonts w:ascii="Times New Roman" w:eastAsia="等线"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tc>
      </w:tr>
      <w:tr w:rsidR="00C665D3" w14:paraId="17095336" w14:textId="77777777" w:rsidTr="00C665D3">
        <w:tc>
          <w:tcPr>
            <w:tcW w:w="1832" w:type="dxa"/>
          </w:tcPr>
          <w:p w14:paraId="4C6DD397" w14:textId="2D87DAE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C665D3">
        <w:tc>
          <w:tcPr>
            <w:tcW w:w="1832" w:type="dxa"/>
          </w:tcPr>
          <w:p w14:paraId="782D03CA" w14:textId="77777777" w:rsidR="002F5A9D" w:rsidRDefault="002F5A9D" w:rsidP="00C665D3">
            <w:pPr>
              <w:rPr>
                <w:rFonts w:cs="Arial" w:hint="eastAsia"/>
                <w:color w:val="000000"/>
                <w:lang w:eastAsia="zh-CN"/>
              </w:rPr>
            </w:pPr>
          </w:p>
        </w:tc>
        <w:tc>
          <w:tcPr>
            <w:tcW w:w="1080" w:type="dxa"/>
          </w:tcPr>
          <w:p w14:paraId="71F74C19" w14:textId="77777777" w:rsidR="002F5A9D" w:rsidRDefault="002F5A9D" w:rsidP="00C665D3">
            <w:pPr>
              <w:rPr>
                <w:rFonts w:cs="Arial" w:hint="eastAsia"/>
                <w:color w:val="000000"/>
                <w:lang w:eastAsia="zh-CN"/>
              </w:rPr>
            </w:pPr>
          </w:p>
        </w:tc>
        <w:tc>
          <w:tcPr>
            <w:tcW w:w="11036" w:type="dxa"/>
          </w:tcPr>
          <w:p w14:paraId="372F54B1" w14:textId="77777777" w:rsidR="002F5A9D" w:rsidRDefault="002F5A9D" w:rsidP="00C665D3">
            <w:pPr>
              <w:rPr>
                <w:rFonts w:cs="Arial"/>
                <w:color w:val="000000"/>
              </w:rPr>
            </w:pPr>
          </w:p>
        </w:tc>
      </w:tr>
    </w:tbl>
    <w:p w14:paraId="05685698" w14:textId="77777777" w:rsidR="00C14D64" w:rsidRDefault="00C14D64" w:rsidP="005D3D72">
      <w:pPr>
        <w:rPr>
          <w:rFonts w:cs="Arial"/>
          <w:color w:val="000000"/>
        </w:rPr>
      </w:pPr>
    </w:p>
    <w:tbl>
      <w:tblPr>
        <w:tblStyle w:val="aff0"/>
        <w:tblW w:w="0" w:type="auto"/>
        <w:tblLook w:val="04A0" w:firstRow="1" w:lastRow="0" w:firstColumn="1" w:lastColumn="0" w:noHBand="0" w:noVBand="1"/>
      </w:tblPr>
      <w:tblGrid>
        <w:gridCol w:w="1829"/>
        <w:gridCol w:w="1080"/>
        <w:gridCol w:w="11039"/>
      </w:tblGrid>
      <w:tr w:rsidR="00C14D64" w14:paraId="3C97C5EE" w14:textId="77777777" w:rsidTr="00FA10E2">
        <w:tc>
          <w:tcPr>
            <w:tcW w:w="13948"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lastRenderedPageBreak/>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C665D3">
        <w:tc>
          <w:tcPr>
            <w:tcW w:w="1829" w:type="dxa"/>
          </w:tcPr>
          <w:p w14:paraId="259105F1" w14:textId="77777777" w:rsidR="00C14D64" w:rsidRDefault="00C14D64" w:rsidP="00FA10E2">
            <w:pPr>
              <w:rPr>
                <w:rFonts w:cs="Arial"/>
                <w:color w:val="000000"/>
              </w:rPr>
            </w:pPr>
            <w:r>
              <w:rPr>
                <w:rFonts w:cs="Arial"/>
                <w:color w:val="000000"/>
              </w:rPr>
              <w:t>Company</w:t>
            </w:r>
          </w:p>
        </w:tc>
        <w:tc>
          <w:tcPr>
            <w:tcW w:w="1080"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C665D3">
        <w:tc>
          <w:tcPr>
            <w:tcW w:w="1829" w:type="dxa"/>
          </w:tcPr>
          <w:p w14:paraId="64AC36EA" w14:textId="34D5D70A" w:rsidR="00C14D64" w:rsidRDefault="00047154" w:rsidP="00FA10E2">
            <w:pPr>
              <w:rPr>
                <w:rFonts w:cs="Arial"/>
                <w:color w:val="000000"/>
              </w:rPr>
            </w:pPr>
            <w:r>
              <w:rPr>
                <w:rFonts w:cs="Arial"/>
                <w:color w:val="000000"/>
              </w:rPr>
              <w:t>Ericsson</w:t>
            </w:r>
          </w:p>
        </w:tc>
        <w:tc>
          <w:tcPr>
            <w:tcW w:w="1080" w:type="dxa"/>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C665D3">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C665D3">
        <w:tc>
          <w:tcPr>
            <w:tcW w:w="1829" w:type="dxa"/>
          </w:tcPr>
          <w:p w14:paraId="0738C0AF" w14:textId="4854D049" w:rsidR="00BE4039" w:rsidRDefault="00BE4039" w:rsidP="00BE4039">
            <w:pPr>
              <w:rPr>
                <w:rFonts w:cs="Arial"/>
                <w:color w:val="000000"/>
              </w:rPr>
            </w:pPr>
            <w:r>
              <w:rPr>
                <w:rFonts w:cs="Arial"/>
                <w:color w:val="000000"/>
              </w:rPr>
              <w:t>Huawei, HiSilicon</w:t>
            </w:r>
          </w:p>
        </w:tc>
        <w:tc>
          <w:tcPr>
            <w:tcW w:w="1080" w:type="dxa"/>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C665D3">
        <w:tc>
          <w:tcPr>
            <w:tcW w:w="1829" w:type="dxa"/>
          </w:tcPr>
          <w:p w14:paraId="20941F8C" w14:textId="406C6360" w:rsidR="00BE4039" w:rsidRDefault="009B0F10" w:rsidP="00BE4039">
            <w:pPr>
              <w:rPr>
                <w:rFonts w:cs="Arial"/>
                <w:color w:val="000000"/>
              </w:rPr>
            </w:pPr>
            <w:r>
              <w:rPr>
                <w:rFonts w:cs="Arial"/>
                <w:color w:val="000000"/>
              </w:rPr>
              <w:t>ZTE</w:t>
            </w:r>
          </w:p>
        </w:tc>
        <w:tc>
          <w:tcPr>
            <w:tcW w:w="1080" w:type="dxa"/>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C665D3">
        <w:tc>
          <w:tcPr>
            <w:tcW w:w="1829" w:type="dxa"/>
          </w:tcPr>
          <w:p w14:paraId="6C3AD85C" w14:textId="45CB3A25" w:rsidR="00BE4039" w:rsidRDefault="00606BEB" w:rsidP="00BE4039">
            <w:pPr>
              <w:rPr>
                <w:rFonts w:cs="Arial"/>
                <w:color w:val="000000"/>
              </w:rPr>
            </w:pPr>
            <w:r>
              <w:rPr>
                <w:rFonts w:cs="Arial"/>
                <w:color w:val="000000"/>
              </w:rPr>
              <w:t>Intel</w:t>
            </w:r>
          </w:p>
        </w:tc>
        <w:tc>
          <w:tcPr>
            <w:tcW w:w="1080" w:type="dxa"/>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039"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r>
              <w:rPr>
                <w:rFonts w:cs="Arial"/>
                <w:color w:val="000000"/>
              </w:rPr>
              <w:t>)</w:t>
            </w:r>
            <w:r w:rsidR="0093120D">
              <w:rPr>
                <w:rFonts w:cs="Arial"/>
                <w:color w:val="000000"/>
              </w:rPr>
              <w:t>,</w:t>
            </w:r>
            <w:r>
              <w:rPr>
                <w:rFonts w:cs="Arial"/>
                <w:color w:val="000000"/>
              </w:rPr>
              <w:t xml:space="preserve">  §5.2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C665D3">
        <w:tc>
          <w:tcPr>
            <w:tcW w:w="1829" w:type="dxa"/>
          </w:tcPr>
          <w:p w14:paraId="3B4B7A8F" w14:textId="4E556368"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C665D3">
        <w:tc>
          <w:tcPr>
            <w:tcW w:w="1829" w:type="dxa"/>
          </w:tcPr>
          <w:p w14:paraId="0E6CAF9B" w14:textId="77777777" w:rsidR="002F5A9D" w:rsidRDefault="002F5A9D" w:rsidP="00C665D3">
            <w:pPr>
              <w:rPr>
                <w:rFonts w:cs="Arial" w:hint="eastAsia"/>
                <w:color w:val="000000"/>
                <w:lang w:eastAsia="zh-CN"/>
              </w:rPr>
            </w:pPr>
          </w:p>
        </w:tc>
        <w:tc>
          <w:tcPr>
            <w:tcW w:w="1080" w:type="dxa"/>
          </w:tcPr>
          <w:p w14:paraId="7A99983C" w14:textId="77777777" w:rsidR="002F5A9D" w:rsidRDefault="002F5A9D" w:rsidP="00C665D3">
            <w:pPr>
              <w:rPr>
                <w:rFonts w:cs="Arial" w:hint="eastAsia"/>
                <w:color w:val="000000"/>
                <w:lang w:eastAsia="zh-CN"/>
              </w:rPr>
            </w:pPr>
          </w:p>
        </w:tc>
        <w:tc>
          <w:tcPr>
            <w:tcW w:w="11039" w:type="dxa"/>
          </w:tcPr>
          <w:p w14:paraId="71722836" w14:textId="77777777" w:rsidR="002F5A9D" w:rsidRDefault="002F5A9D" w:rsidP="00C665D3">
            <w:pPr>
              <w:tabs>
                <w:tab w:val="left" w:pos="4196"/>
              </w:tabs>
              <w:rPr>
                <w:rFonts w:cs="Arial"/>
                <w:color w:val="000000"/>
              </w:rPr>
            </w:pP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aff0"/>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等线"/>
                <w:kern w:val="0"/>
                <w:sz w:val="32"/>
                <w:szCs w:val="20"/>
                <w:lang w:eastAsia="zh-CN"/>
              </w:rPr>
            </w:pPr>
            <w:bookmarkStart w:id="8" w:name="_Toc155999750"/>
            <w:bookmarkStart w:id="9" w:name="_Hlk79688968"/>
            <w:r w:rsidRPr="0037118C">
              <w:rPr>
                <w:rFonts w:eastAsia="等线"/>
                <w:kern w:val="0"/>
                <w:sz w:val="32"/>
                <w:szCs w:val="20"/>
                <w:lang w:eastAsia="zh-CN"/>
              </w:rPr>
              <w:lastRenderedPageBreak/>
              <w:t>5.27</w:t>
            </w:r>
            <w:r w:rsidRPr="0037118C">
              <w:rPr>
                <w:rFonts w:eastAsia="等线"/>
                <w:kern w:val="0"/>
                <w:sz w:val="32"/>
                <w:szCs w:val="20"/>
                <w:lang w:eastAsia="zh-CN"/>
              </w:rPr>
              <w:tab/>
              <w:t>Small Data Transmission</w:t>
            </w:r>
            <w:bookmarkEnd w:id="8"/>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等线"/>
                <w:kern w:val="0"/>
                <w:sz w:val="28"/>
                <w:szCs w:val="20"/>
                <w:lang w:eastAsia="zh-CN"/>
              </w:rPr>
            </w:pPr>
            <w:bookmarkStart w:id="10" w:name="_Toc155999751"/>
            <w:r w:rsidRPr="0037118C">
              <w:rPr>
                <w:rFonts w:eastAsia="等线"/>
                <w:kern w:val="0"/>
                <w:sz w:val="28"/>
                <w:szCs w:val="20"/>
                <w:lang w:eastAsia="zh-CN"/>
              </w:rPr>
              <w:t>5.27.1</w:t>
            </w:r>
            <w:r w:rsidRPr="0037118C">
              <w:rPr>
                <w:rFonts w:eastAsia="等线"/>
                <w:kern w:val="0"/>
                <w:sz w:val="28"/>
                <w:szCs w:val="20"/>
                <w:lang w:eastAsia="zh-CN"/>
              </w:rPr>
              <w:tab/>
              <w:t>General</w:t>
            </w:r>
            <w:bookmarkEnd w:id="10"/>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等线" w:hAnsi="Times New Roman"/>
                <w:kern w:val="0"/>
                <w:sz w:val="20"/>
                <w:szCs w:val="20"/>
                <w:lang w:eastAsia="zh-CN"/>
              </w:rPr>
            </w:pPr>
            <w:r>
              <w:rPr>
                <w:rFonts w:ascii="Times New Roman" w:eastAsia="等线" w:hAnsi="Times New Roman"/>
                <w:kern w:val="0"/>
                <w:sz w:val="20"/>
                <w:szCs w:val="20"/>
                <w:lang w:eastAsia="zh-CN"/>
              </w:rPr>
              <w:t>…</w:t>
            </w:r>
          </w:p>
          <w:bookmarkEnd w:id="9"/>
          <w:p w14:paraId="20E8162D" w14:textId="35F35FCD" w:rsidR="0037118C" w:rsidRDefault="0037118C" w:rsidP="005D3D72">
            <w:pPr>
              <w:rPr>
                <w:rFonts w:cs="Arial"/>
                <w:color w:val="000000"/>
              </w:rPr>
            </w:pPr>
            <w:r w:rsidRPr="003541C3">
              <w:rPr>
                <w:rFonts w:eastAsia="宋体"/>
              </w:rPr>
              <w:t xml:space="preserve">If Random Access procedure is selected above for SDT procedure initiated </w:t>
            </w:r>
            <w:r w:rsidRPr="003541C3">
              <w:rPr>
                <w:rFonts w:eastAsia="等线"/>
                <w:lang w:eastAsia="zh-CN"/>
              </w:rPr>
              <w:t xml:space="preserve">for </w:t>
            </w:r>
            <w:r w:rsidRPr="003541C3">
              <w:rPr>
                <w:rFonts w:eastAsia="宋体"/>
              </w:rPr>
              <w:t>MO-SDT or MT-SDT</w:t>
            </w:r>
            <w:r w:rsidR="00C14D64">
              <w:rPr>
                <w:rFonts w:eastAsia="宋体"/>
              </w:rPr>
              <w:t>, the MAC entity considers that SDT procedure is ongoing</w:t>
            </w:r>
            <w:r w:rsidRPr="003541C3">
              <w:rPr>
                <w:rFonts w:eastAsia="宋体"/>
              </w:rPr>
              <w:t xml:space="preserve"> and after the Random Access procedure is successfully completed (see clause 5.1.6), the UE monitors PDCCH addressed to C-RNTI received in random access response until the SDT procedure is terminated. </w:t>
            </w:r>
            <w:r w:rsidRPr="003541C3">
              <w:rPr>
                <w:rFonts w:eastAsia="宋体"/>
                <w:lang w:eastAsia="zh-CN"/>
              </w:rPr>
              <w:t>If</w:t>
            </w:r>
            <w:r w:rsidRPr="003541C3">
              <w:rPr>
                <w:rFonts w:eastAsia="宋体"/>
              </w:rPr>
              <w:t xml:space="preserve"> CG-SDT is selected above after the initial transmission for CG-SDT is performed, </w:t>
            </w:r>
            <w:r w:rsidR="00C14D64">
              <w:rPr>
                <w:rFonts w:eastAsia="宋体"/>
              </w:rPr>
              <w:t xml:space="preserve">the MAC entity considers that CG-SDT procedure is ongoing and </w:t>
            </w:r>
            <w:r w:rsidRPr="003541C3">
              <w:rPr>
                <w:rFonts w:eastAsia="宋体"/>
              </w:rPr>
              <w:t xml:space="preserve">the UE monitors PDCCH addressed to C-RNTI as </w:t>
            </w:r>
            <w:r w:rsidRPr="003541C3">
              <w:t xml:space="preserve">stored in UE Inactive AS context as specified </w:t>
            </w:r>
            <w:r w:rsidRPr="003541C3">
              <w:rPr>
                <w:rFonts w:eastAsia="等线"/>
                <w:lang w:eastAsia="zh-CN"/>
              </w:rPr>
              <w:t xml:space="preserve">in TS 38.331 [5] </w:t>
            </w:r>
            <w:r w:rsidRPr="003541C3">
              <w:rPr>
                <w:rFonts w:eastAsia="宋体"/>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aff0"/>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FA10E2">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FA10E2">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FA10E2">
        <w:tc>
          <w:tcPr>
            <w:tcW w:w="1838" w:type="dxa"/>
          </w:tcPr>
          <w:p w14:paraId="220C8100" w14:textId="47D9D42E" w:rsidR="002B3A7F" w:rsidRDefault="002B3A7F" w:rsidP="002B3A7F">
            <w:pPr>
              <w:rPr>
                <w:rFonts w:cs="Arial"/>
                <w:color w:val="000000"/>
              </w:rPr>
            </w:pPr>
            <w:r>
              <w:rPr>
                <w:rFonts w:cs="Arial"/>
                <w:color w:val="000000"/>
              </w:rPr>
              <w:t>Huawei, HiSilicon</w:t>
            </w:r>
          </w:p>
        </w:tc>
        <w:tc>
          <w:tcPr>
            <w:tcW w:w="992" w:type="dxa"/>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FA10E2">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FA10E2">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FA10E2">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FA10E2">
        <w:tc>
          <w:tcPr>
            <w:tcW w:w="1838" w:type="dxa"/>
          </w:tcPr>
          <w:p w14:paraId="18F46147" w14:textId="77777777" w:rsidR="002F5A9D" w:rsidRDefault="002F5A9D" w:rsidP="00C665D3">
            <w:pPr>
              <w:rPr>
                <w:rFonts w:cs="Arial" w:hint="eastAsia"/>
                <w:color w:val="000000"/>
                <w:lang w:eastAsia="zh-CN"/>
              </w:rPr>
            </w:pPr>
          </w:p>
        </w:tc>
        <w:tc>
          <w:tcPr>
            <w:tcW w:w="992" w:type="dxa"/>
          </w:tcPr>
          <w:p w14:paraId="72448D86" w14:textId="77777777" w:rsidR="002F5A9D" w:rsidRDefault="002F5A9D" w:rsidP="00C665D3">
            <w:pPr>
              <w:rPr>
                <w:rFonts w:cs="Arial" w:hint="eastAsia"/>
                <w:color w:val="000000"/>
                <w:lang w:eastAsia="zh-CN"/>
              </w:rPr>
            </w:pPr>
          </w:p>
        </w:tc>
        <w:tc>
          <w:tcPr>
            <w:tcW w:w="11118" w:type="dxa"/>
          </w:tcPr>
          <w:p w14:paraId="4AF646BF" w14:textId="77777777" w:rsidR="002F5A9D" w:rsidRDefault="002F5A9D" w:rsidP="00C665D3">
            <w:pPr>
              <w:rPr>
                <w:rFonts w:cs="Arial"/>
                <w:color w:val="000000"/>
              </w:rPr>
            </w:pP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lastRenderedPageBreak/>
        <w:t xml:space="preserve">Finally, we can check if there are any other clarifications needed in MAC. </w:t>
      </w:r>
    </w:p>
    <w:tbl>
      <w:tblPr>
        <w:tblStyle w:val="aff0"/>
        <w:tblW w:w="0" w:type="auto"/>
        <w:tblLook w:val="04A0" w:firstRow="1" w:lastRow="0" w:firstColumn="1" w:lastColumn="0" w:noHBand="0" w:noVBand="1"/>
      </w:tblPr>
      <w:tblGrid>
        <w:gridCol w:w="1838"/>
        <w:gridCol w:w="992"/>
        <w:gridCol w:w="11118"/>
      </w:tblGrid>
      <w:tr w:rsidR="0074245C" w14:paraId="1D31BD30" w14:textId="77777777" w:rsidTr="00FA10E2">
        <w:tc>
          <w:tcPr>
            <w:tcW w:w="13948"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FA10E2">
        <w:tc>
          <w:tcPr>
            <w:tcW w:w="1838" w:type="dxa"/>
          </w:tcPr>
          <w:p w14:paraId="183390FD" w14:textId="77777777" w:rsidR="0074245C" w:rsidRDefault="0074245C" w:rsidP="00FA10E2">
            <w:pPr>
              <w:rPr>
                <w:rFonts w:cs="Arial"/>
                <w:color w:val="000000"/>
              </w:rPr>
            </w:pPr>
            <w:r>
              <w:rPr>
                <w:rFonts w:cs="Arial"/>
                <w:color w:val="000000"/>
              </w:rPr>
              <w:t>Company</w:t>
            </w:r>
          </w:p>
        </w:tc>
        <w:tc>
          <w:tcPr>
            <w:tcW w:w="992"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FA10E2">
        <w:tc>
          <w:tcPr>
            <w:tcW w:w="1838" w:type="dxa"/>
          </w:tcPr>
          <w:p w14:paraId="5286CEDE" w14:textId="682820AB" w:rsidR="0074245C" w:rsidRDefault="007A18DC" w:rsidP="00FA10E2">
            <w:pPr>
              <w:rPr>
                <w:rFonts w:cs="Arial"/>
                <w:color w:val="000000"/>
              </w:rPr>
            </w:pPr>
            <w:r>
              <w:rPr>
                <w:rFonts w:cs="Arial"/>
                <w:color w:val="000000"/>
              </w:rPr>
              <w:t>Ericsson</w:t>
            </w:r>
          </w:p>
        </w:tc>
        <w:tc>
          <w:tcPr>
            <w:tcW w:w="992" w:type="dxa"/>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FA10E2">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992" w:type="dxa"/>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FA10E2">
        <w:tc>
          <w:tcPr>
            <w:tcW w:w="1838" w:type="dxa"/>
          </w:tcPr>
          <w:p w14:paraId="7A7B0B73" w14:textId="48AEE62B" w:rsidR="002B3A7F" w:rsidRDefault="002B3A7F" w:rsidP="002B3A7F">
            <w:pPr>
              <w:rPr>
                <w:rFonts w:cs="Arial"/>
                <w:color w:val="000000"/>
              </w:rPr>
            </w:pPr>
            <w:r>
              <w:rPr>
                <w:rFonts w:cs="Arial"/>
                <w:color w:val="000000"/>
              </w:rPr>
              <w:t>Huawei, HiSilicon</w:t>
            </w:r>
          </w:p>
        </w:tc>
        <w:tc>
          <w:tcPr>
            <w:tcW w:w="992" w:type="dxa"/>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FA10E2">
        <w:tc>
          <w:tcPr>
            <w:tcW w:w="1838" w:type="dxa"/>
          </w:tcPr>
          <w:p w14:paraId="269782E0" w14:textId="10074A49" w:rsidR="002B3A7F" w:rsidRDefault="009B0F10" w:rsidP="002B3A7F">
            <w:pPr>
              <w:rPr>
                <w:rFonts w:cs="Arial"/>
                <w:color w:val="000000"/>
              </w:rPr>
            </w:pPr>
            <w:r>
              <w:rPr>
                <w:rFonts w:cs="Arial"/>
                <w:color w:val="000000"/>
              </w:rPr>
              <w:t>ZTE</w:t>
            </w:r>
          </w:p>
        </w:tc>
        <w:tc>
          <w:tcPr>
            <w:tcW w:w="992" w:type="dxa"/>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FA10E2">
        <w:tc>
          <w:tcPr>
            <w:tcW w:w="1838" w:type="dxa"/>
          </w:tcPr>
          <w:p w14:paraId="549C5F0A" w14:textId="3212DB67" w:rsidR="002B3A7F" w:rsidRDefault="00022E17" w:rsidP="002B3A7F">
            <w:pPr>
              <w:rPr>
                <w:rFonts w:cs="Arial"/>
                <w:color w:val="000000"/>
              </w:rPr>
            </w:pPr>
            <w:r>
              <w:rPr>
                <w:rFonts w:cs="Arial"/>
                <w:color w:val="000000"/>
              </w:rPr>
              <w:t>Intel</w:t>
            </w:r>
          </w:p>
        </w:tc>
        <w:tc>
          <w:tcPr>
            <w:tcW w:w="992" w:type="dxa"/>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2B3A7F" w14:paraId="2C46BB67" w14:textId="77777777" w:rsidTr="00FA10E2">
        <w:tc>
          <w:tcPr>
            <w:tcW w:w="1838" w:type="dxa"/>
          </w:tcPr>
          <w:p w14:paraId="23BC85DB" w14:textId="77777777" w:rsidR="002B3A7F" w:rsidRDefault="002B3A7F" w:rsidP="002B3A7F">
            <w:pPr>
              <w:rPr>
                <w:rFonts w:cs="Arial"/>
                <w:color w:val="000000"/>
              </w:rPr>
            </w:pPr>
          </w:p>
        </w:tc>
        <w:tc>
          <w:tcPr>
            <w:tcW w:w="992" w:type="dxa"/>
          </w:tcPr>
          <w:p w14:paraId="1267E4CC" w14:textId="77777777" w:rsidR="002B3A7F" w:rsidRDefault="002B3A7F" w:rsidP="002B3A7F">
            <w:pPr>
              <w:rPr>
                <w:rFonts w:cs="Arial"/>
                <w:color w:val="000000"/>
              </w:rPr>
            </w:pPr>
          </w:p>
        </w:tc>
        <w:tc>
          <w:tcPr>
            <w:tcW w:w="11118" w:type="dxa"/>
          </w:tcPr>
          <w:p w14:paraId="36C12F77" w14:textId="77777777" w:rsidR="002B3A7F" w:rsidRDefault="002B3A7F" w:rsidP="002B3A7F">
            <w:pPr>
              <w:rPr>
                <w:rFonts w:cs="Arial"/>
                <w:color w:val="000000"/>
              </w:rPr>
            </w:pPr>
          </w:p>
        </w:tc>
      </w:tr>
    </w:tbl>
    <w:p w14:paraId="57B53A34" w14:textId="77777777" w:rsidR="0074245C" w:rsidRDefault="0074245C" w:rsidP="005D3D72">
      <w:pPr>
        <w:rPr>
          <w:rFonts w:cs="Arial"/>
          <w:color w:val="000000"/>
        </w:rPr>
      </w:pPr>
    </w:p>
    <w:p w14:paraId="4F9EF332"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7C60918E" w:rsidR="007F1E63" w:rsidRPr="007F1E63" w:rsidRDefault="00F530BD" w:rsidP="007F1E63">
      <w:pPr>
        <w:rPr>
          <w:rFonts w:cs="Arial"/>
          <w:b/>
          <w:bCs/>
          <w:color w:val="000000"/>
        </w:rPr>
      </w:pPr>
      <w:r>
        <w:rPr>
          <w:b/>
          <w:bCs/>
        </w:rPr>
        <w:t>TBD</w:t>
      </w:r>
      <w:r w:rsidR="007F1E63">
        <w:rPr>
          <w:rFonts w:cs="Arial"/>
          <w:b/>
          <w:bCs/>
          <w:color w:val="000000"/>
        </w:rPr>
        <w:t xml:space="preserve"> </w:t>
      </w:r>
    </w:p>
    <w:p w14:paraId="20198205" w14:textId="77777777" w:rsidR="00363119" w:rsidRDefault="003957AF">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1" w:name="_Toc18404543"/>
      <w:bookmarkStart w:id="12" w:name="_Toc18403976"/>
      <w:bookmarkStart w:id="13" w:name="_Toc18413612"/>
      <w:r>
        <w:rPr>
          <w:rFonts w:cs="Arial"/>
          <w:b w:val="0"/>
          <w:bCs w:val="0"/>
          <w:kern w:val="0"/>
          <w:sz w:val="32"/>
          <w:szCs w:val="36"/>
        </w:rPr>
        <w:t>References</w:t>
      </w:r>
      <w:bookmarkEnd w:id="11"/>
      <w:bookmarkEnd w:id="12"/>
      <w:bookmarkEnd w:id="13"/>
    </w:p>
    <w:p w14:paraId="0D9DCB91" w14:textId="60959FA3" w:rsidR="00363119" w:rsidRDefault="00CA15DD">
      <w:pPr>
        <w:pStyle w:val="afd"/>
        <w:numPr>
          <w:ilvl w:val="0"/>
          <w:numId w:val="10"/>
        </w:numPr>
        <w:spacing w:before="75" w:beforeAutospacing="0" w:after="75" w:afterAutospacing="0" w:line="315" w:lineRule="atLeast"/>
        <w:rPr>
          <w:rFonts w:cs="Arial"/>
          <w:color w:val="000000"/>
          <w:sz w:val="21"/>
        </w:rPr>
      </w:pPr>
      <w:hyperlink r:id="rId12" w:history="1">
        <w:r w:rsidR="009D6DB3" w:rsidRPr="009D6DB3">
          <w:rPr>
            <w:rStyle w:val="aff5"/>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F36912">
      <w:headerReference w:type="default" r:id="rId13"/>
      <w:footerReference w:type="even" r:id="rId14"/>
      <w:footerReference w:type="default" r:id="rId15"/>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7128" w14:textId="77777777" w:rsidR="00CA15DD" w:rsidRDefault="00CA15DD">
      <w:pPr>
        <w:spacing w:line="240" w:lineRule="auto"/>
      </w:pPr>
      <w:r>
        <w:separator/>
      </w:r>
    </w:p>
  </w:endnote>
  <w:endnote w:type="continuationSeparator" w:id="0">
    <w:p w14:paraId="74C5BD92" w14:textId="77777777" w:rsidR="00CA15DD" w:rsidRDefault="00CA15DD">
      <w:pPr>
        <w:spacing w:line="240" w:lineRule="auto"/>
      </w:pPr>
      <w:r>
        <w:continuationSeparator/>
      </w:r>
    </w:p>
  </w:endnote>
  <w:endnote w:type="continuationNotice" w:id="1">
    <w:p w14:paraId="54484EF4" w14:textId="77777777" w:rsidR="00CA15DD" w:rsidRDefault="00CA1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F8F3" w14:textId="77777777" w:rsidR="00363119" w:rsidRDefault="003957AF">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50460C4" w14:textId="77777777" w:rsidR="00363119" w:rsidRDefault="0036311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6E43" w14:textId="77777777" w:rsidR="00363119" w:rsidRDefault="00363119">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4D1B7" w14:textId="77777777" w:rsidR="00CA15DD" w:rsidRDefault="00CA15DD">
      <w:pPr>
        <w:spacing w:after="0"/>
      </w:pPr>
      <w:r>
        <w:separator/>
      </w:r>
    </w:p>
  </w:footnote>
  <w:footnote w:type="continuationSeparator" w:id="0">
    <w:p w14:paraId="746B6898" w14:textId="77777777" w:rsidR="00CA15DD" w:rsidRDefault="00CA15DD">
      <w:pPr>
        <w:spacing w:after="0"/>
      </w:pPr>
      <w:r>
        <w:continuationSeparator/>
      </w:r>
    </w:p>
  </w:footnote>
  <w:footnote w:type="continuationNotice" w:id="1">
    <w:p w14:paraId="13051116" w14:textId="77777777" w:rsidR="00CA15DD" w:rsidRDefault="00CA1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E8F7" w14:textId="77777777" w:rsidR="00363119" w:rsidRDefault="00363119">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13"/>
  </w:num>
  <w:num w:numId="5">
    <w:abstractNumId w:val="2"/>
  </w:num>
  <w:num w:numId="6">
    <w:abstractNumId w:val="6"/>
  </w:num>
  <w:num w:numId="7">
    <w:abstractNumId w:val="17"/>
  </w:num>
  <w:num w:numId="8">
    <w:abstractNumId w:val="5"/>
  </w:num>
  <w:num w:numId="9">
    <w:abstractNumId w:val="7"/>
  </w:num>
  <w:num w:numId="10">
    <w:abstractNumId w:val="18"/>
  </w:num>
  <w:num w:numId="11">
    <w:abstractNumId w:val="20"/>
  </w:num>
  <w:num w:numId="12">
    <w:abstractNumId w:val="10"/>
  </w:num>
  <w:num w:numId="13">
    <w:abstractNumId w:val="15"/>
  </w:num>
  <w:num w:numId="14">
    <w:abstractNumId w:val="14"/>
  </w:num>
  <w:num w:numId="15">
    <w:abstractNumId w:val="9"/>
  </w:num>
  <w:num w:numId="16">
    <w:abstractNumId w:val="8"/>
  </w:num>
  <w:num w:numId="17">
    <w:abstractNumId w:val="1"/>
  </w:num>
  <w:num w:numId="18">
    <w:abstractNumId w:val="19"/>
  </w:num>
  <w:num w:numId="19">
    <w:abstractNumId w:val="3"/>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7D0F"/>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FFE"/>
    <w:rsid w:val="00202C4B"/>
    <w:rsid w:val="00203B88"/>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E00"/>
    <w:rsid w:val="005371D2"/>
    <w:rsid w:val="00537528"/>
    <w:rsid w:val="00542ED7"/>
    <w:rsid w:val="0054322D"/>
    <w:rsid w:val="005434D7"/>
    <w:rsid w:val="00545A76"/>
    <w:rsid w:val="0055002F"/>
    <w:rsid w:val="005506C7"/>
    <w:rsid w:val="005514AA"/>
    <w:rsid w:val="00552A8F"/>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579F"/>
    <w:rsid w:val="0065726E"/>
    <w:rsid w:val="0065784F"/>
    <w:rsid w:val="006608AE"/>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810C4"/>
    <w:rsid w:val="00682047"/>
    <w:rsid w:val="0068365D"/>
    <w:rsid w:val="0068376C"/>
    <w:rsid w:val="0068430C"/>
    <w:rsid w:val="00685237"/>
    <w:rsid w:val="006852A4"/>
    <w:rsid w:val="00685EC8"/>
    <w:rsid w:val="00686827"/>
    <w:rsid w:val="00690BB8"/>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F6C"/>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EBA"/>
    <w:rsid w:val="00B135DB"/>
    <w:rsid w:val="00B14F14"/>
    <w:rsid w:val="00B15903"/>
    <w:rsid w:val="00B1604A"/>
    <w:rsid w:val="00B162C7"/>
    <w:rsid w:val="00B166C8"/>
    <w:rsid w:val="00B173DD"/>
    <w:rsid w:val="00B22F7C"/>
    <w:rsid w:val="00B23532"/>
    <w:rsid w:val="00B23604"/>
    <w:rsid w:val="00B243E6"/>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A05"/>
    <w:rsid w:val="00B52B1E"/>
    <w:rsid w:val="00B53EAE"/>
    <w:rsid w:val="00B54621"/>
    <w:rsid w:val="00B55CF3"/>
    <w:rsid w:val="00B57187"/>
    <w:rsid w:val="00B57304"/>
    <w:rsid w:val="00B57665"/>
    <w:rsid w:val="00B609A8"/>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E0D3E"/>
    <w:rsid w:val="00CE2D1F"/>
    <w:rsid w:val="00CE316E"/>
    <w:rsid w:val="00CE3462"/>
    <w:rsid w:val="00CE4FCD"/>
    <w:rsid w:val="00CE52F0"/>
    <w:rsid w:val="00CE5686"/>
    <w:rsid w:val="00CE7389"/>
    <w:rsid w:val="00CF121A"/>
    <w:rsid w:val="00CF18A3"/>
    <w:rsid w:val="00CF1AD6"/>
    <w:rsid w:val="00CF356A"/>
    <w:rsid w:val="00CF3A79"/>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68CA"/>
    <w:rsid w:val="00E47D3F"/>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96069"/>
  <w15:docId w15:val="{126C67F0-CBE1-4288-A3A5-E2CC03C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Arial" w:eastAsiaTheme="minorEastAsia" w:hAnsi="Arial"/>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widowControl/>
      <w:spacing w:before="40"/>
      <w:ind w:left="849" w:hanging="283"/>
      <w:jc w:val="left"/>
    </w:pPr>
    <w:rPr>
      <w:rFonts w:eastAsia="MS Mincho"/>
      <w:kern w:val="0"/>
      <w:sz w:val="20"/>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1">
    <w:name w:val="toc 7"/>
    <w:basedOn w:val="a"/>
    <w:next w:val="a"/>
    <w:qFormat/>
    <w:pPr>
      <w:tabs>
        <w:tab w:val="right" w:leader="dot" w:pos="9241"/>
      </w:tabs>
      <w:ind w:firstLineChars="500" w:firstLine="500"/>
      <w:jc w:val="left"/>
    </w:pPr>
    <w:rPr>
      <w:rFonts w:ascii="宋体"/>
    </w:rPr>
  </w:style>
  <w:style w:type="paragraph" w:styleId="22">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qFormat/>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宋体"/>
    </w:rPr>
  </w:style>
  <w:style w:type="paragraph" w:styleId="3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hAnsi="Arial"/>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宋体"/>
    </w:rPr>
  </w:style>
  <w:style w:type="paragraph" w:styleId="92">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1"/>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qFormat/>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spacing w:after="160" w:line="259" w:lineRule="auto"/>
    </w:pPr>
    <w:rPr>
      <w:rFonts w:ascii="宋体" w:eastAsiaTheme="minorEastAsia"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spacing w:after="160" w:line="259" w:lineRule="auto"/>
      <w:jc w:val="center"/>
    </w:pPr>
    <w:rPr>
      <w:rFonts w:ascii="宋体" w:eastAsiaTheme="minorEastAsia" w:hAnsi="Arial"/>
      <w:b/>
      <w:spacing w:val="20"/>
      <w:w w:val="135"/>
      <w:kern w:val="2"/>
      <w:sz w:val="28"/>
      <w:szCs w:val="21"/>
      <w:lang w:val="en-US" w:eastAsia="zh-CN"/>
    </w:rPr>
  </w:style>
  <w:style w:type="paragraph" w:customStyle="1" w:styleId="afff0">
    <w:name w:val="示例"/>
    <w:next w:val="afff1"/>
    <w:qFormat/>
    <w:pPr>
      <w:widowControl w:val="0"/>
      <w:spacing w:after="160" w:line="259" w:lineRule="auto"/>
      <w:ind w:left="360" w:hanging="360"/>
      <w:jc w:val="both"/>
    </w:pPr>
    <w:rPr>
      <w:rFonts w:ascii="宋体" w:eastAsiaTheme="minorEastAsia" w:hAnsi="Arial"/>
      <w:kern w:val="2"/>
      <w:sz w:val="18"/>
      <w:szCs w:val="18"/>
      <w:lang w:val="en-US" w:eastAsia="zh-CN"/>
    </w:rPr>
  </w:style>
  <w:style w:type="paragraph" w:customStyle="1" w:styleId="afff1">
    <w:name w:val="示例内容"/>
    <w:qFormat/>
    <w:pPr>
      <w:spacing w:after="160" w:line="259" w:lineRule="auto"/>
      <w:ind w:firstLineChars="200" w:firstLine="200"/>
    </w:pPr>
    <w:rPr>
      <w:rFonts w:ascii="宋体" w:eastAsiaTheme="minorEastAsia" w:hAnsi="Arial"/>
      <w:kern w:val="2"/>
      <w:sz w:val="18"/>
      <w:szCs w:val="18"/>
      <w:lang w:val="en-US" w:eastAsia="zh-CN"/>
    </w:rPr>
  </w:style>
  <w:style w:type="paragraph" w:customStyle="1" w:styleId="afff2">
    <w:name w:val="附录数字编号列项（二级）"/>
    <w:qFormat/>
    <w:pPr>
      <w:tabs>
        <w:tab w:val="left" w:pos="363"/>
        <w:tab w:val="left" w:pos="840"/>
      </w:tabs>
      <w:spacing w:after="160" w:line="259" w:lineRule="auto"/>
      <w:ind w:firstLine="363"/>
    </w:pPr>
    <w:rPr>
      <w:rFonts w:ascii="宋体" w:eastAsiaTheme="minorEastAsia" w:hAnsi="Arial"/>
      <w:kern w:val="2"/>
      <w:sz w:val="21"/>
      <w:szCs w:val="21"/>
      <w:lang w:val="en-US" w:eastAsia="zh-CN"/>
    </w:rPr>
  </w:style>
  <w:style w:type="paragraph" w:customStyle="1" w:styleId="afff3">
    <w:name w:val="标准书眉_奇数页"/>
    <w:next w:val="a"/>
    <w:qFormat/>
    <w:pPr>
      <w:tabs>
        <w:tab w:val="center" w:pos="4154"/>
        <w:tab w:val="right" w:pos="8306"/>
      </w:tabs>
      <w:spacing w:after="220" w:line="259" w:lineRule="auto"/>
      <w:jc w:val="right"/>
    </w:pPr>
    <w:rPr>
      <w:rFonts w:ascii="黑体" w:eastAsia="黑体" w:hAnsi="Arial"/>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after="160" w:line="259" w:lineRule="auto"/>
      <w:outlineLvl w:val="2"/>
    </w:pPr>
    <w:rPr>
      <w:rFonts w:ascii="黑体" w:eastAsia="黑体" w:hAnsi="Arial"/>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hAnsi="Arial"/>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after="160" w:line="259" w:lineRule="auto"/>
      <w:jc w:val="both"/>
      <w:outlineLvl w:val="1"/>
    </w:pPr>
    <w:rPr>
      <w:rFonts w:ascii="黑体" w:eastAsia="黑体" w:hAnsi="Arial"/>
      <w:kern w:val="2"/>
      <w:sz w:val="21"/>
      <w:szCs w:val="21"/>
      <w:lang w:val="en-US" w:eastAsia="zh-CN"/>
    </w:rPr>
  </w:style>
  <w:style w:type="paragraph" w:customStyle="1" w:styleId="afffc">
    <w:name w:val="正文表标题"/>
    <w:next w:val="af9"/>
    <w:qFormat/>
    <w:pPr>
      <w:tabs>
        <w:tab w:val="left" w:pos="0"/>
        <w:tab w:val="left" w:pos="360"/>
      </w:tabs>
      <w:spacing w:beforeLines="50" w:afterLines="50" w:after="160" w:line="259" w:lineRule="auto"/>
      <w:ind w:left="720" w:hanging="357"/>
      <w:jc w:val="center"/>
    </w:pPr>
    <w:rPr>
      <w:rFonts w:ascii="黑体" w:eastAsia="黑体" w:hAnsi="Arial"/>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spacing w:after="160" w:line="259" w:lineRule="auto"/>
      <w:jc w:val="both"/>
    </w:pPr>
    <w:rPr>
      <w:rFonts w:ascii="宋体" w:eastAsiaTheme="minorEastAsia" w:hAnsi="Arial"/>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spacing w:after="160" w:line="259" w:lineRule="auto"/>
      <w:textAlignment w:val="center"/>
    </w:pPr>
    <w:rPr>
      <w:rFonts w:ascii="黑体" w:eastAsia="黑体" w:hAnsi="Arial"/>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pPr>
      <w:spacing w:after="160" w:line="259" w:lineRule="auto"/>
    </w:pPr>
    <w:rPr>
      <w:rFonts w:ascii="Arial" w:eastAsia="黑体"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after="160" w:line="680" w:lineRule="exact"/>
      <w:jc w:val="center"/>
      <w:textAlignment w:val="center"/>
    </w:pPr>
    <w:rPr>
      <w:rFonts w:ascii="黑体" w:eastAsia="黑体" w:hAnsi="Arial"/>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after="160" w:line="280" w:lineRule="exact"/>
      <w:jc w:val="right"/>
    </w:pPr>
    <w:rPr>
      <w:rFonts w:ascii="宋体" w:eastAsiaTheme="minorEastAsia" w:hAnsi="Arial"/>
      <w:kern w:val="2"/>
      <w:sz w:val="21"/>
      <w:szCs w:val="21"/>
      <w:lang w:val="en-US" w:eastAsia="zh-CN"/>
    </w:rPr>
  </w:style>
  <w:style w:type="character" w:customStyle="1" w:styleId="ab">
    <w:name w:val="批注文字 字符"/>
    <w:basedOn w:val="a0"/>
    <w:link w:val="aa"/>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9"/>
    <w:qFormat/>
  </w:style>
  <w:style w:type="paragraph" w:customStyle="1" w:styleId="28">
    <w:name w:val="封面标准号2"/>
    <w:qFormat/>
    <w:pPr>
      <w:spacing w:before="357" w:after="160" w:line="280" w:lineRule="exact"/>
      <w:jc w:val="right"/>
    </w:pPr>
    <w:rPr>
      <w:rFonts w:ascii="黑体" w:eastAsia="黑体" w:hAnsi="Arial"/>
      <w:kern w:val="2"/>
      <w:sz w:val="28"/>
      <w:szCs w:val="28"/>
      <w:lang w:val="en-US" w:eastAsia="zh-CN"/>
    </w:rPr>
  </w:style>
  <w:style w:type="paragraph" w:customStyle="1" w:styleId="29">
    <w:name w:val="封面一致性程度标识2"/>
    <w:basedOn w:val="affff8"/>
    <w:qFormat/>
  </w:style>
  <w:style w:type="paragraph" w:customStyle="1" w:styleId="affffd">
    <w:name w:val="注×："/>
    <w:qFormat/>
    <w:pPr>
      <w:widowControl w:val="0"/>
      <w:autoSpaceDE w:val="0"/>
      <w:autoSpaceDN w:val="0"/>
      <w:spacing w:after="160" w:line="259" w:lineRule="auto"/>
      <w:ind w:left="1287" w:hanging="360"/>
      <w:jc w:val="both"/>
    </w:pPr>
    <w:rPr>
      <w:rFonts w:ascii="宋体" w:eastAsiaTheme="minorEastAsia" w:hAnsi="Arial"/>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fff2">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spacing w:after="160" w:line="259" w:lineRule="auto"/>
      <w:ind w:leftChars="200" w:left="840" w:hangingChars="200" w:hanging="420"/>
      <w:jc w:val="both"/>
    </w:pPr>
    <w:rPr>
      <w:rFonts w:ascii="宋体" w:eastAsiaTheme="minorEastAsia" w:hAnsi="Arial"/>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pPr>
      <w:spacing w:after="160" w:line="259" w:lineRule="auto"/>
    </w:pPr>
    <w:rPr>
      <w:rFonts w:ascii="宋体" w:eastAsiaTheme="minorEastAsia" w:hAnsi="Arial"/>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after="160"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after="160" w:line="259" w:lineRule="auto"/>
      <w:ind w:left="1304" w:hanging="1304"/>
      <w:jc w:val="center"/>
    </w:pPr>
    <w:rPr>
      <w:rFonts w:ascii="黑体" w:eastAsia="黑体"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link w:val="B5Char"/>
    <w:qFormat/>
  </w:style>
  <w:style w:type="paragraph" w:customStyle="1" w:styleId="affffff2">
    <w:name w:val="其他发布日期"/>
    <w:basedOn w:val="affff6"/>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spacing w:after="160" w:line="259" w:lineRule="auto"/>
      <w:ind w:firstLine="363"/>
      <w:jc w:val="both"/>
    </w:pPr>
    <w:rPr>
      <w:rFonts w:ascii="宋体" w:eastAsiaTheme="minorEastAsia" w:hAnsi="Arial"/>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spacing w:after="160" w:line="259" w:lineRule="auto"/>
      <w:ind w:left="1190" w:hanging="567"/>
      <w:jc w:val="both"/>
    </w:pPr>
    <w:rPr>
      <w:rFonts w:ascii="宋体"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qFormat/>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spacing w:after="160" w:line="259" w:lineRule="auto"/>
      <w:ind w:left="623" w:hanging="425"/>
      <w:jc w:val="both"/>
    </w:pPr>
    <w:rPr>
      <w:rFonts w:ascii="宋体" w:eastAsiaTheme="minorEastAsia" w:hAnsi="Arial"/>
      <w:kern w:val="2"/>
      <w:sz w:val="21"/>
      <w:szCs w:val="21"/>
      <w:lang w:val="en-US" w:eastAsia="zh-CN"/>
    </w:rPr>
  </w:style>
  <w:style w:type="paragraph" w:customStyle="1" w:styleId="affffffb">
    <w:name w:val="附录字母编号列项（一级）"/>
    <w:qFormat/>
    <w:pPr>
      <w:tabs>
        <w:tab w:val="left" w:pos="839"/>
      </w:tabs>
      <w:spacing w:after="160" w:line="259" w:lineRule="auto"/>
      <w:ind w:firstLine="363"/>
    </w:pPr>
    <w:rPr>
      <w:rFonts w:ascii="宋体"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after="160" w:line="320" w:lineRule="exact"/>
      <w:jc w:val="both"/>
    </w:pPr>
    <w:rPr>
      <w:rFonts w:ascii="宋体" w:eastAsiaTheme="minorEastAsia" w:hAnsi="Arial"/>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after="160" w:line="0" w:lineRule="atLeast"/>
      <w:jc w:val="distribute"/>
    </w:pPr>
    <w:rPr>
      <w:rFonts w:ascii="宋体" w:eastAsiaTheme="minorEastAsia" w:hAnsi="Arial"/>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a">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fff6">
    <w:name w:val="列项●（二级）"/>
    <w:qFormat/>
    <w:pPr>
      <w:tabs>
        <w:tab w:val="left" w:pos="760"/>
        <w:tab w:val="left" w:pos="840"/>
      </w:tabs>
      <w:spacing w:after="160" w:line="259" w:lineRule="auto"/>
      <w:ind w:left="839" w:hanging="419"/>
      <w:jc w:val="both"/>
    </w:pPr>
    <w:rPr>
      <w:rFonts w:ascii="宋体" w:eastAsiaTheme="minorEastAsia" w:hAnsi="Arial"/>
      <w:kern w:val="2"/>
      <w:sz w:val="21"/>
      <w:szCs w:val="21"/>
      <w:lang w:val="en-US" w:eastAsia="zh-CN"/>
    </w:rPr>
  </w:style>
  <w:style w:type="paragraph" w:customStyle="1" w:styleId="2b">
    <w:name w:val="封面标准名称2"/>
    <w:basedOn w:val="affffa"/>
    <w:qFormat/>
    <w:pPr>
      <w:spacing w:beforeLines="630"/>
    </w:pPr>
  </w:style>
  <w:style w:type="paragraph" w:customStyle="1" w:styleId="afffffff7">
    <w:name w:val="前言、引言标题"/>
    <w:next w:val="af9"/>
    <w:qFormat/>
    <w:pPr>
      <w:keepNext/>
      <w:pageBreakBefore/>
      <w:shd w:val="clear" w:color="FFFFFF" w:fill="FFFFFF"/>
      <w:spacing w:before="640" w:after="560" w:line="259" w:lineRule="auto"/>
      <w:jc w:val="center"/>
      <w:outlineLvl w:val="0"/>
    </w:pPr>
    <w:rPr>
      <w:rFonts w:ascii="黑体" w:eastAsia="黑体" w:hAnsi="Arial"/>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qFormat/>
    <w:pPr>
      <w:spacing w:before="120" w:after="160" w:line="259" w:lineRule="auto"/>
      <w:ind w:right="198"/>
      <w:jc w:val="right"/>
    </w:pPr>
    <w:rPr>
      <w:rFonts w:ascii="宋体" w:eastAsiaTheme="minorEastAsia" w:hAnsi="Arial"/>
      <w:kern w:val="2"/>
      <w:sz w:val="18"/>
      <w:szCs w:val="18"/>
      <w:lang w:val="en-US" w:eastAsia="zh-CN"/>
    </w:rPr>
  </w:style>
  <w:style w:type="paragraph" w:customStyle="1" w:styleId="afffffffb">
    <w:name w:val="附录二级无"/>
    <w:basedOn w:val="affff1"/>
    <w:qFormat/>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spacing w:after="160" w:line="259" w:lineRule="auto"/>
      <w:ind w:leftChars="400" w:left="600" w:hangingChars="200" w:hanging="200"/>
    </w:pPr>
    <w:rPr>
      <w:rFonts w:ascii="宋体" w:eastAsiaTheme="minorEastAsia" w:hAnsi="Arial"/>
      <w:kern w:val="2"/>
      <w:sz w:val="21"/>
      <w:szCs w:val="21"/>
      <w:lang w:val="en-US" w:eastAsia="zh-CN"/>
    </w:rPr>
  </w:style>
  <w:style w:type="paragraph" w:customStyle="1" w:styleId="afffffffe">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fff0">
    <w:name w:val="标准书脚_偶数页"/>
    <w:qFormat/>
    <w:pPr>
      <w:spacing w:before="120" w:after="160" w:line="259" w:lineRule="auto"/>
      <w:ind w:left="221"/>
    </w:pPr>
    <w:rPr>
      <w:rFonts w:ascii="宋体"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出段落 字符"/>
    <w:link w:val="aff8"/>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affffffff1">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a0"/>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4.xml><?xml version="1.0" encoding="utf-8"?>
<ds:datastoreItem xmlns:ds="http://schemas.openxmlformats.org/officeDocument/2006/customXml" ds:itemID="{6871E913-13CF-4493-89CC-15B4B20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3474</Words>
  <Characters>19802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23230</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Sharp (Chongming)</cp:lastModifiedBy>
  <cp:revision>51</cp:revision>
  <cp:lastPrinted>2113-01-01T00:00:00Z</cp:lastPrinted>
  <dcterms:created xsi:type="dcterms:W3CDTF">2024-03-18T13:30:00Z</dcterms:created>
  <dcterms:modified xsi:type="dcterms:W3CDTF">2024-03-20T00:11:00Z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ies>
</file>