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Pr>
          <w:rFonts w:ascii="Arial" w:hAnsi="Arial"/>
          <w:b/>
          <w:bCs/>
          <w:sz w:val="24"/>
          <w:szCs w:val="24"/>
        </w:rPr>
        <w:t>R2-231xxxx</w:t>
      </w:r>
    </w:p>
    <w:p>
      <w:pPr>
        <w:pStyle w:val="71"/>
        <w:rPr>
          <w:rFonts w:ascii="Times New Roman" w:hAnsi="Times New Roman"/>
          <w:b/>
          <w:bCs/>
          <w:sz w:val="24"/>
          <w:lang w:val="en-US"/>
        </w:rPr>
      </w:pPr>
      <w:r>
        <w:rPr>
          <w:rFonts w:eastAsia="宋体" w:cstheme="minorBidi"/>
          <w:b/>
          <w:sz w:val="24"/>
          <w:szCs w:val="22"/>
          <w:lang w:val="en-US"/>
        </w:rPr>
        <w:t>Chicago, USA, Nov. 13th – 17th, 2023</w:t>
      </w: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[Post124][419][POS] TS 38.355 finalisation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email discussion:</w:t>
      </w:r>
    </w:p>
    <w:p>
      <w:pPr>
        <w:pStyle w:val="100"/>
      </w:pPr>
      <w:r>
        <w:t>Short email discussions, Deadline Dec. 1st  1000 UTC</w:t>
      </w:r>
    </w:p>
    <w:p>
      <w:pPr>
        <w:pStyle w:val="118"/>
      </w:pPr>
      <w:bookmarkStart w:id="2" w:name="_Hlk151167044"/>
      <w:r>
        <w:t>[Post124][419][POS] TS 38.355 finalisation (Intel)</w:t>
      </w:r>
    </w:p>
    <w:bookmarkEnd w:id="2"/>
    <w:p>
      <w:pPr>
        <w:pStyle w:val="119"/>
      </w:pPr>
      <w:r>
        <w:tab/>
      </w:r>
      <w:r>
        <w:t>Scope: Finalise and check TS 38.355 (including taking into account updates to the RAN1 parameter list).</w:t>
      </w:r>
    </w:p>
    <w:p>
      <w:pPr>
        <w:pStyle w:val="119"/>
      </w:pPr>
      <w:r>
        <w:tab/>
      </w:r>
      <w:r>
        <w:t>Intended outcome: Endorsed TS</w:t>
      </w:r>
    </w:p>
    <w:p>
      <w:pPr>
        <w:pStyle w:val="119"/>
      </w:pPr>
      <w:r>
        <w:tab/>
      </w:r>
      <w:r>
        <w:t xml:space="preserve">Deadline for companies to provide comments:  </w:t>
      </w:r>
      <w:r>
        <w:rPr>
          <w:rFonts w:ascii="Times New Roman" w:hAnsi="Times New Roman"/>
          <w:color w:val="FF0000"/>
          <w:szCs w:val="20"/>
        </w:rPr>
        <w:t>Nov 29 10:00 UTC</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H</w:t>
            </w:r>
            <w:r>
              <w:rPr>
                <w:rFonts w:eastAsia="宋体"/>
                <w:lang w:val="sv-SE" w:eastAsia="zh-CN"/>
              </w:rPr>
              <w:t>uawei, HiSilicon</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y</w:t>
            </w:r>
            <w:r>
              <w:rPr>
                <w:rFonts w:eastAsia="宋体"/>
                <w:lang w:val="sv-SE"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spacing w:after="120"/>
        <w:jc w:val="both"/>
        <w:rPr>
          <w:rFonts w:ascii="Times New Roman" w:hAnsi="Times New Roman" w:cs="Times New Roman"/>
          <w:sz w:val="20"/>
          <w:szCs w:val="20"/>
          <w:lang w:val="sv-SE"/>
        </w:rPr>
      </w:pPr>
    </w:p>
    <w:p>
      <w:pPr>
        <w:rPr>
          <w:lang w:val="sv-SE" w:eastAsia="en-GB"/>
        </w:rPr>
      </w:pPr>
    </w:p>
    <w:p>
      <w:pPr>
        <w:tabs>
          <w:tab w:val="left" w:pos="3749"/>
        </w:tabs>
        <w:spacing w:after="120"/>
        <w:jc w:val="both"/>
        <w:rPr>
          <w:rFonts w:ascii="Times New Roman" w:hAnsi="Times New Roman" w:cs="Times New Roman"/>
          <w:sz w:val="20"/>
          <w:szCs w:val="20"/>
          <w:lang w:val="sv-SE"/>
        </w:rPr>
      </w:pPr>
    </w:p>
    <w:p>
      <w:pPr>
        <w:pStyle w:val="2"/>
        <w:rPr>
          <w:rFonts w:cs="Arial"/>
        </w:rPr>
      </w:pPr>
      <w:r>
        <w:rPr>
          <w:rFonts w:cs="Arial"/>
        </w:rPr>
        <w:t>Discussion</w:t>
      </w:r>
    </w:p>
    <w:p>
      <w:pPr>
        <w:jc w:val="both"/>
        <w:rPr>
          <w:rFonts w:ascii="Times New Roman" w:hAnsi="Times New Roman" w:cs="Times New Roman"/>
          <w:sz w:val="20"/>
          <w:szCs w:val="20"/>
        </w:rPr>
      </w:pPr>
      <w:r>
        <w:rPr>
          <w:rFonts w:ascii="Times New Roman" w:hAnsi="Times New Roman" w:cs="Times New Roman"/>
          <w:sz w:val="20"/>
          <w:szCs w:val="20"/>
        </w:rPr>
        <w:t>In RAN2#124, RAN2 made good progress on sidelink positioning. Following agreements are related to SLPP specification:</w:t>
      </w:r>
    </w:p>
    <w:p>
      <w:pPr>
        <w:pStyle w:val="100"/>
      </w:pP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Specify the RSPP metadata in SLPP specification as an SLPP IE/separate module (in a separate section and is not expected to be included in any SLPP message).</w:t>
      </w:r>
    </w:p>
    <w:p>
      <w:pPr>
        <w:pStyle w:val="100"/>
        <w:pBdr>
          <w:top w:val="single" w:color="auto" w:sz="4" w:space="1"/>
          <w:left w:val="single" w:color="auto" w:sz="4" w:space="4"/>
          <w:bottom w:val="single" w:color="auto" w:sz="4" w:space="1"/>
          <w:right w:val="single" w:color="auto" w:sz="4" w:space="4"/>
        </w:pBdr>
      </w:pPr>
      <w:r>
        <w:t>LS to SA2 on the agreements on the RSPP metadata.</w:t>
      </w:r>
    </w:p>
    <w:p>
      <w:pPr>
        <w:pStyle w:val="100"/>
        <w:pBdr>
          <w:top w:val="single" w:color="auto" w:sz="4" w:space="1"/>
          <w:left w:val="single" w:color="auto" w:sz="4" w:space="4"/>
          <w:bottom w:val="single" w:color="auto" w:sz="4" w:space="1"/>
          <w:right w:val="single" w:color="auto" w:sz="4" w:space="4"/>
        </w:pBdr>
      </w:pPr>
      <w:r>
        <w:t>No need to include the following parameters in RSPP metadata:</w:t>
      </w:r>
    </w:p>
    <w:p>
      <w:pPr>
        <w:pStyle w:val="100"/>
        <w:pBdr>
          <w:top w:val="single" w:color="auto" w:sz="4" w:space="1"/>
          <w:left w:val="single" w:color="auto" w:sz="4" w:space="4"/>
          <w:bottom w:val="single" w:color="auto" w:sz="4" w:space="1"/>
          <w:right w:val="single" w:color="auto" w:sz="4" w:space="4"/>
        </w:pBdr>
      </w:pPr>
      <w:r>
        <w:t>- metadata type (i.e., announced, required, satisfied);</w:t>
      </w:r>
    </w:p>
    <w:p>
      <w:pPr>
        <w:pStyle w:val="100"/>
        <w:pBdr>
          <w:top w:val="single" w:color="auto" w:sz="4" w:space="1"/>
          <w:left w:val="single" w:color="auto" w:sz="4" w:space="4"/>
          <w:bottom w:val="single" w:color="auto" w:sz="4" w:space="1"/>
          <w:right w:val="single" w:color="auto" w:sz="4" w:space="4"/>
        </w:pBdr>
      </w:pPr>
      <w:r>
        <w:t>- SLPP support;</w:t>
      </w:r>
    </w:p>
    <w:p>
      <w:pPr>
        <w:pStyle w:val="100"/>
        <w:pBdr>
          <w:top w:val="single" w:color="auto" w:sz="4" w:space="1"/>
          <w:left w:val="single" w:color="auto" w:sz="4" w:space="4"/>
          <w:bottom w:val="single" w:color="auto" w:sz="4" w:space="1"/>
          <w:right w:val="single" w:color="auto" w:sz="4" w:space="4"/>
        </w:pBdr>
      </w:pPr>
      <w:r>
        <w:t>- serving PLMN;</w:t>
      </w:r>
    </w:p>
    <w:p>
      <w:pPr>
        <w:pStyle w:val="100"/>
        <w:pBdr>
          <w:top w:val="single" w:color="auto" w:sz="4" w:space="1"/>
          <w:left w:val="single" w:color="auto" w:sz="4" w:space="4"/>
          <w:bottom w:val="single" w:color="auto" w:sz="4" w:space="1"/>
          <w:right w:val="single" w:color="auto" w:sz="4" w:space="4"/>
        </w:pBdr>
      </w:pPr>
      <w:r>
        <w:t>- positioning methods of anchor UE.</w:t>
      </w:r>
    </w:p>
    <w:p>
      <w:pPr>
        <w:jc w:val="both"/>
        <w:rPr>
          <w:rFonts w:ascii="Times New Roman" w:hAnsi="Times New Roman" w:cs="Times New Roman"/>
          <w:sz w:val="20"/>
          <w:szCs w:val="20"/>
          <w:lang w:val="en-GB"/>
        </w:rPr>
      </w:pPr>
    </w:p>
    <w:p>
      <w:pPr>
        <w:pStyle w:val="100"/>
      </w:pP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Agree the following proposals from R2-2312020</w:t>
      </w:r>
      <w:r>
        <w:tab/>
      </w:r>
      <w:r>
        <w:t>Report of [Post123bis][412][POS]</w:t>
      </w:r>
    </w:p>
    <w:p>
      <w:pPr>
        <w:pStyle w:val="100"/>
        <w:pBdr>
          <w:top w:val="single" w:color="auto" w:sz="4" w:space="1"/>
          <w:left w:val="single" w:color="auto" w:sz="4" w:space="4"/>
          <w:bottom w:val="single" w:color="auto" w:sz="4" w:space="1"/>
          <w:right w:val="single" w:color="auto" w:sz="4" w:space="4"/>
        </w:pBdr>
      </w:pPr>
      <w:r>
        <w:t>-</w:t>
      </w:r>
      <w:r>
        <w:tab/>
      </w:r>
      <w:r>
        <w:t>1 Close the open issue 19, remove the “Editor's note</w:t>
      </w:r>
      <w:r>
        <w:tab/>
      </w:r>
      <w:r>
        <w:t>FFS With regards to duplicate detection: the applicability of the 10min inactivity rule. With regards to retransmission: the applicability of the timeout period of 250ms”.</w:t>
      </w:r>
    </w:p>
    <w:p>
      <w:pPr>
        <w:pStyle w:val="100"/>
        <w:pBdr>
          <w:top w:val="single" w:color="auto" w:sz="4" w:space="1"/>
          <w:left w:val="single" w:color="auto" w:sz="4" w:space="4"/>
          <w:bottom w:val="single" w:color="auto" w:sz="4" w:space="1"/>
          <w:right w:val="single" w:color="auto" w:sz="4" w:space="4"/>
        </w:pBdr>
      </w:pPr>
      <w:r>
        <w:t>-</w:t>
      </w:r>
      <w:r>
        <w:tab/>
      </w:r>
      <w:r>
        <w:t xml:space="preserve">2 Close open issue 26 and 30, Reuse the Request/Provide Assistance Data messages for server to get anchor UE’s location, and the ENs for issue 26 and 30 can be removed. </w:t>
      </w:r>
    </w:p>
    <w:p>
      <w:pPr>
        <w:pStyle w:val="100"/>
        <w:pBdr>
          <w:top w:val="single" w:color="auto" w:sz="4" w:space="1"/>
          <w:left w:val="single" w:color="auto" w:sz="4" w:space="4"/>
          <w:bottom w:val="single" w:color="auto" w:sz="4" w:space="1"/>
          <w:right w:val="single" w:color="auto" w:sz="4" w:space="4"/>
        </w:pBdr>
      </w:pPr>
      <w:r>
        <w:t>-</w:t>
      </w:r>
      <w:r>
        <w:tab/>
      </w:r>
      <w:r>
        <w:t xml:space="preserve">3 Close the open issue 25 for stage 3, and remove the corresponding ENs. </w:t>
      </w:r>
    </w:p>
    <w:p>
      <w:pPr>
        <w:pStyle w:val="100"/>
        <w:pBdr>
          <w:top w:val="single" w:color="auto" w:sz="4" w:space="1"/>
          <w:left w:val="single" w:color="auto" w:sz="4" w:space="4"/>
          <w:bottom w:val="single" w:color="auto" w:sz="4" w:space="1"/>
          <w:right w:val="single" w:color="auto" w:sz="4" w:space="4"/>
        </w:pBdr>
      </w:pPr>
      <w:r>
        <w:t>-</w:t>
      </w:r>
      <w:r>
        <w:tab/>
      </w:r>
      <w:r>
        <w:t xml:space="preserve">4 Close open issue 41, sequenceID is included in Provide Assistance Data message. </w:t>
      </w:r>
    </w:p>
    <w:p>
      <w:pPr>
        <w:pStyle w:val="100"/>
        <w:pBdr>
          <w:top w:val="single" w:color="auto" w:sz="4" w:space="1"/>
          <w:left w:val="single" w:color="auto" w:sz="4" w:space="4"/>
          <w:bottom w:val="single" w:color="auto" w:sz="4" w:space="1"/>
          <w:right w:val="single" w:color="auto" w:sz="4" w:space="4"/>
        </w:pBdr>
      </w:pPr>
      <w:r>
        <w:t>-</w:t>
      </w:r>
      <w:r>
        <w:tab/>
      </w:r>
      <w:r>
        <w:t xml:space="preserve">5 Request of sequenceID is included in CommonSL-PRS-MethodsIEsRequestAssistanceData, the value should be boolean and optional. </w:t>
      </w:r>
    </w:p>
    <w:p>
      <w:pPr>
        <w:pStyle w:val="100"/>
        <w:pBdr>
          <w:top w:val="single" w:color="auto" w:sz="4" w:space="1"/>
          <w:left w:val="single" w:color="auto" w:sz="4" w:space="4"/>
          <w:bottom w:val="single" w:color="auto" w:sz="4" w:space="1"/>
          <w:right w:val="single" w:color="auto" w:sz="4" w:space="4"/>
        </w:pBdr>
      </w:pPr>
      <w:r>
        <w:t>Check the changes on latest RAN1 parameters in R2-2312023, Draft TS 38.355 v1.3.0 via postmeeting email discussion.</w:t>
      </w:r>
    </w:p>
    <w:p>
      <w:pPr>
        <w:pStyle w:val="100"/>
        <w:pBdr>
          <w:top w:val="single" w:color="auto" w:sz="4" w:space="1"/>
          <w:left w:val="single" w:color="auto" w:sz="4" w:space="4"/>
          <w:bottom w:val="single" w:color="auto" w:sz="4" w:space="1"/>
          <w:right w:val="single" w:color="auto" w:sz="4" w:space="4"/>
        </w:pBdr>
      </w:pPr>
      <w:r>
        <w:t>Close the open issue 5 and 6 on Session handling for LMF involved case:</w:t>
      </w:r>
    </w:p>
    <w:p>
      <w:pPr>
        <w:pStyle w:val="100"/>
        <w:pBdr>
          <w:top w:val="single" w:color="auto" w:sz="4" w:space="1"/>
          <w:left w:val="single" w:color="auto" w:sz="4" w:space="4"/>
          <w:bottom w:val="single" w:color="auto" w:sz="4" w:space="1"/>
          <w:right w:val="single" w:color="auto" w:sz="4" w:space="4"/>
        </w:pBdr>
      </w:pPr>
      <w:r>
        <w:t>-</w:t>
      </w:r>
      <w:r>
        <w:tab/>
      </w:r>
      <w:r>
        <w:t>session ID is OPTIONAL in the SLPP message for the communication between target UE and the LMF;</w:t>
      </w:r>
    </w:p>
    <w:p>
      <w:pPr>
        <w:pStyle w:val="100"/>
        <w:pBdr>
          <w:top w:val="single" w:color="auto" w:sz="4" w:space="1"/>
          <w:left w:val="single" w:color="auto" w:sz="4" w:space="4"/>
          <w:bottom w:val="single" w:color="auto" w:sz="4" w:space="1"/>
          <w:right w:val="single" w:color="auto" w:sz="4" w:space="4"/>
        </w:pBdr>
      </w:pPr>
      <w:r>
        <w:t>-</w:t>
      </w:r>
      <w:r>
        <w:tab/>
      </w:r>
      <w:r>
        <w:t>Session ID is assigned by target UE and used for communications between UEs.</w:t>
      </w:r>
    </w:p>
    <w:p>
      <w:pPr>
        <w:pStyle w:val="100"/>
        <w:pBdr>
          <w:top w:val="single" w:color="auto" w:sz="4" w:space="1"/>
          <w:left w:val="single" w:color="auto" w:sz="4" w:space="4"/>
          <w:bottom w:val="single" w:color="auto" w:sz="4" w:space="1"/>
          <w:right w:val="single" w:color="auto" w:sz="4" w:space="4"/>
        </w:pBdr>
      </w:pPr>
      <w:r>
        <w:t>Close the open issue 9, endSessionFlag is not introduced in Rel-18</w:t>
      </w:r>
    </w:p>
    <w:p>
      <w:pPr>
        <w:pStyle w:val="100"/>
        <w:pBdr>
          <w:top w:val="single" w:color="auto" w:sz="4" w:space="1"/>
          <w:left w:val="single" w:color="auto" w:sz="4" w:space="4"/>
          <w:bottom w:val="single" w:color="auto" w:sz="4" w:space="1"/>
          <w:right w:val="single" w:color="auto" w:sz="4" w:space="4"/>
        </w:pBdr>
      </w:pPr>
      <w:r>
        <w:t>Close the open issue 24, 28, 31 on UE role. RAN2 will not capture the description of UE role for procedures.</w:t>
      </w:r>
    </w:p>
    <w:p>
      <w:pPr>
        <w:pStyle w:val="100"/>
        <w:pBdr>
          <w:top w:val="single" w:color="auto" w:sz="4" w:space="1"/>
          <w:left w:val="single" w:color="auto" w:sz="4" w:space="4"/>
          <w:bottom w:val="single" w:color="auto" w:sz="4" w:space="1"/>
          <w:right w:val="single" w:color="auto" w:sz="4" w:space="4"/>
        </w:pBdr>
      </w:pPr>
      <w:r>
        <w:t>Close the open issue 31 on Need code, delta signalling is not supported and Need code is not supported unless companies identify the real need.</w:t>
      </w:r>
    </w:p>
    <w:p>
      <w:pPr>
        <w:pStyle w:val="100"/>
        <w:pBdr>
          <w:top w:val="single" w:color="auto" w:sz="4" w:space="1"/>
          <w:left w:val="single" w:color="auto" w:sz="4" w:space="4"/>
          <w:bottom w:val="single" w:color="auto" w:sz="4" w:space="1"/>
          <w:right w:val="single" w:color="auto" w:sz="4" w:space="4"/>
        </w:pBdr>
      </w:pPr>
      <w:r>
        <w:t>Open issue 50 on relative location/velocity can be checked in maintenance phase.</w:t>
      </w:r>
    </w:p>
    <w:p>
      <w:pPr>
        <w:pStyle w:val="100"/>
        <w:pBdr>
          <w:top w:val="single" w:color="auto" w:sz="4" w:space="1"/>
          <w:left w:val="single" w:color="auto" w:sz="4" w:space="4"/>
          <w:bottom w:val="single" w:color="auto" w:sz="4" w:space="1"/>
          <w:right w:val="single" w:color="auto" w:sz="4" w:space="4"/>
        </w:pBdr>
      </w:pPr>
      <w:r>
        <w:t>Close the open issue 52, application layer ID is used in the SLPP specification.</w:t>
      </w:r>
      <w:r>
        <w:tab/>
      </w:r>
    </w:p>
    <w:p>
      <w:pPr>
        <w:pStyle w:val="100"/>
        <w:pBdr>
          <w:top w:val="single" w:color="auto" w:sz="4" w:space="1"/>
          <w:left w:val="single" w:color="auto" w:sz="4" w:space="4"/>
          <w:bottom w:val="single" w:color="auto" w:sz="4" w:space="1"/>
          <w:right w:val="single" w:color="auto" w:sz="4" w:space="4"/>
        </w:pBdr>
      </w:pPr>
      <w:r>
        <w:t>Close the open issue 53 on QoS for AoA, capture the TP from R2-2312724 in SLPP specification.</w:t>
      </w:r>
    </w:p>
    <w:p>
      <w:pPr>
        <w:pStyle w:val="100"/>
        <w:pBdr>
          <w:top w:val="single" w:color="auto" w:sz="4" w:space="1"/>
          <w:left w:val="single" w:color="auto" w:sz="4" w:space="4"/>
          <w:bottom w:val="single" w:color="auto" w:sz="4" w:space="1"/>
          <w:right w:val="single" w:color="auto" w:sz="4" w:space="4"/>
        </w:pBdr>
      </w:pPr>
      <w:r>
        <w:t>Close the open issue 49, scheduled location between UE and the LMF is supported in the SLPP specification. E-CID like trigger event is not supported in the SLPP specification.</w:t>
      </w:r>
    </w:p>
    <w:p>
      <w:pPr>
        <w:pStyle w:val="100"/>
        <w:pBdr>
          <w:top w:val="single" w:color="auto" w:sz="4" w:space="1"/>
          <w:left w:val="single" w:color="auto" w:sz="4" w:space="4"/>
          <w:bottom w:val="single" w:color="auto" w:sz="4" w:space="1"/>
          <w:right w:val="single" w:color="auto" w:sz="4" w:space="4"/>
        </w:pBdr>
      </w:pPr>
      <w:r>
        <w:t>Proposal 2 from R2-2312127 is not pursued;</w:t>
      </w:r>
    </w:p>
    <w:p>
      <w:pPr>
        <w:pStyle w:val="100"/>
        <w:pBdr>
          <w:top w:val="single" w:color="auto" w:sz="4" w:space="1"/>
          <w:left w:val="single" w:color="auto" w:sz="4" w:space="4"/>
          <w:bottom w:val="single" w:color="auto" w:sz="4" w:space="1"/>
          <w:right w:val="single" w:color="auto" w:sz="4" w:space="4"/>
        </w:pBdr>
      </w:pPr>
      <w:r>
        <w:t>Update the TS 38.355 based on the proposal 3 from R2-2312127 on the periodical reporting;</w:t>
      </w:r>
    </w:p>
    <w:p>
      <w:pPr>
        <w:pStyle w:val="100"/>
        <w:pBdr>
          <w:top w:val="single" w:color="auto" w:sz="4" w:space="1"/>
          <w:left w:val="single" w:color="auto" w:sz="4" w:space="4"/>
          <w:bottom w:val="single" w:color="auto" w:sz="4" w:space="1"/>
          <w:right w:val="single" w:color="auto" w:sz="4" w:space="4"/>
        </w:pBdr>
      </w:pPr>
      <w:r>
        <w:t>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pPr>
        <w:pStyle w:val="100"/>
        <w:pBdr>
          <w:top w:val="single" w:color="auto" w:sz="4" w:space="1"/>
          <w:left w:val="single" w:color="auto" w:sz="4" w:space="4"/>
          <w:bottom w:val="single" w:color="auto" w:sz="4" w:space="1"/>
          <w:right w:val="single" w:color="auto" w:sz="4" w:space="4"/>
        </w:pBdr>
      </w:pPr>
      <w:r>
        <w:t>Note: RAN1 has agreed</w:t>
      </w:r>
    </w:p>
    <w:p>
      <w:pPr>
        <w:pStyle w:val="100"/>
        <w:pBdr>
          <w:top w:val="single" w:color="auto" w:sz="4" w:space="1"/>
          <w:left w:val="single" w:color="auto" w:sz="4" w:space="4"/>
          <w:bottom w:val="single" w:color="auto" w:sz="4" w:space="1"/>
          <w:right w:val="single" w:color="auto" w:sz="4" w:space="4"/>
        </w:pBdr>
      </w:pPr>
      <w:r>
        <w:t>Define the maximum number of additional paths for SL-RSTD, SL-RTOA and SL Rx – Tx time difference to be equal to 8. The maximum number of additional paths for SL-AoA is equal to 2.</w:t>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Update the TS 38.355 based on the proposal 10 from R2-2312807</w:t>
      </w:r>
    </w:p>
    <w:p>
      <w:pPr>
        <w:pStyle w:val="100"/>
        <w:pBdr>
          <w:top w:val="single" w:color="auto" w:sz="4" w:space="1"/>
          <w:left w:val="single" w:color="auto" w:sz="4" w:space="4"/>
          <w:bottom w:val="single" w:color="auto" w:sz="4" w:space="1"/>
          <w:right w:val="single" w:color="auto" w:sz="4" w:space="4"/>
        </w:pBdr>
      </w:pPr>
      <w:r>
        <w:t>-</w:t>
      </w:r>
      <w:r>
        <w:tab/>
      </w:r>
      <w:r>
        <w:t>Clarify that RangeResult field under the LocationCoordinates IE of the CommonIEsProvideLocationInformation IE is in metric units of meters and update the value range to INTEGER (0..999).</w:t>
      </w:r>
    </w:p>
    <w:p>
      <w:pPr>
        <w:pStyle w:val="100"/>
        <w:pBdr>
          <w:top w:val="single" w:color="auto" w:sz="4" w:space="1"/>
          <w:left w:val="single" w:color="auto" w:sz="4" w:space="4"/>
          <w:bottom w:val="single" w:color="auto" w:sz="4" w:space="1"/>
          <w:right w:val="single" w:color="auto" w:sz="4" w:space="4"/>
        </w:pBdr>
      </w:pPr>
      <w:r>
        <w:t>-</w:t>
      </w:r>
      <w:r>
        <w:tab/>
      </w:r>
      <w:r>
        <w:t xml:space="preserve"> Clarify that the AzimuthResult and ElevationResult field under the LocationCoordinates IE of the CommonIEsProvideLocationInformation IE is in metric units of degrees and update the ElevationResult value rage to INTEGER (0..89).</w:t>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Proposal 2 from R2-2313329 on the TP for section 4.2 of SLPP is not pursued;</w:t>
      </w:r>
    </w:p>
    <w:p>
      <w:pPr>
        <w:pStyle w:val="100"/>
        <w:pBdr>
          <w:top w:val="single" w:color="auto" w:sz="4" w:space="1"/>
          <w:left w:val="single" w:color="auto" w:sz="4" w:space="4"/>
          <w:bottom w:val="single" w:color="auto" w:sz="4" w:space="1"/>
          <w:right w:val="single" w:color="auto" w:sz="4" w:space="4"/>
        </w:pBdr>
      </w:pPr>
      <w:r>
        <w:t>Proposal 3 from R2-2312724 on the TP Reference direction can be discussed in maintenance phase;</w:t>
      </w:r>
    </w:p>
    <w:p>
      <w:pPr>
        <w:pStyle w:val="100"/>
        <w:pBdr>
          <w:top w:val="single" w:color="auto" w:sz="4" w:space="1"/>
          <w:left w:val="single" w:color="auto" w:sz="4" w:space="4"/>
          <w:bottom w:val="single" w:color="auto" w:sz="4" w:space="1"/>
          <w:right w:val="single" w:color="auto" w:sz="4" w:space="4"/>
        </w:pBdr>
      </w:pPr>
      <w:r>
        <w:t>RAN2 confirm that the support of SLPP is fully optional for the UE, i.e. there is no prerequisite for a SL positioning capable UE to support LPP. No specification impact;</w:t>
      </w:r>
    </w:p>
    <w:p>
      <w:pPr>
        <w:pStyle w:val="100"/>
        <w:pBdr>
          <w:top w:val="single" w:color="auto" w:sz="4" w:space="1"/>
          <w:left w:val="single" w:color="auto" w:sz="4" w:space="4"/>
          <w:bottom w:val="single" w:color="auto" w:sz="4" w:space="1"/>
          <w:right w:val="single" w:color="auto" w:sz="4" w:space="4"/>
        </w:pBdr>
      </w:pPr>
      <w:r>
        <w:t>RAN2 confirm that adopt the LPP approach (i.e. left to UE implementation) for SLPP on the support of multiple parallel SL positioning sessions. No specification impact.</w:t>
      </w:r>
    </w:p>
    <w:p>
      <w:pPr>
        <w:pStyle w:val="100"/>
        <w:pBdr>
          <w:top w:val="single" w:color="auto" w:sz="4" w:space="1"/>
          <w:left w:val="single" w:color="auto" w:sz="4" w:space="4"/>
          <w:bottom w:val="single" w:color="auto" w:sz="4" w:space="1"/>
          <w:right w:val="single" w:color="auto" w:sz="4" w:space="4"/>
        </w:pBdr>
      </w:pPr>
      <w:r>
        <w:t>RAN2 confirm that Separate LPP (for Uu positioning) and SLPP(for SL positioning) is used as the baseline for hybrid positioning..</w:t>
      </w:r>
    </w:p>
    <w:p>
      <w:pPr>
        <w:pStyle w:val="100"/>
        <w:pBdr>
          <w:top w:val="single" w:color="auto" w:sz="4" w:space="1"/>
          <w:left w:val="single" w:color="auto" w:sz="4" w:space="4"/>
          <w:bottom w:val="single" w:color="auto" w:sz="4" w:space="1"/>
          <w:right w:val="single" w:color="auto" w:sz="4" w:space="4"/>
        </w:pBdr>
      </w:pPr>
      <w:r>
        <w:t>Proposal 6 from R2-2313329 on sessionType is not pursued;</w:t>
      </w:r>
    </w:p>
    <w:p>
      <w:pPr>
        <w:pStyle w:val="100"/>
        <w:pBdr>
          <w:top w:val="single" w:color="auto" w:sz="4" w:space="1"/>
          <w:left w:val="single" w:color="auto" w:sz="4" w:space="4"/>
          <w:bottom w:val="single" w:color="auto" w:sz="4" w:space="1"/>
          <w:right w:val="single" w:color="auto" w:sz="4" w:space="4"/>
        </w:pBdr>
      </w:pPr>
      <w:r>
        <w:t xml:space="preserve">Proposal 7 from R2-2313329 on common time reference has been covered by RAN1 new parameters sl-Timestamp, tx-Time-Info. Will update the TS 38.355 accordingly. </w:t>
      </w:r>
    </w:p>
    <w:p>
      <w:pPr>
        <w:pStyle w:val="100"/>
        <w:pBdr>
          <w:top w:val="single" w:color="auto" w:sz="4" w:space="1"/>
          <w:left w:val="single" w:color="auto" w:sz="4" w:space="4"/>
          <w:bottom w:val="single" w:color="auto" w:sz="4" w:space="1"/>
          <w:right w:val="single" w:color="auto" w:sz="4" w:space="4"/>
        </w:pBdr>
      </w:pPr>
      <w:r>
        <w:t>Proposal 5 and 6 from R2-2312254 on SA2 issues are not pursued; Companies can discuss this in SA2 directly.</w:t>
      </w:r>
    </w:p>
    <w:p>
      <w:pPr>
        <w:pStyle w:val="100"/>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R2-2312021</w:t>
      </w:r>
      <w:r>
        <w:rPr>
          <w:rFonts w:ascii="Times New Roman" w:hAnsi="Times New Roman" w:cs="Times New Roman"/>
          <w:sz w:val="20"/>
          <w:szCs w:val="20"/>
          <w:lang w:val="en-GB"/>
        </w:rPr>
        <w:tab/>
      </w:r>
      <w:r>
        <w:rPr>
          <w:rFonts w:ascii="Times New Roman" w:hAnsi="Times New Roman" w:cs="Times New Roman"/>
          <w:sz w:val="20"/>
          <w:szCs w:val="20"/>
          <w:lang w:val="en-GB"/>
        </w:rPr>
        <w:t>TS 38.355 v1.2.0</w:t>
      </w:r>
      <w:r>
        <w:rPr>
          <w:rFonts w:ascii="Times New Roman" w:hAnsi="Times New Roman" w:cs="Times New Roman"/>
          <w:sz w:val="20"/>
          <w:szCs w:val="20"/>
          <w:lang w:val="en-GB"/>
        </w:rPr>
        <w:tab/>
      </w:r>
      <w:r>
        <w:rPr>
          <w:rFonts w:ascii="Times New Roman" w:hAnsi="Times New Roman" w:cs="Times New Roman"/>
          <w:sz w:val="20"/>
          <w:szCs w:val="20"/>
          <w:lang w:val="en-GB"/>
        </w:rPr>
        <w:t>Intel Corporation</w:t>
      </w:r>
      <w:r>
        <w:rPr>
          <w:rFonts w:ascii="Times New Roman" w:hAnsi="Times New Roman" w:cs="Times New Roman"/>
          <w:sz w:val="20"/>
          <w:szCs w:val="20"/>
          <w:lang w:val="en-GB"/>
        </w:rPr>
        <w:tab/>
      </w:r>
      <w:r>
        <w:rPr>
          <w:rFonts w:ascii="Times New Roman" w:hAnsi="Times New Roman" w:cs="Times New Roman"/>
          <w:sz w:val="20"/>
          <w:szCs w:val="20"/>
          <w:lang w:val="en-GB"/>
        </w:rPr>
        <w:t>draft TS</w:t>
      </w:r>
      <w:r>
        <w:rPr>
          <w:rFonts w:ascii="Times New Roman" w:hAnsi="Times New Roman" w:cs="Times New Roman"/>
          <w:sz w:val="20"/>
          <w:szCs w:val="20"/>
          <w:lang w:val="en-GB"/>
        </w:rPr>
        <w:tab/>
      </w:r>
      <w:r>
        <w:rPr>
          <w:rFonts w:ascii="Times New Roman" w:hAnsi="Times New Roman" w:cs="Times New Roman"/>
          <w:sz w:val="20"/>
          <w:szCs w:val="20"/>
          <w:lang w:val="en-GB"/>
        </w:rPr>
        <w:t>Rel-18</w:t>
      </w:r>
      <w:r>
        <w:rPr>
          <w:rFonts w:ascii="Times New Roman" w:hAnsi="Times New Roman" w:cs="Times New Roman"/>
          <w:sz w:val="20"/>
          <w:szCs w:val="20"/>
          <w:lang w:val="en-GB"/>
        </w:rPr>
        <w:tab/>
      </w:r>
      <w:r>
        <w:rPr>
          <w:rFonts w:ascii="Times New Roman" w:hAnsi="Times New Roman" w:cs="Times New Roman"/>
          <w:sz w:val="20"/>
          <w:szCs w:val="20"/>
          <w:lang w:val="en-GB"/>
        </w:rPr>
        <w:t>38.355</w:t>
      </w:r>
      <w:r>
        <w:rPr>
          <w:rFonts w:ascii="Times New Roman" w:hAnsi="Times New Roman" w:cs="Times New Roman"/>
          <w:sz w:val="20"/>
          <w:szCs w:val="20"/>
          <w:lang w:val="en-GB"/>
        </w:rPr>
        <w:tab/>
      </w:r>
      <w:r>
        <w:rPr>
          <w:rFonts w:ascii="Times New Roman" w:hAnsi="Times New Roman" w:cs="Times New Roman"/>
          <w:sz w:val="20"/>
          <w:szCs w:val="20"/>
          <w:lang w:val="en-GB"/>
        </w:rPr>
        <w:t>1.2.0</w:t>
      </w:r>
      <w:r>
        <w:rPr>
          <w:rFonts w:ascii="Times New Roman" w:hAnsi="Times New Roman" w:cs="Times New Roman"/>
          <w:sz w:val="20"/>
          <w:szCs w:val="20"/>
          <w:lang w:val="en-GB"/>
        </w:rPr>
        <w:tab/>
      </w:r>
      <w:r>
        <w:rPr>
          <w:rFonts w:ascii="Times New Roman" w:hAnsi="Times New Roman" w:cs="Times New Roman"/>
          <w:sz w:val="20"/>
          <w:szCs w:val="20"/>
          <w:lang w:val="en-GB"/>
        </w:rPr>
        <w:t>NR_pos_enh2</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Pr>
          <w:rFonts w:ascii="Times New Roman" w:hAnsi="Times New Roman" w:cs="Times New Roman"/>
          <w:sz w:val="20"/>
          <w:szCs w:val="20"/>
          <w:lang w:val="en-GB"/>
        </w:rPr>
        <w:t>Endorsed [to be progressed during this meeting]</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RAN1 also sent the updated RAN1 parameters in R1-2312697;</w:t>
      </w:r>
    </w:p>
    <w:p>
      <w:pPr>
        <w:pStyle w:val="4"/>
      </w:pPr>
      <w:r>
        <w:t xml:space="preserve">3.1 Open issue status for TS 38.355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2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3885"/>
        <w:gridCol w:w="125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Topic</w:t>
            </w:r>
          </w:p>
        </w:tc>
        <w:tc>
          <w:tcPr>
            <w:tcW w:w="1905"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Open issues</w:t>
            </w:r>
          </w:p>
        </w:tc>
        <w:tc>
          <w:tcPr>
            <w:tcW w:w="67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Related to the completion of the WI</w:t>
            </w:r>
          </w:p>
        </w:tc>
        <w:tc>
          <w:tcPr>
            <w:tcW w:w="1433"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tcPr>
          <w:p>
            <w:pPr>
              <w:spacing w:after="180"/>
              <w:rPr>
                <w:rFonts w:ascii="Calibri" w:hAnsi="Calibri" w:eastAsia="Malgun Gothic" w:cs="宋体"/>
                <w:b/>
                <w:bCs/>
              </w:rPr>
            </w:pPr>
            <w:r>
              <w:rPr>
                <w:rFonts w:ascii="Calibri" w:hAnsi="Calibri" w:eastAsia="Malgun Gothic" w:cs="宋体"/>
                <w:b/>
                <w:bCs/>
              </w:rPr>
              <w:t>4.1 SLPP general</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keepLines/>
              <w:numPr>
                <w:ilvl w:val="0"/>
                <w:numId w:val="15"/>
              </w:numPr>
              <w:rPr>
                <w:rFonts w:eastAsia="Malgun Gothic" w:cs="宋体"/>
              </w:rPr>
            </w:pPr>
            <w:r>
              <w:rPr>
                <w:rFonts w:eastAsia="Malgun Gothic" w:cs="宋体"/>
              </w:rPr>
              <w:t>0 To complete 4.1.1</w:t>
            </w:r>
            <w:r>
              <w:rPr>
                <w:rFonts w:eastAsia="Malgun Gothic" w:cs="宋体"/>
              </w:rPr>
              <w:tab/>
            </w:r>
            <w:r>
              <w:rPr>
                <w:rFonts w:eastAsia="Malgun Gothic" w:cs="宋体"/>
              </w:rPr>
              <w:t>SLPP Configuration</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0</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tcPr>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 To complete 4.1.2</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Sessions and Transactions</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2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SLPP Session.</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3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sessionID.</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4 FFS within what scope the session ID is unique.</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5 LMF involved case, FFS on how to handle session for UEs involved in the same LMF involved SL based positioning and the relationship between routing ID/correlation ID and session ID. (</w:t>
            </w:r>
            <w:r>
              <w:rPr>
                <w:rFonts w:ascii="Calibri" w:hAnsi="Calibri" w:eastAsia="Malgun Gothic" w:cs="宋体"/>
                <w:iCs/>
                <w:color w:val="FF0000"/>
              </w:rPr>
              <w:t>RAN2#123bis the agreements for SLPP can be applied for LMF involved case unless the issue is identified. FFS on session ID handling since it is also related to forwarding case.)</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6 FFS if this involves single or separate SLPP sessions (LMF  UE1 and UE1  UE2).</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7Editor's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SLPP message header, e.g. cast type, UE ID</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8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en-GB"/>
                <w14:textFill>
                  <w14:solidFill>
                    <w14:schemeClr w14:val="tx1"/>
                  </w14:solidFill>
                </w14:textFill>
              </w:rPr>
              <w:t>FFS the details of initiator in SLPP-TransactionID</w:t>
            </w:r>
            <w:r>
              <w:rPr>
                <w:rFonts w:ascii="Calibri" w:hAnsi="Calibri" w:eastAsia="MS Mincho"/>
                <w:color w:val="000000" w:themeColor="text1"/>
                <w:lang w:eastAsia="ja-JP"/>
                <w14:textFill>
                  <w14:solidFill>
                    <w14:schemeClr w14:val="tx1"/>
                  </w14:solidFill>
                </w14:textFill>
              </w:rPr>
              <w:t>.</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or RANP agreements): 3, 4, 7, 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 xml:space="preserve">Reuse the LPP transaction mechanism to SLPP. </w:t>
            </w:r>
          </w:p>
          <w:p>
            <w:pPr>
              <w:pStyle w:val="84"/>
              <w:numPr>
                <w:ilvl w:val="0"/>
                <w:numId w:val="15"/>
              </w:numPr>
              <w:rPr>
                <w:rFonts w:ascii="Calibri" w:hAnsi="Calibri" w:eastAsia="Malgun Gothic" w:cs="宋体"/>
              </w:rPr>
            </w:pPr>
            <w:r>
              <w:rPr>
                <w:rFonts w:ascii="Calibri" w:hAnsi="Calibri" w:eastAsia="Malgun Gothic" w:cs="宋体"/>
              </w:rPr>
              <w:t>6 octets length session ID</w:t>
            </w:r>
          </w:p>
          <w:p>
            <w:pPr>
              <w:pStyle w:val="84"/>
              <w:numPr>
                <w:ilvl w:val="0"/>
                <w:numId w:val="15"/>
              </w:numPr>
              <w:rPr>
                <w:rFonts w:ascii="Calibri" w:hAnsi="Calibri" w:eastAsia="Malgun Gothic" w:cs="宋体"/>
              </w:rPr>
            </w:pPr>
            <w:r>
              <w:rPr>
                <w:rFonts w:ascii="Calibri" w:hAnsi="Calibri" w:eastAsia="Malgun Gothic" w:cs="宋体"/>
              </w:rPr>
              <w:t>Not to support initiator ID unless companies identify the use case for it.</w:t>
            </w:r>
          </w:p>
          <w:p>
            <w:pPr>
              <w:pStyle w:val="84"/>
              <w:numPr>
                <w:ilvl w:val="0"/>
                <w:numId w:val="15"/>
              </w:numPr>
              <w:rPr>
                <w:rFonts w:ascii="Calibri" w:hAnsi="Calibri" w:eastAsia="Malgun Gothic" w:cs="宋体"/>
              </w:rPr>
            </w:pPr>
            <w:r>
              <w:rPr>
                <w:rFonts w:ascii="Calibri" w:hAnsi="Calibri" w:eastAsia="Malgun Gothic" w:cs="宋体"/>
              </w:rPr>
              <w:t>the agreements for SLPP can be applied for LMF involved case unless the issue is identified. FFS on session ID handling since it is also related to forwarding case.</w:t>
            </w:r>
          </w:p>
          <w:p>
            <w:pPr>
              <w:spacing w:after="180"/>
              <w:rPr>
                <w:rFonts w:ascii="Calibri" w:hAnsi="Calibri" w:eastAsia="Malgun Gothic" w:cs="宋体"/>
              </w:rPr>
            </w:pPr>
            <w:r>
              <w:rPr>
                <w:rFonts w:ascii="Calibri" w:hAnsi="Calibri" w:eastAsia="Malgun Gothic" w:cs="宋体"/>
              </w:rPr>
              <w:t>TP provided by Rapporteur (need confirmation): 1, 2</w:t>
            </w:r>
          </w:p>
          <w:p>
            <w:pPr>
              <w:pStyle w:val="84"/>
              <w:numPr>
                <w:ilvl w:val="0"/>
                <w:numId w:val="15"/>
              </w:numPr>
              <w:rPr>
                <w:rFonts w:eastAsia="Malgun Gothic" w:cs="宋体"/>
              </w:rPr>
            </w:pPr>
            <w:r>
              <w:rPr>
                <w:rFonts w:ascii="Calibri" w:hAnsi="Calibri" w:eastAsia="Malgun Gothic" w:cs="宋体"/>
                <w:color w:val="00B0F0"/>
              </w:rPr>
              <w:t>See draft TS 38.355 v1.2.0, user name R2-2310222 and R2-2310219</w:t>
            </w:r>
          </w:p>
          <w:p>
            <w:pPr>
              <w:rPr>
                <w:rFonts w:ascii="Calibri" w:hAnsi="Calibri" w:eastAsia="Malgun Gothic" w:cs="宋体"/>
                <w:color w:val="FF0000"/>
              </w:rPr>
            </w:pPr>
            <w:r>
              <w:rPr>
                <w:rFonts w:ascii="Calibri" w:hAnsi="Calibri" w:eastAsia="Malgun Gothic" w:cs="宋体"/>
                <w:color w:val="FF0000"/>
              </w:rPr>
              <w:t>Company contribution: 5, 6, 9</w:t>
            </w:r>
          </w:p>
          <w:p>
            <w:pPr>
              <w:pStyle w:val="84"/>
              <w:numPr>
                <w:ilvl w:val="0"/>
                <w:numId w:val="16"/>
              </w:numPr>
              <w:rPr>
                <w:rFonts w:ascii="Calibri" w:hAnsi="Calibri" w:eastAsia="Malgun Gothic" w:cs="宋体"/>
              </w:rPr>
            </w:pPr>
            <w:r>
              <w:rPr>
                <w:rFonts w:ascii="Calibri" w:hAnsi="Calibri" w:eastAsia="Malgun Gothic" w:cs="宋体"/>
              </w:rPr>
              <w:t>Issues 5, 6, 9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10 To complete 4.1.3</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Position Methods</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11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supported positioning methods.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11</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the following SLPP position methods:</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SL-RTT,</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SL-AoA,</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SL-TDOA,</w:t>
            </w:r>
          </w:p>
          <w:p>
            <w:pPr>
              <w:spacing w:after="180"/>
              <w:ind w:left="720"/>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spacing w:after="180"/>
              <w:rPr>
                <w:rFonts w:ascii="Calibri" w:hAnsi="Calibri" w:eastAsia="Malgun Gothic" w:cs="宋体"/>
              </w:rPr>
            </w:pPr>
            <w:r>
              <w:rPr>
                <w:rFonts w:ascii="Calibri" w:hAnsi="Calibri" w:eastAsia="Malgun Gothic" w:cs="宋体"/>
              </w:rPr>
              <w:t>TP provided by Rapporteur (need confirmation): 10</w:t>
            </w:r>
          </w:p>
          <w:p>
            <w:pPr>
              <w:pStyle w:val="84"/>
              <w:numPr>
                <w:ilvl w:val="0"/>
                <w:numId w:val="15"/>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cs="宋体" w:eastAsiaTheme="minorEastAsia"/>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12 To complete 4.1.4</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Messages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12</w:t>
            </w:r>
          </w:p>
          <w:p>
            <w:pPr>
              <w:pStyle w:val="84"/>
              <w:numPr>
                <w:ilvl w:val="0"/>
                <w:numId w:val="15"/>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4.2</w:t>
            </w:r>
            <w:r>
              <w:rPr>
                <w:rFonts w:ascii="Calibri" w:hAnsi="Calibri" w:eastAsia="Malgun Gothic" w:cs="宋体"/>
                <w:b/>
                <w:bCs/>
              </w:rPr>
              <w:tab/>
            </w:r>
            <w:r>
              <w:rPr>
                <w:rFonts w:ascii="Calibri" w:hAnsi="Calibri" w:eastAsia="Malgun Gothic" w:cs="宋体"/>
                <w:b/>
                <w:bCs/>
              </w:rPr>
              <w:t>Common SLPP Session Procedure</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13 To complete 4.2 Common SLPP Session Procedure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13</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4.3</w:t>
            </w:r>
            <w:r>
              <w:rPr>
                <w:rFonts w:ascii="Calibri" w:hAnsi="Calibri" w:eastAsia="Malgun Gothic" w:cs="宋体"/>
                <w:b/>
                <w:bCs/>
              </w:rPr>
              <w:tab/>
            </w:r>
            <w:r>
              <w:rPr>
                <w:rFonts w:ascii="Calibri" w:hAnsi="Calibri" w:eastAsia="Malgun Gothic" w:cs="宋体"/>
                <w:b/>
                <w:bCs/>
              </w:rPr>
              <w:t>SLPP Transport</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14To complete 4.3</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Transport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SLPP message Segmentation is needed.</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16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session-less operation.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17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May be updated based on the discussion on session management.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18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broadcast/groupcast.</w:t>
            </w:r>
          </w:p>
          <w:p>
            <w:pPr>
              <w:pStyle w:val="84"/>
              <w:numPr>
                <w:ilvl w:val="0"/>
                <w:numId w:val="15"/>
              </w:numPr>
              <w:rPr>
                <w:rFonts w:eastAsia="MS Mincho"/>
                <w:color w:val="000000" w:themeColor="text1"/>
                <w:lang w:eastAsia="ja-JP"/>
                <w14:textFill>
                  <w14:solidFill>
                    <w14:schemeClr w14:val="tx1"/>
                  </w14:solidFill>
                </w14:textFill>
              </w:rPr>
            </w:pPr>
            <w:r>
              <w:rPr>
                <w:rFonts w:eastAsia="Malgun Gothic" w:cs="宋体"/>
                <w:color w:val="000000" w:themeColor="text1"/>
                <w14:textFill>
                  <w14:solidFill>
                    <w14:schemeClr w14:val="tx1"/>
                  </w14:solidFill>
                </w14:textFill>
              </w:rPr>
              <w:t>19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With regards to duplicate detection: the applicability of the 10min inactivity rule. With regards to retransmission: the applicability of the timeout period of 250ms.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15, 16, 18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Not support SLPP segmentation in Rel-18.</w:t>
            </w:r>
          </w:p>
          <w:p>
            <w:pPr>
              <w:spacing w:after="180"/>
              <w:rPr>
                <w:rFonts w:ascii="Calibri" w:hAnsi="Calibri" w:eastAsia="Malgun Gothic" w:cs="宋体"/>
              </w:rPr>
            </w:pPr>
            <w:r>
              <w:rPr>
                <w:rFonts w:ascii="Calibri" w:hAnsi="Calibri" w:eastAsia="Malgun Gothic" w:cs="宋体"/>
              </w:rPr>
              <w:t>TP provided by Rapporteur (need confirmation): 14, 17</w:t>
            </w:r>
          </w:p>
          <w:p>
            <w:pPr>
              <w:pStyle w:val="84"/>
              <w:numPr>
                <w:ilvl w:val="0"/>
                <w:numId w:val="15"/>
              </w:numPr>
              <w:rPr>
                <w:rFonts w:ascii="Calibri" w:hAnsi="Calibri" w:eastAsia="Malgun Gothic" w:cs="宋体"/>
                <w:color w:val="00B0F0"/>
              </w:rPr>
            </w:pPr>
            <w:r>
              <w:rPr>
                <w:rFonts w:ascii="Calibri" w:hAnsi="Calibri" w:eastAsia="Malgun Gothic" w:cs="宋体"/>
                <w:color w:val="00B0F0"/>
              </w:rPr>
              <w:t>See draft TS 38.355 v1.2.0, user name R2-2310222</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1): 19</w:t>
            </w:r>
          </w:p>
          <w:p>
            <w:pPr>
              <w:pStyle w:val="84"/>
              <w:numPr>
                <w:ilvl w:val="0"/>
                <w:numId w:val="16"/>
              </w:numPr>
              <w:rPr>
                <w:rFonts w:ascii="Calibri" w:hAnsi="Calibri" w:eastAsia="Malgun Gothic" w:cs="宋体"/>
              </w:rPr>
            </w:pPr>
            <w:r>
              <w:rPr>
                <w:rFonts w:ascii="Calibri" w:hAnsi="Calibri" w:eastAsia="Malgun Gothic" w:cs="宋体"/>
              </w:rPr>
              <w:t>Issues 19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5</w:t>
            </w:r>
            <w:r>
              <w:rPr>
                <w:rFonts w:ascii="Calibri" w:hAnsi="Calibri" w:eastAsia="Malgun Gothic" w:cs="宋体"/>
                <w:b/>
                <w:bCs/>
              </w:rPr>
              <w:tab/>
            </w:r>
            <w:r>
              <w:rPr>
                <w:rFonts w:ascii="Calibri" w:hAnsi="Calibri" w:eastAsia="Malgun Gothic" w:cs="宋体"/>
                <w:b/>
                <w:bCs/>
              </w:rPr>
              <w:t>SLPP Procedures</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20 To complete 5</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Procedures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21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The content of each section will be added in accordance with future agreements, not based on LPP legacy directly. </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to add procedure description in the field description as LPP.</w:t>
            </w:r>
          </w:p>
          <w:p>
            <w:pPr>
              <w:rPr>
                <w:rFonts w:ascii="Calibri" w:hAnsi="Calibri" w:eastAsia="Malgun Gothic" w:cs="Times New Roman"/>
                <w:b/>
                <w:bCs/>
              </w:rPr>
            </w:pPr>
            <w:r>
              <w:rPr>
                <w:rFonts w:ascii="Calibri" w:hAnsi="Calibri" w:eastAsia="Malgun Gothic" w:cs="Times New Roman"/>
                <w:b/>
                <w:bCs/>
              </w:rPr>
              <w:t>Capability exchange:</w:t>
            </w:r>
          </w:p>
          <w:p>
            <w:pPr>
              <w:pStyle w:val="140"/>
              <w:numPr>
                <w:ilvl w:val="0"/>
                <w:numId w:val="17"/>
              </w:numPr>
              <w:overflowPunct/>
              <w:autoSpaceDE/>
              <w:autoSpaceDN/>
              <w:adjustRightInd/>
              <w:textAlignment w:val="auto"/>
            </w:pPr>
            <w:r>
              <w:t>23 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24 Editor's note</w:t>
            </w:r>
            <w:r>
              <w:tab/>
            </w:r>
            <w:r>
              <w:t>FFS if any UEs can request the capabilities from the peer UE. FFS on Endpoint A can also be the server UE</w:t>
            </w:r>
          </w:p>
          <w:p>
            <w:pPr>
              <w:rPr>
                <w:rFonts w:ascii="Calibri" w:hAnsi="Calibri" w:eastAsia="Malgun Gothic" w:cs="Times New Roman"/>
                <w:b/>
                <w:bCs/>
              </w:rPr>
            </w:pPr>
            <w:r>
              <w:rPr>
                <w:rFonts w:ascii="Calibri" w:hAnsi="Calibri" w:eastAsia="Malgun Gothic" w:cs="Times New Roman"/>
                <w:b/>
                <w:bCs/>
              </w:rPr>
              <w:t>Assistance information exchange:</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27 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28 Editor's note</w:t>
            </w:r>
            <w:r>
              <w:tab/>
            </w:r>
            <w:r>
              <w:t xml:space="preserve">FFS if any UEs can trigger the assistance data transfer procedure. </w:t>
            </w:r>
          </w:p>
          <w:p>
            <w:pPr>
              <w:pStyle w:val="84"/>
              <w:rPr>
                <w:rFonts w:eastAsia="Malgun Gothic"/>
              </w:rPr>
            </w:pPr>
          </w:p>
          <w:p>
            <w:pPr>
              <w:rPr>
                <w:rFonts w:ascii="Calibri" w:hAnsi="Calibri" w:eastAsia="Malgun Gothic" w:cs="Times New Roman"/>
                <w:b/>
                <w:bCs/>
              </w:rPr>
            </w:pPr>
            <w:r>
              <w:rPr>
                <w:rFonts w:ascii="Calibri" w:hAnsi="Calibri" w:eastAsia="Malgun Gothic" w:cs="Times New Roman"/>
                <w:b/>
                <w:bCs/>
              </w:rPr>
              <w:t>Location information exchange:</w:t>
            </w:r>
          </w:p>
          <w:p>
            <w:pPr>
              <w:pStyle w:val="140"/>
              <w:numPr>
                <w:ilvl w:val="0"/>
                <w:numId w:val="17"/>
              </w:numPr>
              <w:overflowPunct/>
              <w:autoSpaceDE/>
              <w:autoSpaceDN/>
              <w:adjustRightInd/>
              <w:textAlignment w:val="auto"/>
            </w:pPr>
            <w:r>
              <w:t>29 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31 Editor's note</w:t>
            </w:r>
            <w:r>
              <w:tab/>
            </w:r>
            <w:r>
              <w:t xml:space="preserve">FFS if any UEs can trigger the location information transfer procedure. </w:t>
            </w:r>
          </w:p>
          <w:p>
            <w:pPr>
              <w:pStyle w:val="84"/>
              <w:overflowPunct/>
              <w:autoSpaceDE/>
              <w:autoSpaceDN/>
              <w:adjustRightInd/>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7"/>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7"/>
              </w:numPr>
              <w:rPr>
                <w:rFonts w:ascii="Calibri" w:hAnsi="Calibri" w:eastAsia="Malgun Gothic" w:cs="宋体"/>
              </w:rPr>
            </w:pPr>
            <w:r>
              <w:rPr>
                <w:rFonts w:ascii="Calibri" w:hAnsi="Calibri" w:eastAsia="Malgun Gothic" w:cs="宋体"/>
              </w:rPr>
              <w:t>The SL-PRS sequence ID can be provided to the TX UE by the LMF/Server UE (via SLPP signalling).  If the Tx UE does not receive a sequence ID via SLPP message from the server, the Tx UE is expected to select one by itself.  FFS exact SLPP signalling.</w:t>
            </w:r>
          </w:p>
          <w:p>
            <w:pPr>
              <w:pStyle w:val="84"/>
              <w:numPr>
                <w:ilvl w:val="0"/>
                <w:numId w:val="17"/>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pStyle w:val="84"/>
              <w:numPr>
                <w:ilvl w:val="0"/>
                <w:numId w:val="17"/>
              </w:numPr>
              <w:rPr>
                <w:rFonts w:ascii="Calibri" w:hAnsi="Calibri" w:eastAsia="Malgun Gothic" w:cs="宋体"/>
              </w:rPr>
            </w:pPr>
            <w:r>
              <w:rPr>
                <w:rFonts w:ascii="Calibri" w:hAnsi="Calibri" w:eastAsia="Malgun Gothic" w:cs="宋体"/>
              </w:rPr>
              <w:t>For absolute sidelink positioning, the locations of the anchor UEs are provided to the entity that does the location calculation.</w:t>
            </w:r>
          </w:p>
          <w:p>
            <w:pPr>
              <w:spacing w:after="180"/>
              <w:rPr>
                <w:rFonts w:ascii="Calibri" w:hAnsi="Calibri" w:eastAsia="Malgun Gothic" w:cs="宋体"/>
              </w:rPr>
            </w:pPr>
            <w:r>
              <w:rPr>
                <w:rFonts w:ascii="Calibri" w:hAnsi="Calibri" w:eastAsia="Malgun Gothic" w:cs="宋体"/>
              </w:rPr>
              <w:t>TP provided by Rapporteur (need confirmation):, 20, 21, 22</w:t>
            </w:r>
          </w:p>
          <w:p>
            <w:pPr>
              <w:pStyle w:val="84"/>
              <w:numPr>
                <w:ilvl w:val="0"/>
                <w:numId w:val="15"/>
              </w:numPr>
              <w:rPr>
                <w:rFonts w:eastAsia="Malgun Gothic" w:cs="宋体"/>
              </w:rPr>
            </w:pPr>
            <w:r>
              <w:rPr>
                <w:rFonts w:ascii="Calibri" w:hAnsi="Calibri" w:eastAsia="Malgun Gothic" w:cs="宋体"/>
                <w:color w:val="00B0F0"/>
              </w:rPr>
              <w:t>See draft TS 38.355 v1.2.0, user name R2-2310221 and RAN2#123bis</w:t>
            </w:r>
          </w:p>
          <w:p>
            <w:pPr>
              <w:spacing w:after="180"/>
              <w:rPr>
                <w:rFonts w:ascii="Calibri" w:hAnsi="Calibri" w:eastAsia="Malgun Gothic" w:cs="宋体"/>
                <w:color w:val="FF0000"/>
              </w:rPr>
            </w:pPr>
            <w:r>
              <w:rPr>
                <w:rFonts w:ascii="Calibri" w:hAnsi="Calibri" w:eastAsia="Malgun Gothic" w:cs="宋体"/>
                <w:color w:val="FF0000"/>
              </w:rPr>
              <w:t>Forwarding issue to be discussed in [Post 404]:, 23, 27, 29</w:t>
            </w:r>
          </w:p>
          <w:p>
            <w:pPr>
              <w:spacing w:after="180"/>
              <w:rPr>
                <w:rFonts w:ascii="Calibri" w:hAnsi="Calibri" w:eastAsia="Malgun Gothic" w:cs="宋体"/>
                <w:color w:val="00B0F0"/>
              </w:rPr>
            </w:pPr>
          </w:p>
          <w:p>
            <w:pPr>
              <w:pStyle w:val="84"/>
              <w:numPr>
                <w:ilvl w:val="0"/>
                <w:numId w:val="16"/>
              </w:numPr>
              <w:rPr>
                <w:rFonts w:ascii="Calibri" w:hAnsi="Calibri" w:eastAsia="Malgun Gothic" w:cs="宋体"/>
                <w:color w:val="FF0000"/>
              </w:rPr>
            </w:pPr>
            <w:r>
              <w:rPr>
                <w:rFonts w:ascii="Calibri" w:hAnsi="Calibri" w:eastAsia="Malgun Gothic" w:cs="宋体"/>
              </w:rPr>
              <w:t>Issues 23, 27, 29 have been concluded in [RAN2#124].</w:t>
            </w:r>
          </w:p>
          <w:p>
            <w:pPr>
              <w:rPr>
                <w:rFonts w:ascii="Calibri" w:hAnsi="Calibri" w:eastAsia="Malgun Gothic" w:cs="宋体"/>
                <w:color w:val="FF0000"/>
              </w:rPr>
            </w:pPr>
            <w:r>
              <w:rPr>
                <w:rFonts w:ascii="Calibri" w:hAnsi="Calibri" w:eastAsia="Malgun Gothic" w:cs="宋体"/>
                <w:color w:val="FF0000"/>
              </w:rPr>
              <w:t>UE role issue rely on companies’ contribution: 24, 28, 31</w:t>
            </w:r>
          </w:p>
          <w:p>
            <w:pPr>
              <w:spacing w:after="180"/>
              <w:rPr>
                <w:rFonts w:ascii="Calibri" w:hAnsi="Calibri" w:eastAsia="Malgun Gothic" w:cs="宋体"/>
                <w:color w:val="00B0F0"/>
              </w:rPr>
            </w:pPr>
          </w:p>
          <w:p>
            <w:pPr>
              <w:pStyle w:val="84"/>
              <w:numPr>
                <w:ilvl w:val="0"/>
                <w:numId w:val="16"/>
              </w:numPr>
              <w:rPr>
                <w:rFonts w:ascii="Calibri" w:hAnsi="Calibri" w:eastAsia="Malgun Gothic" w:cs="宋体"/>
              </w:rPr>
            </w:pPr>
            <w:r>
              <w:rPr>
                <w:rFonts w:ascii="Calibri" w:hAnsi="Calibri" w:eastAsia="Malgun Gothic" w:cs="宋体"/>
              </w:rPr>
              <w:t>Issues 24, 28, 31 have been concluded in [RAN2#124].</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 see question 2,3): 25, 26, 30</w:t>
            </w:r>
          </w:p>
          <w:p>
            <w:pPr>
              <w:spacing w:after="180"/>
              <w:rPr>
                <w:rFonts w:ascii="Calibri" w:hAnsi="Calibri" w:eastAsia="Malgun Gothic" w:cs="宋体"/>
                <w:color w:val="00B0F0"/>
              </w:rPr>
            </w:pPr>
          </w:p>
          <w:p>
            <w:pPr>
              <w:pStyle w:val="84"/>
              <w:numPr>
                <w:ilvl w:val="0"/>
                <w:numId w:val="16"/>
              </w:numPr>
              <w:rPr>
                <w:rFonts w:ascii="Calibri" w:hAnsi="Calibri" w:eastAsia="Malgun Gothic" w:cs="宋体"/>
              </w:rPr>
            </w:pPr>
            <w:r>
              <w:rPr>
                <w:rFonts w:ascii="Calibri" w:hAnsi="Calibri" w:eastAsia="Malgun Gothic" w:cs="宋体"/>
              </w:rPr>
              <w:t>Issues 25, 26, 30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6.1</w:t>
            </w:r>
            <w:r>
              <w:rPr>
                <w:rFonts w:ascii="Calibri" w:hAnsi="Calibri" w:eastAsia="Malgun Gothic" w:cs="宋体"/>
                <w:b/>
                <w:bCs/>
              </w:rPr>
              <w:tab/>
            </w:r>
            <w:r>
              <w:rPr>
                <w:rFonts w:ascii="Calibri" w:hAnsi="Calibri" w:eastAsia="Malgun Gothic" w:cs="宋体"/>
                <w:b/>
                <w:bCs/>
              </w:rPr>
              <w:t>General</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bookmarkStart w:id="3" w:name="_Hlk141345066"/>
            <w:r>
              <w:rPr>
                <w:rFonts w:eastAsia="Malgun Gothic" w:cs="宋体"/>
                <w:color w:val="000000" w:themeColor="text1"/>
                <w14:textFill>
                  <w14:solidFill>
                    <w14:schemeClr w14:val="tx1"/>
                  </w14:solidFill>
                </w14:textFill>
              </w:rPr>
              <w:t>32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FFS on Need code (e.g. how to support no UL/DL), support of delta signalling, full configuration, import IE from LPP, setup/release. </w:t>
            </w:r>
          </w:p>
          <w:bookmarkEnd w:id="3"/>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33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The structure may be updated based on RAN1 agreements/parameter list.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33</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spacing w:after="180"/>
              <w:rPr>
                <w:rFonts w:ascii="Calibri" w:hAnsi="Calibri" w:eastAsia="Malgun Gothic" w:cs="宋体"/>
                <w:color w:val="FF0000"/>
              </w:rPr>
            </w:pPr>
            <w:r>
              <w:rPr>
                <w:rFonts w:ascii="Calibri" w:hAnsi="Calibri" w:eastAsia="Malgun Gothic" w:cs="宋体"/>
                <w:color w:val="FF0000"/>
              </w:rPr>
              <w:t>Company contribution: 32</w:t>
            </w:r>
          </w:p>
          <w:p>
            <w:pPr>
              <w:pStyle w:val="84"/>
              <w:numPr>
                <w:ilvl w:val="0"/>
                <w:numId w:val="16"/>
              </w:numPr>
              <w:rPr>
                <w:rFonts w:ascii="Calibri" w:hAnsi="Calibri" w:eastAsia="Malgun Gothic" w:cs="宋体"/>
              </w:rPr>
            </w:pPr>
            <w:r>
              <w:rPr>
                <w:rFonts w:ascii="Calibri" w:hAnsi="Calibri" w:eastAsia="Malgun Gothic" w:cs="宋体"/>
              </w:rPr>
              <w:t>Issues 32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6.2</w:t>
            </w:r>
            <w:r>
              <w:rPr>
                <w:rFonts w:ascii="Calibri" w:hAnsi="Calibri" w:eastAsia="Malgun Gothic" w:cs="宋体"/>
                <w:b/>
                <w:bCs/>
              </w:rPr>
              <w:tab/>
            </w:r>
            <w:r>
              <w:rPr>
                <w:rFonts w:ascii="Calibri" w:hAnsi="Calibri" w:eastAsia="Malgun Gothic" w:cs="宋体"/>
                <w:b/>
                <w:bCs/>
              </w:rPr>
              <w:t>SLPP messages</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34 To complete 6.2</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messages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Capabilities;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Capabilities;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Abort;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Error.</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34</w:t>
            </w:r>
          </w:p>
          <w:p>
            <w:pPr>
              <w:spacing w:after="180"/>
              <w:rPr>
                <w:rFonts w:ascii="Calibri" w:hAnsi="Calibri" w:eastAsia="Malgun Gothic" w:cs="宋体"/>
              </w:rPr>
            </w:pPr>
            <w:r>
              <w:rPr>
                <w:rFonts w:ascii="Calibri" w:hAnsi="Calibri" w:eastAsia="Malgun Gothic" w:cs="宋体"/>
                <w:color w:val="00B0F0"/>
              </w:rPr>
              <w:t>See draft TS 38.355 v1.2.0, user name R2-2310220</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RAN1 /4 parameters</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General- Handling on positioning method specific parameters</w:t>
            </w:r>
          </w:p>
          <w:p>
            <w:pPr>
              <w:pStyle w:val="84"/>
              <w:numPr>
                <w:ilvl w:val="0"/>
                <w:numId w:val="15"/>
              </w:numPr>
              <w:rPr>
                <w:rFonts w:eastAsia="Malgun Gothic" w:cs="宋体"/>
                <w:color w:val="000000" w:themeColor="text1"/>
                <w14:textFill>
                  <w14:solidFill>
                    <w14:schemeClr w14:val="tx1"/>
                  </w14:solidFill>
                </w14:textFill>
              </w:rPr>
            </w:pPr>
            <w:bookmarkStart w:id="4" w:name="_Hlk144122360"/>
            <w:r>
              <w:rPr>
                <w:rFonts w:eastAsia="Malgun Gothic" w:cs="宋体"/>
                <w:color w:val="000000" w:themeColor="text1"/>
                <w14:textFill>
                  <w14:solidFill>
                    <w14:schemeClr w14:val="tx1"/>
                  </w14:solidFill>
                </w14:textFill>
              </w:rPr>
              <w:t>35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any positioning method specific capability IEs should be grouped by positioning method.</w:t>
            </w:r>
            <w:bookmarkEnd w:id="4"/>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36 Which parameters shall be put under common, which should be put under positioning method specific IE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36</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36</w:t>
            </w:r>
          </w:p>
          <w:p>
            <w:pPr>
              <w:spacing w:after="180"/>
              <w:rPr>
                <w:rFonts w:ascii="Calibri" w:hAnsi="Calibri" w:eastAsia="Malgun Gothic" w:cs="宋体"/>
              </w:rPr>
            </w:pPr>
            <w:r>
              <w:rPr>
                <w:rFonts w:ascii="Calibri" w:hAnsi="Calibri" w:eastAsia="Malgun Gothic" w:cs="宋体"/>
              </w:rPr>
              <w:t xml:space="preserve">Rapporteur will provide TP on latest RAN1 parameter in Nov meeting. </w:t>
            </w:r>
          </w:p>
          <w:p>
            <w:pPr>
              <w:spacing w:after="180"/>
              <w:rPr>
                <w:rFonts w:ascii="Calibri" w:hAnsi="Calibri" w:eastAsia="Malgun Gothic" w:cs="宋体"/>
              </w:rPr>
            </w:pPr>
            <w:r>
              <w:rPr>
                <w:rFonts w:ascii="Calibri" w:hAnsi="Calibri" w:eastAsia="Malgun Gothic" w:cs="宋体"/>
              </w:rPr>
              <w:t>Xiaomi to provide the TP on 35, see [Post][407]</w:t>
            </w:r>
          </w:p>
          <w:p>
            <w:pPr>
              <w:pStyle w:val="84"/>
              <w:numPr>
                <w:ilvl w:val="0"/>
                <w:numId w:val="16"/>
              </w:numPr>
              <w:rPr>
                <w:rFonts w:ascii="Calibri" w:hAnsi="Calibri" w:eastAsia="Malgun Gothic" w:cs="宋体"/>
              </w:rPr>
            </w:pPr>
            <w:r>
              <w:rPr>
                <w:rFonts w:ascii="Calibri" w:hAnsi="Calibri" w:eastAsia="Malgun Gothic" w:cs="宋体"/>
              </w:rPr>
              <w:t>Issues 35 to be concluded in capability postmeeintg email discussion in [Post124][418]</w:t>
            </w:r>
          </w:p>
          <w:p>
            <w:pPr>
              <w:pStyle w:val="84"/>
              <w:numPr>
                <w:ilvl w:val="0"/>
                <w:numId w:val="16"/>
              </w:numPr>
              <w:rPr>
                <w:rFonts w:ascii="Calibri" w:hAnsi="Calibri" w:eastAsia="Malgun Gothic" w:cs="宋体"/>
              </w:rPr>
            </w:pPr>
            <w:r>
              <w:rPr>
                <w:rFonts w:ascii="Calibri" w:hAnsi="Calibri" w:eastAsia="Malgun Gothic" w:cs="宋体"/>
              </w:rPr>
              <w:t>Issue 36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37, The details of ProvideAssistanceData and RequestAssistanceData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38 How to inform the Rx UE of the parameters for the SL PRS configuration used by Tx UE (if it is done by server, how can server get the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39 How to capture SL-PRS configuration, common section and then invoked by positioning method specific IE or?</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40 Capture RAN1 parameters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41 </w:t>
            </w:r>
            <w:bookmarkStart w:id="5" w:name="_Hlk148769829"/>
            <w:r>
              <w:rPr>
                <w:rFonts w:eastAsia="Malgun Gothic" w:cs="宋体"/>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w:t>
            </w:r>
            <w:r>
              <w:rPr>
                <w:rFonts w:eastAsia="Malgun Gothic" w:cs="宋体"/>
                <w:color w:val="FF0000"/>
              </w:rPr>
              <w:t xml:space="preserve"> FFS exact SLPP signalling.</w:t>
            </w:r>
            <w:bookmarkEnd w:id="5"/>
          </w:p>
          <w:p>
            <w:pPr>
              <w:pStyle w:val="84"/>
              <w:numPr>
                <w:ilvl w:val="0"/>
                <w:numId w:val="15"/>
              </w:numPr>
              <w:rPr>
                <w:rFonts w:eastAsia="Malgun Gothic" w:cs="宋体"/>
                <w:color w:val="000000" w:themeColor="text1"/>
                <w14:textFill>
                  <w14:solidFill>
                    <w14:schemeClr w14:val="tx1"/>
                  </w14:solidFill>
                </w14:textFill>
              </w:rPr>
            </w:pPr>
          </w:p>
          <w:p>
            <w:pPr>
              <w:pStyle w:val="84"/>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38, 39</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5"/>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5"/>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spacing w:after="180"/>
              <w:rPr>
                <w:rFonts w:ascii="Calibri" w:hAnsi="Calibri" w:eastAsia="Malgun Gothic" w:cs="宋体"/>
              </w:rPr>
            </w:pPr>
            <w:r>
              <w:rPr>
                <w:rFonts w:ascii="Calibri" w:hAnsi="Calibri" w:eastAsia="Malgun Gothic" w:cs="宋体"/>
              </w:rPr>
              <w:t>TP provided by Rapporteur (need confirmation): 37, 40</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4): 41</w:t>
            </w:r>
          </w:p>
          <w:p>
            <w:pPr>
              <w:spacing w:after="180"/>
              <w:rPr>
                <w:rFonts w:ascii="Calibri" w:hAnsi="Calibri" w:eastAsia="Malgun Gothic" w:cs="宋体"/>
              </w:rPr>
            </w:pPr>
          </w:p>
          <w:p>
            <w:pPr>
              <w:spacing w:after="180"/>
              <w:rPr>
                <w:rFonts w:ascii="Calibri" w:hAnsi="Calibri" w:eastAsia="Malgun Gothic" w:cs="宋体"/>
              </w:rPr>
            </w:pPr>
            <w:r>
              <w:rPr>
                <w:rFonts w:ascii="Calibri" w:hAnsi="Calibri" w:eastAsia="Malgun Gothic" w:cs="宋体"/>
              </w:rPr>
              <w:t>Wait for further inputs from RAN1/RAN4: 37,40</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 37 and 40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reporting:</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42 The details of Provide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43 Mapping between measurement results and positioning methods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44 separate positioning methods for SL-RSTD and SL-RTOA </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45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42 (Ranging), 44</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5"/>
              </w:numPr>
              <w:rPr>
                <w:rFonts w:ascii="Calibri" w:hAnsi="Calibri" w:eastAsia="Malgun Gothic" w:cs="宋体"/>
              </w:rPr>
            </w:pPr>
            <w:r>
              <w:rPr>
                <w:rFonts w:ascii="Calibri" w:hAnsi="Calibri" w:eastAsia="Malgun Gothic" w:cs="宋体"/>
              </w:rPr>
              <w:t>Introduce the following SLPP position methods:</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pStyle w:val="84"/>
              <w:numPr>
                <w:ilvl w:val="0"/>
                <w:numId w:val="15"/>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42,43, 45</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42, 43, 45</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Issues 42, 43 and 45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request: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46 The details of Request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47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46 (ranging)</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46, 47</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46, 47</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Issues 46 and 47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RAN1/RAN4 feature list</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To capture RAN1/RAN4 feature list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48 The details of Request Capabilities and Provide Capabilities;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48, see [Post][407]</w:t>
            </w:r>
          </w:p>
          <w:p>
            <w:pPr>
              <w:pStyle w:val="84"/>
              <w:numPr>
                <w:ilvl w:val="0"/>
                <w:numId w:val="16"/>
              </w:numPr>
              <w:rPr>
                <w:rFonts w:ascii="Calibri" w:hAnsi="Calibri" w:eastAsia="Malgun Gothic" w:cs="宋体"/>
              </w:rPr>
            </w:pPr>
            <w:r>
              <w:rPr>
                <w:rFonts w:ascii="Calibri" w:hAnsi="Calibri" w:eastAsia="Malgun Gothic" w:cs="宋体"/>
              </w:rPr>
              <w:t xml:space="preserve">Issues 48 to be concluded in capability postmeeintg email discussion in [Post124][418] </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RAN2 feature list</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49 To capture RAN2 feature list</w:t>
            </w:r>
          </w:p>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scheduled location time</w:t>
            </w:r>
          </w:p>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triggerEvent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49, see [Post][407]</w:t>
            </w:r>
          </w:p>
          <w:p>
            <w:pPr>
              <w:spacing w:after="180"/>
              <w:rPr>
                <w:rFonts w:ascii="Calibri" w:hAnsi="Calibri" w:eastAsia="Malgun Gothic" w:cs="宋体"/>
                <w:color w:val="FF0000"/>
              </w:rPr>
            </w:pPr>
            <w:r>
              <w:rPr>
                <w:rFonts w:ascii="Calibri" w:hAnsi="Calibri" w:eastAsia="Malgun Gothic" w:cs="宋体"/>
                <w:color w:val="FF0000"/>
              </w:rPr>
              <w:t>Company contribution: 49 on two FFS issues.</w:t>
            </w:r>
          </w:p>
          <w:p>
            <w:pPr>
              <w:pStyle w:val="84"/>
              <w:numPr>
                <w:ilvl w:val="0"/>
                <w:numId w:val="16"/>
              </w:numPr>
              <w:rPr>
                <w:rFonts w:ascii="Calibri" w:hAnsi="Calibri" w:eastAsia="Malgun Gothic" w:cs="宋体"/>
              </w:rPr>
            </w:pPr>
            <w:r>
              <w:rPr>
                <w:rFonts w:ascii="Calibri" w:hAnsi="Calibri" w:eastAsia="Malgun Gothic" w:cs="宋体"/>
              </w:rPr>
              <w:t xml:space="preserve">Issues 49 RAN2 features to be concluded in capability postmeeintg email discussion in [Post124][418] </w:t>
            </w:r>
          </w:p>
          <w:p>
            <w:pPr>
              <w:pStyle w:val="84"/>
              <w:numPr>
                <w:ilvl w:val="0"/>
                <w:numId w:val="16"/>
              </w:numPr>
              <w:rPr>
                <w:rFonts w:ascii="Calibri" w:hAnsi="Calibri" w:eastAsia="Malgun Gothic" w:cs="宋体"/>
              </w:rPr>
            </w:pPr>
            <w:r>
              <w:rPr>
                <w:rFonts w:ascii="Calibri" w:hAnsi="Calibri" w:eastAsia="Malgun Gothic" w:cs="宋体"/>
              </w:rPr>
              <w:t>Issues 49 scheduled location time and triggered event have been concluded in [RAN2#124].</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Pr>
          <w:p>
            <w:pPr>
              <w:spacing w:after="180"/>
              <w:rPr>
                <w:rFonts w:ascii="Calibri" w:hAnsi="Calibri" w:eastAsia="Malgun Gothic" w:cs="宋体"/>
                <w:b/>
                <w:bCs/>
              </w:rPr>
            </w:pPr>
            <w:r>
              <w:rPr>
                <w:rFonts w:ascii="Calibri" w:hAnsi="Calibri" w:eastAsia="Malgun Gothic" w:cs="宋体"/>
                <w:b/>
                <w:bCs/>
              </w:rPr>
              <w:t>Issues identified in [Post123bis][412]</w:t>
            </w:r>
          </w:p>
          <w:p>
            <w:pPr>
              <w:spacing w:after="180"/>
              <w:rPr>
                <w:rFonts w:ascii="Calibri" w:hAnsi="Calibri" w:eastAsia="Malgun Gothic" w:cs="宋体"/>
              </w:rPr>
            </w:pPr>
            <w:r>
              <w:rPr>
                <w:rFonts w:ascii="Calibri" w:hAnsi="Calibri" w:eastAsia="Malgun Gothic" w:cs="宋体"/>
                <w:highlight w:val="green"/>
              </w:rPr>
              <w:t>[RAN2#124] All issues have been resolved</w:t>
            </w:r>
            <w:r>
              <w:rPr>
                <w:rFonts w:ascii="Calibri" w:hAnsi="Calibri" w:eastAsia="Malgun Gothic" w:cs="宋体"/>
              </w:rPr>
              <w:t xml:space="preserve"> except issue 50 which will be considered in maintenance phase</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50 relative location/velocity.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Company contribution: 50</w:t>
            </w:r>
          </w:p>
          <w:p>
            <w:pPr>
              <w:pStyle w:val="84"/>
              <w:numPr>
                <w:ilvl w:val="0"/>
                <w:numId w:val="16"/>
              </w:numPr>
              <w:rPr>
                <w:rFonts w:ascii="Calibri" w:hAnsi="Calibri" w:eastAsia="Malgun Gothic" w:cs="宋体"/>
              </w:rPr>
            </w:pPr>
            <w:r>
              <w:rPr>
                <w:rFonts w:ascii="Calibri" w:hAnsi="Calibri" w:eastAsia="Malgun Gothic" w:cs="宋体"/>
              </w:rPr>
              <w:t>Issues 50 to be considered in maintenance phase</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51 The request details need to be added for assistance data request and location request. That will be done in next version for Nov meeting.</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Rapporteur will provide the draft TP on 51</w:t>
            </w:r>
          </w:p>
          <w:p>
            <w:pPr>
              <w:pStyle w:val="84"/>
              <w:numPr>
                <w:ilvl w:val="0"/>
                <w:numId w:val="16"/>
              </w:numPr>
              <w:rPr>
                <w:rFonts w:ascii="Calibri" w:hAnsi="Calibri" w:eastAsia="Malgun Gothic" w:cs="宋体"/>
              </w:rPr>
            </w:pPr>
            <w:r>
              <w:rPr>
                <w:rFonts w:ascii="Calibri" w:hAnsi="Calibri" w:eastAsia="Malgun Gothic" w:cs="宋体"/>
              </w:rPr>
              <w:t>Issues 51 has been covered in TS 38.355 v1.3.0</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52 Editor's note   FFS if layer2ID or applicationLayerID should be used.</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Company contribution: 52</w:t>
            </w:r>
          </w:p>
          <w:p>
            <w:pPr>
              <w:pStyle w:val="84"/>
              <w:numPr>
                <w:ilvl w:val="0"/>
                <w:numId w:val="16"/>
              </w:numPr>
              <w:rPr>
                <w:rFonts w:ascii="Calibri" w:hAnsi="Calibri" w:eastAsia="Malgun Gothic" w:cs="宋体"/>
              </w:rPr>
            </w:pPr>
            <w:r>
              <w:rPr>
                <w:rFonts w:ascii="Calibri" w:hAnsi="Calibri" w:eastAsia="Malgun Gothic" w:cs="宋体"/>
              </w:rPr>
              <w:t>Issues 52 has been concluded in [RAN2#124].</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53 whether there are also QoS for angle estimate, like for positonig method SL-AoA</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RAN1 or RAN2 issue?</w:t>
            </w:r>
          </w:p>
          <w:p>
            <w:pPr>
              <w:spacing w:after="180"/>
              <w:rPr>
                <w:rFonts w:ascii="Calibri" w:hAnsi="Calibri" w:eastAsia="Malgun Gothic" w:cs="宋体"/>
                <w:color w:val="FF0000"/>
              </w:rPr>
            </w:pPr>
            <w:r>
              <w:rPr>
                <w:rFonts w:ascii="Calibri" w:hAnsi="Calibri" w:eastAsia="Malgun Gothic" w:cs="宋体"/>
                <w:color w:val="FF0000"/>
              </w:rPr>
              <w:t>Company contribution: 53</w:t>
            </w:r>
          </w:p>
          <w:p>
            <w:pPr>
              <w:pStyle w:val="84"/>
              <w:numPr>
                <w:ilvl w:val="0"/>
                <w:numId w:val="16"/>
              </w:numPr>
              <w:rPr>
                <w:rFonts w:ascii="Calibri" w:hAnsi="Calibri" w:eastAsia="Malgun Gothic" w:cs="宋体"/>
              </w:rPr>
            </w:pPr>
            <w:r>
              <w:rPr>
                <w:rFonts w:ascii="Calibri" w:hAnsi="Calibri" w:eastAsia="Malgun Gothic" w:cs="宋体"/>
              </w:rPr>
              <w:t>Issues 53 has been concluded in [RAN2#124].</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Maintenace phase</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50 relative location/velocity.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 xml:space="preserve">So far, we did not identity the content for some IEs, e.g. commonIEsRequestCapabilities, CommonSL-PRS-MethodsIEsRequestLocationInformation. </w:t>
            </w:r>
          </w:p>
          <w:p>
            <w:pPr>
              <w:rPr>
                <w:rFonts w:ascii="Calibri" w:hAnsi="Calibri" w:eastAsia="Malgun Gothic" w:cs="宋体"/>
                <w:color w:val="000000" w:themeColor="text1"/>
                <w14:textFill>
                  <w14:solidFill>
                    <w14:schemeClr w14:val="tx1"/>
                  </w14:solidFill>
                </w14:textFill>
              </w:rPr>
            </w:pPr>
          </w:p>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Further discuss whether these empty IEs should be deleted in maintenance phase.</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Further RAN1/4 inputs if any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bl>
    <w:p>
      <w:pPr>
        <w:jc w:val="both"/>
        <w:rPr>
          <w:rFonts w:ascii="Times New Roman" w:hAnsi="Times New Roman" w:cs="Times New Roman"/>
          <w:b/>
          <w:bCs/>
          <w:sz w:val="20"/>
          <w:szCs w:val="20"/>
          <w:lang w:val="en-GB"/>
        </w:rPr>
      </w:pPr>
    </w:p>
    <w:p>
      <w:pPr>
        <w:spacing w:before="120" w:beforeLines="50"/>
        <w:rPr>
          <w:b/>
          <w:bCs/>
          <w:sz w:val="20"/>
          <w:szCs w:val="20"/>
        </w:rPr>
      </w:pPr>
    </w:p>
    <w:p>
      <w:pPr>
        <w:spacing w:before="120" w:beforeLines="50"/>
        <w:rPr>
          <w:b/>
          <w:bCs/>
          <w:sz w:val="20"/>
          <w:szCs w:val="20"/>
        </w:rPr>
      </w:pPr>
    </w:p>
    <w:p>
      <w:pPr>
        <w:spacing w:before="120" w:beforeLines="50"/>
        <w:rPr>
          <w:b/>
          <w:bCs/>
          <w:sz w:val="20"/>
          <w:szCs w:val="20"/>
          <w:lang w:eastAsia="zh-CN"/>
        </w:rPr>
      </w:pPr>
      <w:r>
        <w:rPr>
          <w:b/>
          <w:bCs/>
          <w:sz w:val="20"/>
          <w:szCs w:val="20"/>
        </w:rPr>
        <w:t>Q1: Is any issue missing from the list? Please add if any.</w:t>
      </w:r>
    </w:p>
    <w:tbl>
      <w:tblPr>
        <w:tblStyle w:val="24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60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p>
        </w:tc>
        <w:tc>
          <w:tcPr>
            <w:tcW w:w="1605" w:type="dxa"/>
          </w:tcPr>
          <w:p>
            <w:pPr>
              <w:rPr>
                <w:rFonts w:ascii="Times New Roman" w:hAnsi="Times New Roman" w:cs="Times New Roman"/>
                <w:sz w:val="20"/>
                <w:szCs w:val="20"/>
                <w:lang w:val="en-GB" w:eastAsia="zh-CN"/>
              </w:rPr>
            </w:pPr>
          </w:p>
        </w:tc>
        <w:tc>
          <w:tcPr>
            <w:tcW w:w="5865"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p>
    <w:p>
      <w:pPr>
        <w:pStyle w:val="4"/>
      </w:pPr>
      <w:r>
        <w:t>3.2 Summary of the changes in the draft TS 38.355 v1.3.0</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Following changes have been  captured in draft TS 38.355 v 1.3.0”</w:t>
      </w:r>
    </w:p>
    <w:p>
      <w:pPr>
        <w:pStyle w:val="84"/>
        <w:numPr>
          <w:ilvl w:val="0"/>
          <w:numId w:val="18"/>
        </w:numPr>
        <w:jc w:val="both"/>
        <w:rPr>
          <w:lang w:val="en-GB"/>
        </w:rPr>
      </w:pPr>
      <w:r>
        <w:rPr>
          <w:lang w:val="en-GB"/>
        </w:rPr>
        <w:t>RAN1 parameters in R1-2312697</w:t>
      </w:r>
    </w:p>
    <w:p>
      <w:pPr>
        <w:pStyle w:val="84"/>
        <w:numPr>
          <w:ilvl w:val="0"/>
          <w:numId w:val="18"/>
        </w:numPr>
        <w:jc w:val="both"/>
        <w:rPr>
          <w:lang w:val="en-GB"/>
        </w:rPr>
      </w:pPr>
      <w:r>
        <w:rPr>
          <w:lang w:val="en-GB"/>
        </w:rPr>
        <w:t>RAN2 agreements:</w:t>
      </w:r>
    </w:p>
    <w:p>
      <w:pPr>
        <w:pBdr>
          <w:top w:val="single" w:color="auto" w:sz="4" w:space="1"/>
          <w:left w:val="single" w:color="auto" w:sz="4" w:space="4"/>
          <w:bottom w:val="single" w:color="auto" w:sz="4" w:space="1"/>
          <w:right w:val="single" w:color="auto" w:sz="4" w:space="4"/>
        </w:pBdr>
        <w:rPr>
          <w:lang w:eastAsia="zh-CN"/>
        </w:rPr>
      </w:pPr>
      <w:r>
        <w:rPr>
          <w:lang w:eastAsia="zh-CN"/>
        </w:rPr>
        <w:t>close the open issue 24, 28, 31 on UE role. RAN2 will not capture the description of UE role for procedures.</w:t>
      </w:r>
    </w:p>
    <w:p>
      <w:pPr>
        <w:pBdr>
          <w:top w:val="single" w:color="auto" w:sz="4" w:space="1"/>
          <w:left w:val="single" w:color="auto" w:sz="4" w:space="4"/>
          <w:bottom w:val="single" w:color="auto" w:sz="4" w:space="1"/>
          <w:right w:val="single" w:color="auto" w:sz="4" w:space="4"/>
        </w:pBdr>
        <w:rPr>
          <w:lang w:eastAsia="zh-CN"/>
        </w:rPr>
      </w:pPr>
      <w:r>
        <w:rPr>
          <w:lang w:eastAsia="zh-CN"/>
        </w:rPr>
        <w:t>close the open issue 31 on Need code, delta signalling is not supported and Need code is not supported unless companies identify the real need.</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52, application layer ID is used in the SLPP specification.</w:t>
      </w:r>
      <w:r>
        <w:rPr>
          <w:lang w:eastAsia="zh-CN"/>
        </w:rPr>
        <w:tab/>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53 on QoS for AoA, capture the TP from R2-2312724 in SLPP specification.</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49, scheduled location between UE and the LMF is supported in the SLPP specification. E-CID like trigger event is not supported in the SLPP specification.</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Update the TS 38.355 based on the proposal 3 from R2-2312127 on the periodical reporting;</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the 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Note: RAN1 has agreed</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Define the maximum number of additional paths for SL-RSTD, SL-RTOA and SL Rx – Tx time difference to be equal to 8. The maximum number of additional paths for SL-AoA is equal to 2.</w:t>
      </w:r>
    </w:p>
    <w:p>
      <w:pPr>
        <w:pBdr>
          <w:top w:val="single" w:color="auto" w:sz="4" w:space="1"/>
          <w:left w:val="single" w:color="auto" w:sz="4" w:space="4"/>
          <w:bottom w:val="single" w:color="auto" w:sz="4" w:space="1"/>
          <w:right w:val="single" w:color="auto" w:sz="4" w:space="4"/>
        </w:pBdr>
        <w:tabs>
          <w:tab w:val="left" w:pos="8313"/>
        </w:tabs>
      </w:pPr>
      <w:r>
        <w:rPr>
          <w:lang w:eastAsia="zh-CN"/>
        </w:rPr>
        <w:t>Update the TS 38.355 based on the proposal 10 from R2-2312807</w:t>
      </w:r>
    </w:p>
    <w:p>
      <w:pPr>
        <w:pBdr>
          <w:top w:val="single" w:color="auto" w:sz="4" w:space="1"/>
          <w:left w:val="single" w:color="auto" w:sz="4" w:space="4"/>
          <w:bottom w:val="single" w:color="auto" w:sz="4" w:space="1"/>
          <w:right w:val="single" w:color="auto" w:sz="4" w:space="4"/>
        </w:pBdr>
        <w:tabs>
          <w:tab w:val="left" w:pos="8313"/>
        </w:tabs>
      </w:pPr>
      <w:r>
        <w:t>-  Clarify that RangeResult field under the LocationCoordinates IE of the CommonIEsProvideLocationInformation IE is in metric units of meters and update the value range to INTEGER (0..999).</w:t>
      </w:r>
    </w:p>
    <w:p>
      <w:pPr>
        <w:pBdr>
          <w:top w:val="single" w:color="auto" w:sz="4" w:space="1"/>
          <w:left w:val="single" w:color="auto" w:sz="4" w:space="4"/>
          <w:bottom w:val="single" w:color="auto" w:sz="4" w:space="1"/>
          <w:right w:val="single" w:color="auto" w:sz="4" w:space="4"/>
        </w:pBdr>
        <w:tabs>
          <w:tab w:val="left" w:pos="8313"/>
        </w:tabs>
      </w:pPr>
      <w:r>
        <w:t>- Clarify that the AzimuthResult and ElevationResult field under the LocationCoordinates IE of the CommonIEsProvideLocationInformation IE is in metric units of degrees and update the ElevationResult value rage to INTEGER (0..89).</w:t>
      </w:r>
    </w:p>
    <w:p>
      <w:pPr>
        <w:pBdr>
          <w:top w:val="single" w:color="auto" w:sz="4" w:space="1"/>
          <w:left w:val="single" w:color="auto" w:sz="4" w:space="4"/>
          <w:bottom w:val="single" w:color="auto" w:sz="4" w:space="1"/>
          <w:right w:val="single" w:color="auto" w:sz="4" w:space="4"/>
        </w:pBdr>
        <w:tabs>
          <w:tab w:val="left" w:pos="8313"/>
        </w:tabs>
        <w:rPr>
          <w:lang w:val="en-GB" w:eastAsia="zh-CN"/>
        </w:rPr>
      </w:pPr>
      <w:r>
        <w:t>Specify the RSPP metadata in SLPP specification as an SLPP IE/separate module (in a separate section and is not expected to be included in any SLPP message).</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Q2: Companies are invited to provide comments/suggestions on the draft TS 3</w:t>
      </w:r>
      <w:r>
        <w:rPr>
          <w:rFonts w:hint="eastAsia" w:ascii="Times New Roman" w:hAnsi="Times New Roman" w:cs="Times New Roman"/>
          <w:b/>
          <w:bCs/>
          <w:sz w:val="20"/>
          <w:szCs w:val="20"/>
          <w:lang w:eastAsia="zh-CN"/>
        </w:rPr>
        <w:t>8</w:t>
      </w:r>
      <w:r>
        <w:rPr>
          <w:rFonts w:ascii="Times New Roman" w:hAnsi="Times New Roman" w:cs="Times New Roman"/>
          <w:b/>
          <w:bCs/>
          <w:sz w:val="20"/>
          <w:szCs w:val="20"/>
        </w:rPr>
        <w:t>.355 v1.3.0 in the following table.</w:t>
      </w:r>
    </w:p>
    <w:tbl>
      <w:tblPr>
        <w:tblStyle w:val="51"/>
        <w:tblW w:w="0" w:type="auto"/>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5461"/>
        <w:gridCol w:w="377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907"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3921"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64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2</w:t>
            </w:r>
            <w:r>
              <w:rPr>
                <w:rFonts w:ascii="Times New Roman" w:hAnsi="Times New Roman" w:cs="Times New Roman"/>
                <w:sz w:val="20"/>
                <w:szCs w:val="20"/>
                <w:lang w:val="en-GB"/>
              </w:rPr>
              <w:tab/>
            </w:r>
            <w:r>
              <w:rPr>
                <w:rFonts w:ascii="Times New Roman" w:hAnsi="Times New Roman" w:cs="Times New Roman"/>
                <w:sz w:val="20"/>
                <w:szCs w:val="20"/>
                <w:lang w:val="en-GB"/>
              </w:rPr>
              <w:t>References</w:t>
            </w:r>
          </w:p>
        </w:tc>
        <w:tc>
          <w:tcPr>
            <w:tcW w:w="392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should add 23.586 to the reference</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Terms</w:t>
            </w:r>
          </w:p>
        </w:tc>
        <w:tc>
          <w:tcPr>
            <w:tcW w:w="392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might also be better to add definition for ranging/sidelink positioning to the clause of definitions and we can cite 23.586</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jc w:val="both"/>
              <w:rPr>
                <w:rFonts w:ascii="Times New Roman" w:hAnsi="Times New Roman" w:cs="Times New Roman"/>
                <w:sz w:val="20"/>
                <w:szCs w:val="20"/>
                <w:lang w:val="en-GB" w:eastAsia="zh-CN"/>
              </w:rPr>
            </w:pPr>
          </w:p>
        </w:tc>
        <w:tc>
          <w:tcPr>
            <w:tcW w:w="3921"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w:t>
            </w:r>
            <w:r>
              <w:rPr>
                <w:rFonts w:ascii="Times New Roman" w:hAnsi="Times New Roman" w:cs="Times New Roman"/>
                <w:sz w:val="20"/>
                <w:szCs w:val="20"/>
                <w:lang w:val="en-GB" w:eastAsia="zh-CN"/>
              </w:rPr>
              <w:t>e should remove all the commented text after – in this submission?</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EN/FFS is allowed for SLPP. Clean version with change mark will be submitted to RANP.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5</w:t>
            </w:r>
            <w:r>
              <w:rPr>
                <w:rFonts w:ascii="Times New Roman" w:hAnsi="Times New Roman" w:cs="Times New Roman"/>
                <w:sz w:val="20"/>
                <w:szCs w:val="20"/>
                <w:lang w:val="en-GB" w:eastAsia="zh-CN"/>
              </w:rPr>
              <w:t>.1.3</w:t>
            </w:r>
          </w:p>
        </w:tc>
        <w:tc>
          <w:tcPr>
            <w:tcW w:w="3921"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T</w:t>
            </w:r>
            <w:r>
              <w:rPr>
                <w:rFonts w:ascii="Times New Roman" w:hAnsi="Times New Roman" w:cs="Times New Roman"/>
                <w:sz w:val="20"/>
                <w:szCs w:val="20"/>
                <w:lang w:val="en-GB" w:eastAsia="zh-CN"/>
              </w:rPr>
              <w:t>he figure looks a bit funny that there is no space between “d” and “p” in the word “endpoint”</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pStyle w:val="5"/>
              <w:rPr>
                <w:lang w:eastAsia="ja-JP"/>
              </w:rPr>
            </w:pPr>
            <w:bookmarkStart w:id="6" w:name="_Toc149599405"/>
            <w:r>
              <w:rPr>
                <w:lang w:eastAsia="ja-JP"/>
              </w:rPr>
              <w:t>5.2.5</w:t>
            </w:r>
            <w:r>
              <w:rPr>
                <w:lang w:eastAsia="ja-JP"/>
              </w:rPr>
              <w:tab/>
            </w:r>
            <w:r>
              <w:rPr>
                <w:lang w:eastAsia="ja-JP"/>
              </w:rPr>
              <w:t>Reception of SLPP Request Assistance Data</w:t>
            </w:r>
            <w:bookmarkEnd w:id="6"/>
          </w:p>
          <w:p>
            <w:pPr>
              <w:rPr>
                <w:rFonts w:ascii="Times New Roman" w:hAnsi="Times New Roman" w:cs="Times New Roman"/>
                <w:lang w:eastAsia="ja-JP"/>
              </w:rPr>
            </w:pPr>
            <w:r>
              <w:rPr>
                <w:rFonts w:ascii="Times New Roman" w:hAnsi="Times New Roman" w:cs="Times New Roman"/>
                <w:lang w:eastAsia="ja-JP"/>
              </w:rPr>
              <w:t xml:space="preserve">Upon receiving a </w:t>
            </w:r>
            <w:r>
              <w:rPr>
                <w:rFonts w:ascii="Times New Roman" w:hAnsi="Times New Roman" w:cs="Times New Roman"/>
                <w:i/>
              </w:rPr>
              <w:t>RequestAssistanceData</w:t>
            </w:r>
            <w:r>
              <w:rPr>
                <w:rFonts w:ascii="Times New Roman" w:hAnsi="Times New Roman" w:cs="Times New Roman"/>
                <w:lang w:eastAsia="ja-JP"/>
              </w:rPr>
              <w:t xml:space="preserve"> message, Endpoint B shall generate a </w:t>
            </w:r>
            <w:r>
              <w:rPr>
                <w:rFonts w:ascii="Times New Roman" w:hAnsi="Times New Roman" w:cs="Times New Roman"/>
                <w:i/>
              </w:rPr>
              <w:t>ProvideAssistanceData</w:t>
            </w:r>
            <w:r>
              <w:rPr>
                <w:rFonts w:ascii="Times New Roman" w:hAnsi="Times New Roman" w:cs="Times New Roman"/>
                <w:lang w:eastAsia="ja-JP"/>
              </w:rPr>
              <w:t xml:space="preserve"> message as a response.</w:t>
            </w:r>
          </w:p>
          <w:p>
            <w:pPr>
              <w:rPr>
                <w:rFonts w:ascii="Times New Roman" w:hAnsi="Times New Roman" w:cs="Times New Roman"/>
                <w:lang w:eastAsia="ja-JP"/>
              </w:rPr>
            </w:pPr>
            <w:r>
              <w:rPr>
                <w:rFonts w:ascii="Times New Roman" w:hAnsi="Times New Roman" w:cs="Times New Roman"/>
                <w:lang w:eastAsia="ja-JP"/>
              </w:rPr>
              <w:t>Endpoint B shall:</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for each positioning method for which a request for assistance data is included in the message:</w:t>
            </w:r>
          </w:p>
          <w:p>
            <w:pPr>
              <w:pStyle w:val="103"/>
              <w:rPr>
                <w:highlight w:val="yellow"/>
              </w:rPr>
            </w:pPr>
            <w:r>
              <w:rPr>
                <w:highlight w:val="yellow"/>
              </w:rPr>
              <w:t>2&gt;</w:t>
            </w:r>
            <w:r>
              <w:rPr>
                <w:highlight w:val="yellow"/>
              </w:rPr>
              <w:tab/>
            </w:r>
            <w:r>
              <w:rPr>
                <w:highlight w:val="yellow"/>
              </w:rPr>
              <w:t>if Endpoint B supports this positioning method:</w:t>
            </w:r>
          </w:p>
          <w:p>
            <w:pPr>
              <w:pStyle w:val="113"/>
            </w:pPr>
            <w:r>
              <w:rPr>
                <w:highlight w:val="yellow"/>
              </w:rPr>
              <w:t>3&gt;</w:t>
            </w:r>
            <w:r>
              <w:rPr>
                <w:highlight w:val="yellow"/>
              </w:rPr>
              <w:tab/>
            </w:r>
            <w:r>
              <w:rPr>
                <w:highlight w:val="yellow"/>
              </w:rPr>
              <w:t>include the assistance data for that supported positioning method in the response message;</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 xml:space="preserve">set the IE </w:t>
            </w:r>
            <w:r>
              <w:rPr>
                <w:rFonts w:ascii="Times New Roman" w:hAnsi="Times New Roman" w:cs="Times New Roman"/>
                <w:i/>
                <w:lang w:val="en-US"/>
              </w:rPr>
              <w:t>SessionID</w:t>
            </w:r>
            <w:r>
              <w:rPr>
                <w:rFonts w:ascii="Times New Roman" w:hAnsi="Times New Roman" w:cs="Times New Roman"/>
                <w:lang w:val="en-US"/>
              </w:rPr>
              <w:t xml:space="preserve"> in the response message to the same value as the IE </w:t>
            </w:r>
            <w:r>
              <w:rPr>
                <w:rFonts w:ascii="Times New Roman" w:hAnsi="Times New Roman" w:cs="Times New Roman"/>
                <w:i/>
                <w:lang w:val="en-US"/>
              </w:rPr>
              <w:t>SessionID</w:t>
            </w:r>
            <w:r>
              <w:rPr>
                <w:rFonts w:ascii="Times New Roman" w:hAnsi="Times New Roman" w:cs="Times New Roman"/>
                <w:lang w:val="en-US"/>
              </w:rPr>
              <w:t xml:space="preserve"> in the received message if received;</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set the IE S</w:t>
            </w:r>
            <w:r>
              <w:rPr>
                <w:rFonts w:ascii="Times New Roman" w:hAnsi="Times New Roman" w:cs="Times New Roman"/>
                <w:i/>
                <w:lang w:val="en-US"/>
              </w:rPr>
              <w:t>LPP-TransactionID</w:t>
            </w:r>
            <w:r>
              <w:rPr>
                <w:rFonts w:ascii="Times New Roman" w:hAnsi="Times New Roman" w:cs="Times New Roman"/>
                <w:lang w:val="en-US"/>
              </w:rPr>
              <w:t xml:space="preserve"> in the response message to the same value as the IE S</w:t>
            </w:r>
            <w:r>
              <w:rPr>
                <w:rFonts w:ascii="Times New Roman" w:hAnsi="Times New Roman" w:cs="Times New Roman"/>
                <w:i/>
                <w:lang w:val="en-US"/>
              </w:rPr>
              <w:t>LPP-TransactionID</w:t>
            </w:r>
            <w:r>
              <w:rPr>
                <w:rFonts w:ascii="Times New Roman" w:hAnsi="Times New Roman" w:cs="Times New Roman"/>
                <w:lang w:val="en-US"/>
              </w:rPr>
              <w:t xml:space="preserve"> in the received message;</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deliver the response message to lower layers for transmission.</w:t>
            </w:r>
          </w:p>
          <w:p>
            <w:pPr>
              <w:jc w:val="both"/>
              <w:rPr>
                <w:rFonts w:ascii="Times New Roman" w:hAnsi="Times New Roman" w:cs="Times New Roman"/>
                <w:sz w:val="20"/>
                <w:szCs w:val="20"/>
                <w:lang w:eastAsia="zh-CN"/>
              </w:rPr>
            </w:pPr>
          </w:p>
        </w:tc>
        <w:tc>
          <w:tcPr>
            <w:tcW w:w="392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Is it possible for endpiontA to request the AD for the positioning methods that endpoint B does not support from the Enpoint B after the UE capability exchange?</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Good question. It should be error case. We either add it here or separate handling in section 5.4 Error handling, or leave it to implementation.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Would prefer to keep it here. But willing to hear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rPr>
                <w:rFonts w:ascii="Times New Roman" w:hAnsi="Times New Roman" w:cs="Times New Roman"/>
              </w:rPr>
            </w:pPr>
            <w:r>
              <w:rPr>
                <w:rFonts w:ascii="Times New Roman" w:hAnsi="Times New Roman" w:cs="Times New Roman"/>
                <w:highlight w:val="yellow"/>
              </w:rPr>
              <w:t>The ASN.1 in this clause uses the same format and coding conventions as described in Annex A of TS 38.331 [2].</w:t>
            </w:r>
            <w:r>
              <w:rPr>
                <w:rFonts w:ascii="Times New Roman" w:hAnsi="Times New Roman" w:cs="Times New Roman"/>
              </w:rPr>
              <w:t xml:space="preserve"> </w:t>
            </w:r>
            <w:r>
              <w:rPr>
                <w:rFonts w:ascii="Times New Roman" w:hAnsi="Times New Roman" w:cs="Times New Roman"/>
                <w:highlight w:val="green"/>
              </w:rPr>
              <w:t>The need code is not used in this release of the specification. Upon receiving a message with the field absent, the UE releases the current value.</w:t>
            </w:r>
          </w:p>
          <w:p>
            <w:pPr>
              <w:pStyle w:val="5"/>
              <w:rPr>
                <w:lang w:val="en-US" w:eastAsia="ja-JP"/>
              </w:rPr>
            </w:pPr>
          </w:p>
        </w:tc>
        <w:tc>
          <w:tcPr>
            <w:tcW w:w="392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part highlighted in yellow, we don’t need to say what is not supported in the current spec? only the second sentence specifying what is the expected behavior would be enough</w:t>
            </w:r>
          </w:p>
          <w:p>
            <w:pPr>
              <w:ind w:left="100" w:hanging="100" w:hangingChars="50"/>
              <w:jc w:val="both"/>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n the part highlighted in green, maybe we need to clarify that this is only applicable for ProcideAsssitanceData?</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 Removed “</w:t>
            </w:r>
            <w:r>
              <w:rPr>
                <w:rFonts w:ascii="Times New Roman" w:hAnsi="Times New Roman" w:cs="Times New Roman"/>
                <w:highlight w:val="green"/>
              </w:rPr>
              <w:t>The need code is not used in this release of the specification.</w:t>
            </w:r>
            <w:r>
              <w:rPr>
                <w:rFonts w:ascii="Times New Roman" w:hAnsi="Times New Roman" w:cs="Times New Roman"/>
                <w:sz w:val="20"/>
                <w:szCs w:val="20"/>
                <w:lang w:val="en-GB"/>
              </w:rPr>
              <w: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Some companies commented that the delta signalling can also be applicable for RequestLocationInformation. Therefore I did not add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pStyle w:val="110"/>
            </w:pPr>
            <w:r>
              <w:t xml:space="preserve">NOTE 1: </w:t>
            </w:r>
            <w:r>
              <w:tab/>
            </w:r>
            <w:r>
              <w:t xml:space="preserve">An implementation needs to include only the supported "Method" PDUs. Not supported methods do not need to be included, </w:t>
            </w:r>
            <w:r>
              <w:rPr>
                <w:highlight w:val="yellow"/>
              </w:rPr>
              <w:t>and therefore, do not contribute to the protocol size.</w:t>
            </w:r>
            <w:r>
              <w:t xml:space="preserve"> For example, if SL-RTT is not supported by an implementation, the </w:t>
            </w:r>
            <w:r>
              <w:rPr>
                <w:i/>
                <w:iCs/>
              </w:rPr>
              <w:t>SLPP-PDU-SL-RTT-Contents</w:t>
            </w:r>
            <w:r>
              <w:t xml:space="preserve"> PDU does not need to be included in the protocol.</w:t>
            </w:r>
          </w:p>
          <w:p>
            <w:pPr>
              <w:pStyle w:val="110"/>
            </w:pPr>
            <w:r>
              <w:t>NOTE 2:</w:t>
            </w:r>
            <w:r>
              <w:tab/>
            </w:r>
            <w:r>
              <w:t xml:space="preserve">An implementation supporting SL-RTT, SL-AoA, SL-TDOA, or SL-TOA must also support the </w:t>
            </w:r>
            <w:r>
              <w:rPr>
                <w:i/>
                <w:iCs/>
              </w:rPr>
              <w:t>SLPP-PDU-CommonSL-PRS-MethodsContents</w:t>
            </w:r>
            <w:r>
              <w:t xml:space="preserve"> PDU.</w:t>
            </w:r>
          </w:p>
          <w:p>
            <w:pPr>
              <w:rPr>
                <w:rFonts w:ascii="Times New Roman" w:hAnsi="Times New Roman" w:cs="Times New Roman"/>
                <w:highlight w:val="yellow"/>
                <w:lang w:val="en-GB"/>
              </w:rPr>
            </w:pPr>
          </w:p>
        </w:tc>
        <w:tc>
          <w:tcPr>
            <w:tcW w:w="392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don’t need to explain the monitvation why different pos methods are defined in different module in the spec and the part of  “do not contribute to the protocol size” is not needed? </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pStyle w:val="131"/>
              <w:shd w:val="clear" w:color="auto" w:fill="E6E6E6"/>
              <w:rPr>
                <w:snapToGrid w:val="0"/>
              </w:rPr>
            </w:pPr>
            <w:r>
              <w:rPr>
                <w:snapToGrid w:val="0"/>
              </w:rPr>
              <w:t>RequestCapabilities-IEs ::= SEQUENCE {</w:t>
            </w:r>
          </w:p>
          <w:p>
            <w:pPr>
              <w:pStyle w:val="131"/>
              <w:shd w:val="clear" w:color="auto" w:fill="E6E6E6"/>
              <w:rPr>
                <w:snapToGrid w:val="0"/>
                <w:highlight w:val="yellow"/>
              </w:rPr>
            </w:pPr>
            <w:r>
              <w:rPr>
                <w:snapToGrid w:val="0"/>
              </w:rPr>
              <w:t xml:space="preserve">    </w:t>
            </w:r>
            <w:r>
              <w:rPr>
                <w:snapToGrid w:val="0"/>
                <w:highlight w:val="yellow"/>
              </w:rPr>
              <w:t>commonIEsRequestCapabilities                  OCTET STRING    OPTIONAL, -- Containing CommonIEsRequestCapabilities</w:t>
            </w:r>
          </w:p>
          <w:p>
            <w:pPr>
              <w:pStyle w:val="131"/>
              <w:shd w:val="clear" w:color="auto" w:fill="E6E6E6"/>
              <w:rPr>
                <w:snapToGrid w:val="0"/>
              </w:rPr>
            </w:pPr>
            <w:r>
              <w:rPr>
                <w:snapToGrid w:val="0"/>
                <w:highlight w:val="yellow"/>
              </w:rPr>
              <w:t xml:space="preserve">    commonSL-PRS-MethodsIEsRequestCapabilities    OCTET STRING    OPTIONAL, -- Containing CommonSL-PRS-MethodsIEsRequestCapabilities</w:t>
            </w:r>
          </w:p>
          <w:p>
            <w:pPr>
              <w:pStyle w:val="131"/>
              <w:shd w:val="clear" w:color="auto" w:fill="E6E6E6"/>
              <w:rPr>
                <w:snapToGrid w:val="0"/>
              </w:rPr>
            </w:pPr>
            <w:r>
              <w:rPr>
                <w:snapToGrid w:val="0"/>
              </w:rPr>
              <w:t xml:space="preserve">    sl-AoA-RequestCapabilities                    OCTET STRING    OPTIONAL, -- Containing SL-AoA-RequestCapabilities</w:t>
            </w:r>
          </w:p>
          <w:p>
            <w:pPr>
              <w:pStyle w:val="131"/>
              <w:shd w:val="clear" w:color="auto" w:fill="E6E6E6"/>
              <w:rPr>
                <w:snapToGrid w:val="0"/>
              </w:rPr>
            </w:pPr>
            <w:r>
              <w:rPr>
                <w:snapToGrid w:val="0"/>
              </w:rPr>
              <w:t xml:space="preserve">    sl-RTT-RequestCapabilities                    OCTET STRING    OPTIONAL, -- Containing SL-RTT-RequestCapabilities</w:t>
            </w:r>
          </w:p>
          <w:p>
            <w:pPr>
              <w:pStyle w:val="131"/>
              <w:shd w:val="clear" w:color="auto" w:fill="E6E6E6"/>
              <w:rPr>
                <w:snapToGrid w:val="0"/>
              </w:rPr>
            </w:pPr>
            <w:r>
              <w:rPr>
                <w:snapToGrid w:val="0"/>
              </w:rPr>
              <w:t xml:space="preserve">    sl-TDOA-RequestCapabilities                   OCTET STRING    OPTIONAL, -- Containing SL-TDOA-RequestCapabilities</w:t>
            </w:r>
          </w:p>
          <w:p>
            <w:pPr>
              <w:pStyle w:val="131"/>
              <w:shd w:val="clear" w:color="auto" w:fill="E6E6E6"/>
              <w:rPr>
                <w:snapToGrid w:val="0"/>
              </w:rPr>
            </w:pPr>
            <w:r>
              <w:rPr>
                <w:snapToGrid w:val="0"/>
              </w:rPr>
              <w:t xml:space="preserve">    sl-TOA-RequestCapabilities                    OCTET STRING    OPTIONAL, -- Containing SL-TOA-RequestCapabilities</w:t>
            </w:r>
          </w:p>
          <w:p>
            <w:pPr>
              <w:pStyle w:val="131"/>
              <w:shd w:val="clear" w:color="auto" w:fill="E6E6E6"/>
              <w:rPr>
                <w:snapToGrid w:val="0"/>
              </w:rPr>
            </w:pPr>
            <w:r>
              <w:rPr>
                <w:snapToGrid w:val="0"/>
              </w:rPr>
              <w:t xml:space="preserve">    lateNonCriticalExtension             </w:t>
            </w:r>
            <w:r>
              <w:t xml:space="preserve">         </w:t>
            </w:r>
            <w:r>
              <w:rPr>
                <w:snapToGrid w:val="0"/>
              </w:rPr>
              <w:t>OCTET STRING    OPTIONAL,</w:t>
            </w:r>
          </w:p>
          <w:p>
            <w:pPr>
              <w:pStyle w:val="131"/>
              <w:shd w:val="clear" w:color="auto" w:fill="E6E6E6"/>
              <w:rPr>
                <w:snapToGrid w:val="0"/>
              </w:rPr>
            </w:pPr>
            <w:r>
              <w:rPr>
                <w:snapToGrid w:val="0"/>
              </w:rPr>
              <w:t xml:space="preserve">    nonCriticalExtension                          SEQUENCE {}     OPTIONAL</w:t>
            </w:r>
          </w:p>
          <w:p>
            <w:pPr>
              <w:pStyle w:val="131"/>
              <w:shd w:val="clear" w:color="auto" w:fill="E6E6E6"/>
              <w:rPr>
                <w:snapToGrid w:val="0"/>
              </w:rPr>
            </w:pPr>
          </w:p>
          <w:p>
            <w:pPr>
              <w:pStyle w:val="131"/>
              <w:shd w:val="clear" w:color="auto" w:fill="E6E6E6"/>
            </w:pPr>
            <w:r>
              <w:t>}</w:t>
            </w:r>
          </w:p>
          <w:p>
            <w:pPr>
              <w:pStyle w:val="110"/>
            </w:pPr>
          </w:p>
        </w:tc>
        <w:tc>
          <w:tcPr>
            <w:tcW w:w="3921"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We</w:t>
            </w:r>
            <w:r>
              <w:rPr>
                <w:rFonts w:ascii="Times New Roman" w:hAnsi="Times New Roman" w:cs="Times New Roman"/>
                <w:sz w:val="20"/>
                <w:szCs w:val="20"/>
                <w:lang w:val="en-GB" w:eastAsia="zh-CN"/>
              </w:rPr>
              <w:t xml:space="preserve"> are not quite sure why we need to separate commonIEsRequestCapabilities and commons-PRS-MethodsIEsRequestCapabilityes into two fields?</w:t>
            </w:r>
          </w:p>
          <w:p>
            <w:pPr>
              <w:ind w:left="100" w:hanging="100" w:hangingChars="50"/>
              <w:jc w:val="both"/>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w:t>
            </w:r>
            <w:r>
              <w:rPr>
                <w:rFonts w:ascii="Times New Roman" w:hAnsi="Times New Roman" w:cs="Times New Roman"/>
                <w:sz w:val="20"/>
                <w:szCs w:val="20"/>
                <w:lang w:val="en-GB" w:eastAsia="zh-CN"/>
              </w:rPr>
              <w:t>s there a case that the UE does not support one of them and only suppor the other one?</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agreed to have separate ASN.1 module, and therefore introduced full lists of message for each module. So far, we did not identity the content for some IEs, e.g. commonIEsRequestCapabilities, CommonSL-PRS-MethodsIEsRequestLocationInformation. </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can discuss whether these empty IEs should be deleted in maintenance phase. I also added it in the open issue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pStyle w:val="131"/>
              <w:shd w:val="clear" w:color="auto" w:fill="E6E6E6"/>
              <w:rPr>
                <w:lang w:eastAsia="en-GB"/>
              </w:rPr>
            </w:pPr>
            <w:r>
              <w:rPr>
                <w:lang w:eastAsia="en-GB"/>
              </w:rPr>
              <w:t>ScheduledLocationTime ::= SEQUENCE {</w:t>
            </w:r>
          </w:p>
          <w:p>
            <w:pPr>
              <w:pStyle w:val="131"/>
              <w:shd w:val="clear" w:color="auto" w:fill="E6E6E6"/>
              <w:rPr>
                <w:lang w:eastAsia="en-GB"/>
              </w:rPr>
            </w:pPr>
            <w:r>
              <w:rPr>
                <w:lang w:eastAsia="en-GB"/>
              </w:rPr>
              <w:t xml:space="preserve">    utcTime                   UTCTime                                      OPTIONAL,</w:t>
            </w:r>
          </w:p>
          <w:p>
            <w:pPr>
              <w:pStyle w:val="131"/>
              <w:shd w:val="clear" w:color="auto" w:fill="E6E6E6"/>
              <w:rPr>
                <w:lang w:eastAsia="en-GB"/>
              </w:rPr>
            </w:pPr>
            <w:r>
              <w:rPr>
                <w:lang w:eastAsia="en-GB"/>
              </w:rPr>
              <w:t xml:space="preserve">    gnssTime                  SEQUENCE {</w:t>
            </w:r>
          </w:p>
          <w:p>
            <w:pPr>
              <w:pStyle w:val="131"/>
              <w:shd w:val="clear" w:color="auto" w:fill="E6E6E6"/>
              <w:rPr>
                <w:lang w:eastAsia="en-GB"/>
              </w:rPr>
            </w:pPr>
            <w:r>
              <w:rPr>
                <w:lang w:eastAsia="en-GB"/>
              </w:rPr>
              <w:t xml:space="preserve">                                  gnss-TOD-Msec    INTEGER (0..3599999),</w:t>
            </w:r>
          </w:p>
          <w:p>
            <w:pPr>
              <w:pStyle w:val="131"/>
              <w:shd w:val="clear" w:color="auto" w:fill="E6E6E6"/>
              <w:rPr>
                <w:lang w:eastAsia="en-GB"/>
              </w:rPr>
            </w:pPr>
            <w:bookmarkStart w:id="7" w:name="_Hlk151102573"/>
            <w:r>
              <w:rPr>
                <w:lang w:eastAsia="en-GB"/>
              </w:rPr>
              <w:t xml:space="preserve">                                  gnss-TimeID      GNSS-ID</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nrTime                    SEQUENCE {</w:t>
            </w:r>
          </w:p>
          <w:p>
            <w:pPr>
              <w:pStyle w:val="131"/>
              <w:shd w:val="clear" w:color="auto" w:fill="E6E6E6"/>
              <w:rPr>
                <w:lang w:eastAsia="en-GB"/>
              </w:rPr>
            </w:pPr>
            <w:r>
              <w:rPr>
                <w:lang w:eastAsia="en-GB"/>
              </w:rPr>
              <w:t xml:space="preserve">        nr-PhysCellID             NR-PhysCellID,</w:t>
            </w:r>
          </w:p>
          <w:p>
            <w:pPr>
              <w:pStyle w:val="131"/>
              <w:shd w:val="clear" w:color="auto" w:fill="E6E6E6"/>
              <w:rPr>
                <w:lang w:eastAsia="en-GB"/>
              </w:rPr>
            </w:pPr>
            <w:r>
              <w:rPr>
                <w:lang w:eastAsia="en-GB"/>
              </w:rPr>
              <w:t xml:space="preserve">        nr-ARFCN                  ARFCN-ValueNR,</w:t>
            </w:r>
          </w:p>
          <w:p>
            <w:pPr>
              <w:pStyle w:val="131"/>
              <w:shd w:val="clear" w:color="auto" w:fill="E6E6E6"/>
              <w:rPr>
                <w:lang w:eastAsia="en-GB"/>
              </w:rPr>
            </w:pPr>
            <w:r>
              <w:rPr>
                <w:lang w:eastAsia="en-GB"/>
              </w:rPr>
              <w:t xml:space="preserve">        nr-CellGlobalID           NCGI                 OPTIONAL,</w:t>
            </w:r>
          </w:p>
          <w:bookmarkEnd w:id="7"/>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relativeTime              INTEGER (1..1024)                             OPTIONAL</w:t>
            </w:r>
          </w:p>
          <w:p>
            <w:pPr>
              <w:pStyle w:val="131"/>
              <w:shd w:val="clear" w:color="auto" w:fill="E6E6E6"/>
              <w:rPr>
                <w:lang w:eastAsia="en-GB"/>
              </w:rPr>
            </w:pPr>
            <w:r>
              <w:rPr>
                <w:lang w:eastAsia="en-GB"/>
              </w:rPr>
              <w:t>}</w:t>
            </w:r>
          </w:p>
          <w:p>
            <w:pPr>
              <w:pStyle w:val="131"/>
              <w:shd w:val="clear" w:color="auto" w:fill="E6E6E6"/>
              <w:rPr>
                <w:snapToGrid w:val="0"/>
              </w:rPr>
            </w:pPr>
          </w:p>
        </w:tc>
        <w:tc>
          <w:tcPr>
            <w:tcW w:w="3921"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dash “-“ is needed utc-Time, gnss-Time, nr-Time</w:t>
            </w:r>
          </w:p>
        </w:tc>
        <w:tc>
          <w:tcPr>
            <w:tcW w:w="2642"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07" w:type="dxa"/>
          </w:tcPr>
          <w:p>
            <w:pPr>
              <w:pStyle w:val="131"/>
              <w:shd w:val="clear" w:color="auto" w:fill="E6E6E6"/>
              <w:rPr>
                <w:lang w:eastAsia="en-GB"/>
              </w:rPr>
            </w:pPr>
            <w:r>
              <w:rPr>
                <w:lang w:eastAsia="en-GB"/>
              </w:rPr>
              <w:t>L-AoA-AssistanceData ::= SEQUENCE {</w:t>
            </w:r>
          </w:p>
          <w:p>
            <w:pPr>
              <w:pStyle w:val="131"/>
              <w:shd w:val="clear" w:color="auto" w:fill="E6E6E6"/>
              <w:rPr>
                <w:lang w:eastAsia="en-GB"/>
              </w:rPr>
            </w:pPr>
            <w:r>
              <w:rPr>
                <w:lang w:eastAsia="en-GB"/>
              </w:rPr>
              <w:t xml:space="preserve">    </w:t>
            </w:r>
            <w:r>
              <w:rPr>
                <w:highlight w:val="green"/>
                <w:lang w:eastAsia="en-GB"/>
              </w:rPr>
              <w:t>applicationLayerID                           OCTET STRING,</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color w:val="808080"/>
                <w:lang w:eastAsia="en-GB"/>
              </w:rPr>
            </w:pPr>
            <w:r>
              <w:rPr>
                <w:color w:val="808080"/>
                <w:lang w:eastAsia="en-GB"/>
              </w:rPr>
              <w:t>-- TAG-SL-AoA-PROVIDEASSISTANCEDATA-STOP</w:t>
            </w:r>
          </w:p>
          <w:p>
            <w:pPr>
              <w:pStyle w:val="131"/>
              <w:shd w:val="clear" w:color="auto" w:fill="E6E6E6"/>
              <w:rPr>
                <w:color w:val="808080"/>
                <w:lang w:eastAsia="en-GB"/>
              </w:rPr>
            </w:pPr>
            <w:r>
              <w:rPr>
                <w:color w:val="808080"/>
                <w:lang w:eastAsia="en-GB"/>
              </w:rPr>
              <w:t>-- ASN1STOP</w:t>
            </w:r>
          </w:p>
        </w:tc>
        <w:tc>
          <w:tcPr>
            <w:tcW w:w="3921"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sure why application layer ID is mandatory. For provide assistance data, it may not be needed in the case of SLPP transported on PC5-U. the PC5 link is per Tx Rx UE and both parties should already known the application layer ID when it exchanges SLPP on PC5-U. </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Application layer ID is needed in the case when the UE sends the SLPP message to the LMF or serv</w:t>
            </w:r>
            <w:bookmarkStart w:id="8" w:name="_GoBack"/>
            <w:bookmarkEnd w:id="8"/>
            <w:r>
              <w:rPr>
                <w:rFonts w:ascii="Times New Roman" w:hAnsi="Times New Roman" w:cs="Times New Roman"/>
                <w:sz w:val="20"/>
                <w:szCs w:val="20"/>
                <w:lang w:val="en-GB" w:eastAsia="zh-CN"/>
              </w:rPr>
              <w:t>er UE</w:t>
            </w:r>
          </w:p>
        </w:tc>
        <w:tc>
          <w:tcPr>
            <w:tcW w:w="2642" w:type="dxa"/>
          </w:tcPr>
          <w:p>
            <w:pPr>
              <w:pStyle w:val="131"/>
              <w:shd w:val="clear" w:color="auto" w:fill="E6E6E6"/>
              <w:rPr>
                <w:lang w:eastAsia="en-GB"/>
              </w:rPr>
            </w:pPr>
            <w:r>
              <w:rPr>
                <w:lang w:eastAsia="en-GB"/>
              </w:rPr>
              <w:t>SL-AoA-ProvideAssistanceData ::= SEQUENCE {</w:t>
            </w:r>
          </w:p>
          <w:p>
            <w:pPr>
              <w:pStyle w:val="131"/>
              <w:shd w:val="clear" w:color="auto" w:fill="E6E6E6"/>
              <w:rPr>
                <w:lang w:eastAsia="en-GB"/>
              </w:rPr>
            </w:pPr>
            <w:r>
              <w:rPr>
                <w:lang w:eastAsia="en-GB"/>
              </w:rPr>
              <w:t xml:space="preserve">    sl-AoA-AssistanceDataInfo                            SEQUENCE (SIZE (1..maxNrOfSLTxUEs)) OF SL-AoA-AssistanceData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parent IE contains the list of SL-AoA-AssistanceData, therefore applicationLayerID is needed to distinguish different Tx UEs.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there is only one Tx UE, agree with you that applicationLayerID may not be needed.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Keep it as mandatory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07" w:type="dxa"/>
          </w:tcPr>
          <w:p>
            <w:pPr>
              <w:pStyle w:val="131"/>
              <w:shd w:val="clear" w:color="auto" w:fill="E6E6E6"/>
              <w:rPr>
                <w:lang w:eastAsia="en-GB"/>
              </w:rPr>
            </w:pPr>
            <w:r>
              <w:rPr>
                <w:lang w:eastAsia="en-GB"/>
              </w:rPr>
              <w:t>SL-TimeStamp ::= SEQUENCE {</w:t>
            </w:r>
          </w:p>
          <w:p>
            <w:pPr>
              <w:pStyle w:val="131"/>
              <w:shd w:val="clear" w:color="auto" w:fill="E6E6E6"/>
              <w:overflowPunct w:val="0"/>
              <w:autoSpaceDE w:val="0"/>
              <w:autoSpaceDN w:val="0"/>
              <w:adjustRightInd w:val="0"/>
              <w:textAlignment w:val="baseline"/>
              <w:rPr>
                <w:lang w:eastAsia="en-GB"/>
              </w:rPr>
            </w:pPr>
            <w:r>
              <w:rPr>
                <w:lang w:eastAsia="en-GB"/>
              </w:rPr>
              <w:t xml:space="preserve">    dfn-Time                    SEQUENCE {</w:t>
            </w:r>
          </w:p>
          <w:p>
            <w:pPr>
              <w:pStyle w:val="131"/>
              <w:shd w:val="clear" w:color="auto" w:fill="E6E6E6"/>
              <w:overflowPunct w:val="0"/>
              <w:autoSpaceDE w:val="0"/>
              <w:autoSpaceDN w:val="0"/>
              <w:adjustRightInd w:val="0"/>
              <w:textAlignment w:val="baseline"/>
              <w:rPr>
                <w:lang w:eastAsia="en-GB"/>
              </w:rPr>
            </w:pPr>
            <w:r>
              <w:rPr>
                <w:lang w:eastAsia="en-GB"/>
              </w:rPr>
              <w:t xml:space="preserve">        syncSourceType              ENUMERATED { gnss, ue}    OPTIONAL,</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              OPTIONAL,</w:t>
            </w:r>
          </w:p>
          <w:p>
            <w:pPr>
              <w:pStyle w:val="131"/>
              <w:shd w:val="clear" w:color="auto" w:fill="E6E6E6"/>
              <w:overflowPunct w:val="0"/>
              <w:autoSpaceDE w:val="0"/>
              <w:autoSpaceDN w:val="0"/>
              <w:adjustRightInd w:val="0"/>
              <w:textAlignment w:val="baseline"/>
              <w:rPr>
                <w:highlight w:val="green"/>
                <w:lang w:eastAsia="en-US"/>
              </w:rPr>
            </w:pPr>
            <w:r>
              <w:rPr>
                <w:lang w:eastAsia="en-GB"/>
              </w:rPr>
              <w:t xml:space="preserve">        </w:t>
            </w:r>
            <w:r>
              <w:rPr>
                <w:highlight w:val="green"/>
                <w:lang w:eastAsia="en-GB"/>
              </w:rPr>
              <w:t>dfn                         INTEGER (0.. 1023),</w:t>
            </w:r>
          </w:p>
          <w:p>
            <w:pPr>
              <w:pStyle w:val="131"/>
              <w:shd w:val="clear" w:color="auto" w:fill="E6E6E6"/>
              <w:overflowPunct w:val="0"/>
              <w:autoSpaceDE w:val="0"/>
              <w:autoSpaceDN w:val="0"/>
              <w:adjustRightInd w:val="0"/>
              <w:textAlignment w:val="baseline"/>
              <w:rPr>
                <w:lang w:eastAsia="en-GB"/>
              </w:rPr>
            </w:pPr>
            <w:r>
              <w:rPr>
                <w:lang w:eastAsia="en-GB"/>
              </w:rPr>
              <w:t xml:space="preserve">        nr-Slot                     CHOICE {</w:t>
            </w:r>
          </w:p>
          <w:p>
            <w:pPr>
              <w:pStyle w:val="131"/>
              <w:shd w:val="clear" w:color="auto" w:fill="E6E6E6"/>
              <w:overflowPunct w:val="0"/>
              <w:autoSpaceDE w:val="0"/>
              <w:autoSpaceDN w:val="0"/>
              <w:adjustRightInd w:val="0"/>
              <w:textAlignment w:val="baseline"/>
              <w:rPr>
                <w:lang w:eastAsia="en-GB"/>
              </w:rPr>
            </w:pPr>
            <w:r>
              <w:rPr>
                <w:lang w:eastAsia="en-GB"/>
              </w:rPr>
              <w:t xml:space="preserve">            scs15                       INTEGER (0..9),</w:t>
            </w:r>
          </w:p>
          <w:p>
            <w:pPr>
              <w:pStyle w:val="131"/>
              <w:shd w:val="clear" w:color="auto" w:fill="E6E6E6"/>
              <w:overflowPunct w:val="0"/>
              <w:autoSpaceDE w:val="0"/>
              <w:autoSpaceDN w:val="0"/>
              <w:adjustRightInd w:val="0"/>
              <w:textAlignment w:val="baseline"/>
              <w:rPr>
                <w:lang w:eastAsia="en-GB"/>
              </w:rPr>
            </w:pPr>
            <w:r>
              <w:rPr>
                <w:lang w:eastAsia="en-GB"/>
              </w:rPr>
              <w:t xml:space="preserve">            scs30                       INTEGER (0..19),</w:t>
            </w:r>
          </w:p>
          <w:p>
            <w:pPr>
              <w:pStyle w:val="131"/>
              <w:shd w:val="clear" w:color="auto" w:fill="E6E6E6"/>
              <w:overflowPunct w:val="0"/>
              <w:autoSpaceDE w:val="0"/>
              <w:autoSpaceDN w:val="0"/>
              <w:adjustRightInd w:val="0"/>
              <w:textAlignment w:val="baseline"/>
              <w:rPr>
                <w:lang w:eastAsia="en-GB"/>
              </w:rPr>
            </w:pPr>
            <w:r>
              <w:rPr>
                <w:lang w:eastAsia="en-GB"/>
              </w:rPr>
              <w:t xml:space="preserve">            scs60                       INTEGER (0..39),</w:t>
            </w:r>
          </w:p>
          <w:p>
            <w:pPr>
              <w:pStyle w:val="131"/>
              <w:shd w:val="clear" w:color="auto" w:fill="E6E6E6"/>
              <w:overflowPunct w:val="0"/>
              <w:autoSpaceDE w:val="0"/>
              <w:autoSpaceDN w:val="0"/>
              <w:adjustRightInd w:val="0"/>
              <w:textAlignment w:val="baseline"/>
              <w:rPr>
                <w:lang w:eastAsia="en-GB"/>
              </w:rPr>
            </w:pPr>
            <w:r>
              <w:rPr>
                <w:lang w:eastAsia="en-GB"/>
              </w:rPr>
              <w:t xml:space="preserve">            scs120                      INTEGER (0..79)</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 xml:space="preserve">    } </w:t>
            </w:r>
          </w:p>
          <w:p>
            <w:pPr>
              <w:keepNext w:val="0"/>
              <w:keepLines w:val="0"/>
              <w:widowControl/>
              <w:suppressLineNumbers w:val="0"/>
              <w:spacing w:before="0" w:beforeAutospacing="1" w:after="160" w:afterAutospacing="0" w:line="256" w:lineRule="auto"/>
              <w:ind w:left="0" w:right="0"/>
              <w:jc w:val="left"/>
            </w:pP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RTD-InfoListPerTxUE ::= SEQUENCE {</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w:t>
            </w:r>
          </w:p>
          <w:p>
            <w:pPr>
              <w:pStyle w:val="131"/>
              <w:shd w:val="clear" w:color="auto" w:fill="E6E6E6"/>
              <w:overflowPunct w:val="0"/>
              <w:autoSpaceDE w:val="0"/>
              <w:autoSpaceDN w:val="0"/>
              <w:adjustRightInd w:val="0"/>
              <w:textAlignment w:val="baseline"/>
              <w:rPr>
                <w:lang w:eastAsia="en-GB"/>
              </w:rPr>
            </w:pPr>
            <w:r>
              <w:rPr>
                <w:lang w:eastAsia="en-GB"/>
              </w:rPr>
              <w:t xml:space="preserve">    rtdBetweenAnchorUEs     CHOICE {</w:t>
            </w:r>
          </w:p>
          <w:p>
            <w:pPr>
              <w:pStyle w:val="131"/>
              <w:shd w:val="clear" w:color="auto" w:fill="E6E6E6"/>
              <w:overflowPunct w:val="0"/>
              <w:autoSpaceDE w:val="0"/>
              <w:autoSpaceDN w:val="0"/>
              <w:adjustRightInd w:val="0"/>
              <w:textAlignment w:val="baseline"/>
              <w:rPr>
                <w:lang w:eastAsia="en-GB"/>
              </w:rPr>
            </w:pPr>
            <w:r>
              <w:rPr>
                <w:lang w:eastAsia="en-GB"/>
              </w:rPr>
              <w:t xml:space="preserve">        subframeOffset          INTEGER (0..1966079),</w:t>
            </w:r>
          </w:p>
          <w:p>
            <w:pPr>
              <w:pStyle w:val="131"/>
              <w:shd w:val="clear" w:color="auto" w:fill="E6E6E6"/>
              <w:overflowPunct w:val="0"/>
              <w:autoSpaceDE w:val="0"/>
              <w:autoSpaceDN w:val="0"/>
              <w:adjustRightInd w:val="0"/>
              <w:textAlignment w:val="baseline"/>
              <w:rPr>
                <w:highlight w:val="green"/>
                <w:lang w:eastAsia="en-GB"/>
              </w:rPr>
            </w:pPr>
            <w:r>
              <w:rPr>
                <w:lang w:eastAsia="en-GB"/>
              </w:rPr>
              <w:t xml:space="preserve">        </w:t>
            </w:r>
            <w:r>
              <w:rPr>
                <w:highlight w:val="green"/>
                <w:lang w:eastAsia="en-GB"/>
              </w:rPr>
              <w:t>sl-OffsetDFN            INTEGER (0..1000)</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 xml:space="preserve">    rtd-Quality                 SL-TimingQuality</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rPr>
                <w:color w:val="808080"/>
                <w:lang w:eastAsia="en-GB"/>
              </w:rPr>
            </w:pPr>
          </w:p>
        </w:tc>
        <w:tc>
          <w:tcPr>
            <w:tcW w:w="3921"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DFN value in </w:t>
            </w:r>
            <w:r>
              <w:rPr>
                <w:rFonts w:hint="default" w:ascii="Times New Roman" w:hAnsi="Times New Roman" w:cs="Times New Roman"/>
                <w:lang w:val="en-US" w:eastAsia="en-US"/>
              </w:rPr>
              <w:t>SL-TimeStamp</w:t>
            </w:r>
            <w:r>
              <w:rPr>
                <w:rFonts w:hint="eastAsia" w:ascii="Times New Roman" w:hAnsi="Times New Roman" w:cs="Times New Roman"/>
                <w:lang w:val="en-US" w:eastAsia="zh-CN"/>
              </w:rPr>
              <w:t xml:space="preserve"> is 0~1023, however </w:t>
            </w:r>
            <w:r>
              <w:rPr>
                <w:rFonts w:hint="default" w:ascii="Times New Roman" w:hAnsi="Times New Roman" w:cs="Times New Roman"/>
                <w:lang w:val="en-US" w:eastAsia="en-US"/>
              </w:rPr>
              <w:t>sl-OffsetDFN</w:t>
            </w:r>
            <w:r>
              <w:rPr>
                <w:rFonts w:hint="eastAsia" w:ascii="Times New Roman" w:hAnsi="Times New Roman" w:cs="Times New Roman"/>
                <w:lang w:val="en-US" w:eastAsia="zh-CN"/>
              </w:rPr>
              <w:t xml:space="preserve"> in </w:t>
            </w:r>
            <w:r>
              <w:rPr>
                <w:rFonts w:hint="default" w:ascii="Times New Roman" w:hAnsi="Times New Roman" w:cs="Times New Roman"/>
                <w:lang w:val="en-US" w:eastAsia="en-US"/>
              </w:rPr>
              <w:t>SL-RTD-Info</w:t>
            </w:r>
            <w:r>
              <w:rPr>
                <w:rFonts w:hint="eastAsia" w:ascii="Times New Roman" w:hAnsi="Times New Roman" w:cs="Times New Roman"/>
                <w:lang w:val="en-US" w:eastAsia="zh-CN"/>
              </w:rPr>
              <w:t xml:space="preserve"> is 0~1000. Is this a mismatch?</w:t>
            </w:r>
          </w:p>
          <w:p>
            <w:pPr>
              <w:jc w:val="both"/>
              <w:rPr>
                <w:rFonts w:ascii="Times New Roman" w:hAnsi="Times New Roman" w:cs="Times New Roman"/>
                <w:sz w:val="20"/>
                <w:szCs w:val="20"/>
                <w:lang w:val="en-GB" w:eastAsia="zh-CN"/>
              </w:rPr>
            </w:pPr>
          </w:p>
        </w:tc>
        <w:tc>
          <w:tcPr>
            <w:tcW w:w="2642" w:type="dxa"/>
          </w:tcPr>
          <w:p>
            <w:pPr>
              <w:jc w:val="both"/>
              <w:rPr>
                <w:rFonts w:ascii="Times New Roman" w:hAnsi="Times New Roman" w:cs="Times New Roman"/>
                <w:sz w:val="20"/>
                <w:szCs w:val="20"/>
                <w:lang w:val="en-GB"/>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15840" w:h="12240" w:orient="landscape"/>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b/>
          <w:bCs/>
        </w:rPr>
      </w:pPr>
    </w:p>
    <w:bookmarkEnd w:id="1"/>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D4488"/>
    <w:multiLevelType w:val="multilevel"/>
    <w:tmpl w:val="043D4488"/>
    <w:lvl w:ilvl="0" w:tentative="0">
      <w:start w:val="0"/>
      <w:numFmt w:val="bullet"/>
      <w:lvlText w:val="-"/>
      <w:lvlJc w:val="left"/>
      <w:pPr>
        <w:ind w:left="720" w:hanging="360"/>
      </w:pPr>
      <w:rPr>
        <w:rFonts w:hint="default" w:ascii="Arial" w:hAnsi="Arial" w:eastAsia="Malgun Gothic" w:cs="Aria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F981DA9"/>
    <w:multiLevelType w:val="multilevel"/>
    <w:tmpl w:val="2F981DA9"/>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9B640B"/>
    <w:multiLevelType w:val="multilevel"/>
    <w:tmpl w:val="349B640B"/>
    <w:lvl w:ilvl="0" w:tentative="0">
      <w:start w:val="3"/>
      <w:numFmt w:val="bullet"/>
      <w:lvlText w:val=""/>
      <w:lvlJc w:val="left"/>
      <w:pPr>
        <w:ind w:left="720" w:hanging="360"/>
      </w:pPr>
      <w:rPr>
        <w:rFonts w:hint="default" w:ascii="Wingdings" w:hAnsi="Wingdings" w:eastAsia="Malgun Gothic" w:cs="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75274F3"/>
    <w:multiLevelType w:val="multilevel"/>
    <w:tmpl w:val="375274F3"/>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8"/>
  </w:num>
  <w:num w:numId="3">
    <w:abstractNumId w:val="7"/>
  </w:num>
  <w:num w:numId="4">
    <w:abstractNumId w:val="12"/>
  </w:num>
  <w:num w:numId="5">
    <w:abstractNumId w:val="16"/>
  </w:num>
  <w:num w:numId="6">
    <w:abstractNumId w:val="9"/>
  </w:num>
  <w:num w:numId="7">
    <w:abstractNumId w:val="10"/>
  </w:num>
  <w:num w:numId="8">
    <w:abstractNumId w:val="14"/>
  </w:num>
  <w:num w:numId="9">
    <w:abstractNumId w:val="1"/>
  </w:num>
  <w:num w:numId="10">
    <w:abstractNumId w:val="11"/>
  </w:num>
  <w:num w:numId="11">
    <w:abstractNumId w:val="4"/>
  </w:num>
  <w:num w:numId="12">
    <w:abstractNumId w:val="1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hideSpellingErrors/>
  <w:hideGrammaticalErrors/>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1"/>
    <w:next w:val="1"/>
    <w:link w:val="64"/>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82"/>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Heading 1 Char"/>
    <w:basedOn w:val="52"/>
    <w:link w:val="2"/>
    <w:qFormat/>
    <w:uiPriority w:val="0"/>
    <w:rPr>
      <w:rFonts w:ascii="Arial" w:hAnsi="Arial" w:eastAsia="Arial" w:cs="Times New Roman"/>
      <w:sz w:val="36"/>
      <w:lang w:val="en-GB"/>
    </w:rPr>
  </w:style>
  <w:style w:type="character" w:customStyle="1" w:styleId="62">
    <w:name w:val="Heading 2 Char"/>
    <w:basedOn w:val="52"/>
    <w:link w:val="4"/>
    <w:qFormat/>
    <w:uiPriority w:val="9"/>
    <w:rPr>
      <w:rFonts w:ascii="Arial" w:hAnsi="Arial" w:eastAsia="Arial" w:cs="Times New Roman"/>
      <w:sz w:val="32"/>
      <w:szCs w:val="20"/>
      <w:lang w:val="en-GB" w:eastAsia="zh-CN"/>
    </w:rPr>
  </w:style>
  <w:style w:type="character" w:customStyle="1" w:styleId="63">
    <w:name w:val="Heading 3 Char"/>
    <w:basedOn w:val="52"/>
    <w:link w:val="5"/>
    <w:qFormat/>
    <w:uiPriority w:val="0"/>
    <w:rPr>
      <w:rFonts w:ascii="Arial" w:hAnsi="Arial" w:eastAsia="Arial" w:cs="Times New Roman"/>
      <w:sz w:val="28"/>
      <w:szCs w:val="20"/>
      <w:lang w:val="en-GB" w:eastAsia="zh-CN"/>
    </w:rPr>
  </w:style>
  <w:style w:type="character" w:customStyle="1" w:styleId="64">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link w:val="31"/>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 w:type="paragraph" w:customStyle="1" w:styleId="246">
    <w:name w:val="Revision"/>
    <w:hidden/>
    <w:unhideWhenUsed/>
    <w:qFormat/>
    <w:uiPriority w:val="99"/>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datastoreItem>
</file>

<file path=customXml/itemProps2.xml><?xml version="1.0" encoding="utf-8"?>
<ds:datastoreItem xmlns:ds="http://schemas.openxmlformats.org/officeDocument/2006/customXml" ds:itemID="{2B1BBC5C-73E9-4728-A3C6-3E1B4448C380}">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762E8F44-A33C-4CA1-B58C-EC3E423495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4243</Words>
  <Characters>24188</Characters>
  <Lines>1</Lines>
  <Paragraphs>1</Paragraphs>
  <TotalTime>1</TotalTime>
  <ScaleCrop>false</ScaleCrop>
  <LinksUpToDate>false</LinksUpToDate>
  <CharactersWithSpaces>28375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2023-10-27T07:32:00Z</dcterms:created>
  <dc:creator>Marta-r4</dc:creator>
  <cp:lastModifiedBy>ZTE-Yu Pan</cp:lastModifiedBy>
  <dcterms:modified xsi:type="dcterms:W3CDTF">2023-11-29T01:52:45Z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2D0CD8F1B3DD41939C185F6BEB9F81CF</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ies>
</file>