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22CA" w14:textId="2E7A858D" w:rsidR="00A720BF" w:rsidRPr="00181043" w:rsidRDefault="00A720BF" w:rsidP="00A720B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24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590139">
        <w:rPr>
          <w:rFonts w:cs="Arial"/>
          <w:b/>
          <w:sz w:val="24"/>
          <w:highlight w:val="yellow"/>
          <w:lang w:val="en-US"/>
        </w:rPr>
        <w:t>R2-231xxxx</w:t>
      </w:r>
      <w:r w:rsidRPr="00590139">
        <w:rPr>
          <w:rFonts w:cs="Arial"/>
          <w:b/>
          <w:sz w:val="24"/>
          <w:highlight w:val="yellow"/>
          <w:lang w:val="en-US"/>
        </w:rPr>
        <w:br/>
      </w:r>
      <w:r w:rsidRPr="00590139">
        <w:rPr>
          <w:b/>
          <w:noProof/>
          <w:sz w:val="24"/>
          <w:highlight w:val="yellow"/>
        </w:rPr>
        <w:t>Chicago, US, 13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– 17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Nov., 2023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42DC4B" w14:textId="77777777" w:rsidR="00190A54" w:rsidRPr="00542A9D" w:rsidRDefault="00190A54" w:rsidP="00190A54">
      <w:pPr>
        <w:pStyle w:val="EmailDiscussion"/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38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670A20AE" w14:textId="77777777" w:rsidR="00190A54" w:rsidRDefault="00190A54" w:rsidP="00190A54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A94A195" w14:textId="77777777" w:rsidR="00190A54" w:rsidRDefault="00190A54" w:rsidP="00190A54">
      <w:pPr>
        <w:pStyle w:val="EmailDiscussion2"/>
      </w:pPr>
      <w:r>
        <w:tab/>
        <w:t>Deadline:  2 weeks</w:t>
      </w:r>
    </w:p>
    <w:p w14:paraId="78511029" w14:textId="6CCB6DBF" w:rsidR="00073E3F" w:rsidRDefault="00073E3F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831B1B8" w:rsidR="00E87C65" w:rsidRPr="004B393B" w:rsidRDefault="004B393B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v</w:t>
            </w:r>
            <w:r>
              <w:rPr>
                <w:rFonts w:eastAsia="DengXian"/>
                <w:bCs/>
                <w:lang w:val="en-US"/>
              </w:rPr>
              <w:t>ivo</w:t>
            </w:r>
          </w:p>
        </w:tc>
        <w:tc>
          <w:tcPr>
            <w:tcW w:w="5287" w:type="dxa"/>
          </w:tcPr>
          <w:p w14:paraId="1381D813" w14:textId="26E6973A" w:rsidR="004B393B" w:rsidRPr="004B393B" w:rsidRDefault="004B393B" w:rsidP="007367DC">
            <w:pPr>
              <w:pStyle w:val="BodyText"/>
              <w:keepNext/>
              <w:rPr>
                <w:rFonts w:eastAsia="DengXian"/>
                <w:bCs/>
                <w:noProof/>
              </w:rPr>
            </w:pPr>
            <w:r w:rsidRPr="004B393B">
              <w:rPr>
                <w:rFonts w:eastAsia="DengXian"/>
                <w:bCs/>
                <w:noProof/>
              </w:rPr>
              <w:t>Suggest to remove the</w:t>
            </w:r>
            <w:r w:rsidR="00066F4C">
              <w:rPr>
                <w:rFonts w:eastAsia="DengXian"/>
                <w:bCs/>
                <w:noProof/>
              </w:rPr>
              <w:t xml:space="preserve"> last</w:t>
            </w:r>
            <w:r w:rsidRPr="004B393B">
              <w:rPr>
                <w:rFonts w:eastAsia="DengXian"/>
                <w:bCs/>
                <w:noProof/>
              </w:rPr>
              <w:t xml:space="preserve"> sentence: </w:t>
            </w:r>
          </w:p>
          <w:p w14:paraId="7E57C63A" w14:textId="0A059716" w:rsidR="00E87C65" w:rsidRDefault="004B393B" w:rsidP="007367DC">
            <w:pPr>
              <w:pStyle w:val="BodyText"/>
              <w:keepNext/>
            </w:pPr>
            <w:r w:rsidRPr="00831724">
              <w:rPr>
                <w:bCs/>
                <w:i/>
                <w:noProof/>
              </w:rPr>
              <w:t>cellBarred</w:t>
            </w:r>
            <w:r w:rsidRPr="00831724" w:rsidDel="00515FE8">
              <w:t xml:space="preserve"> </w:t>
            </w:r>
            <w:r w:rsidRPr="00831724">
              <w:t xml:space="preserve">(IE type: "barred" or "not barred")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MIB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 xml:space="preserve">, this field is common for all PLMNs and NPNs. This field is ignored by UEs supporting NTN while </w:t>
            </w:r>
            <w:proofErr w:type="spellStart"/>
            <w:r w:rsidRPr="00831724">
              <w:rPr>
                <w:i/>
              </w:rPr>
              <w:t>cellBarredNTN</w:t>
            </w:r>
            <w:proofErr w:type="spellEnd"/>
            <w:r w:rsidRPr="00831724">
              <w:t xml:space="preserve"> is included in SIB1.</w:t>
            </w:r>
            <w:ins w:id="1" w:author="Rapporteur - RAN2#123b" w:date="2023-11-06T20:48:00Z">
              <w:r>
                <w:t xml:space="preserve"> </w:t>
              </w:r>
              <w:r w:rsidRPr="00581ADA">
                <w:t>This field is ignored by NES</w:t>
              </w:r>
            </w:ins>
            <w:ins w:id="2" w:author="Rapporteur - RAN2#123b" w:date="2023-11-17T22:32:00Z">
              <w:r>
                <w:t>-</w:t>
              </w:r>
            </w:ins>
            <w:ins w:id="3" w:author="Rapporteur - RAN2#123b" w:date="2023-11-06T20:48:00Z">
              <w:r w:rsidRPr="00581ADA">
                <w:t xml:space="preserve">capable UEs while </w:t>
              </w:r>
              <w:proofErr w:type="spellStart"/>
              <w:r w:rsidRPr="00581ADA">
                <w:rPr>
                  <w:i/>
                  <w:iCs/>
                </w:rPr>
                <w:t>cellBarredNES</w:t>
              </w:r>
              <w:proofErr w:type="spellEnd"/>
              <w:r w:rsidRPr="00581ADA">
                <w:rPr>
                  <w:i/>
                  <w:iCs/>
                </w:rPr>
                <w:t xml:space="preserve"> </w:t>
              </w:r>
              <w:r w:rsidRPr="00581ADA">
                <w:t>is included in SIB1</w:t>
              </w:r>
              <w:r>
                <w:t>.</w:t>
              </w:r>
            </w:ins>
          </w:p>
          <w:p w14:paraId="636B5CC8" w14:textId="77777777" w:rsidR="004B393B" w:rsidRDefault="004B393B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37165B46" w14:textId="089E7547" w:rsidR="004B393B" w:rsidRDefault="004B393B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The reasons are</w:t>
            </w:r>
            <w:r w:rsidR="00DE7B52">
              <w:rPr>
                <w:rFonts w:eastAsia="DengXian"/>
                <w:bCs/>
                <w:lang w:val="en-US"/>
              </w:rPr>
              <w:t xml:space="preserve"> the following</w:t>
            </w:r>
            <w:r>
              <w:rPr>
                <w:rFonts w:eastAsia="DengXian"/>
                <w:bCs/>
                <w:lang w:val="en-US"/>
              </w:rPr>
              <w:t>:</w:t>
            </w:r>
          </w:p>
          <w:p w14:paraId="71DF0AD4" w14:textId="5D439CFC" w:rsidR="004B393B" w:rsidRDefault="004B393B" w:rsidP="004B393B">
            <w:pPr>
              <w:pStyle w:val="BodyText"/>
              <w:keepNext/>
              <w:numPr>
                <w:ilvl w:val="0"/>
                <w:numId w:val="26"/>
              </w:numPr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1)There is a NOTE in RRC Running CR, which means NES-capable UEs needs to read </w:t>
            </w:r>
            <w:proofErr w:type="spellStart"/>
            <w:r w:rsidRPr="004B393B">
              <w:rPr>
                <w:rFonts w:eastAsia="DengXian"/>
                <w:bCs/>
                <w:lang w:val="en-US"/>
              </w:rPr>
              <w:t>cellBarred</w:t>
            </w:r>
            <w:proofErr w:type="spellEnd"/>
            <w:r w:rsidRPr="004B393B">
              <w:rPr>
                <w:rFonts w:eastAsia="DengXian"/>
                <w:bCs/>
                <w:lang w:val="en-US"/>
              </w:rPr>
              <w:t xml:space="preserve"> in MIB and </w:t>
            </w:r>
            <w:r>
              <w:rPr>
                <w:rFonts w:eastAsia="DengXian"/>
                <w:bCs/>
                <w:lang w:val="en-US"/>
              </w:rPr>
              <w:t>its</w:t>
            </w:r>
            <w:r w:rsidRPr="004B393B">
              <w:rPr>
                <w:rFonts w:eastAsia="DengXian"/>
                <w:bCs/>
                <w:lang w:val="en-US"/>
              </w:rPr>
              <w:t xml:space="preserve"> value to determine whether </w:t>
            </w:r>
            <w:r>
              <w:rPr>
                <w:rFonts w:eastAsia="DengXian"/>
                <w:bCs/>
                <w:lang w:val="en-US"/>
              </w:rPr>
              <w:t>the UE</w:t>
            </w:r>
            <w:r w:rsidRPr="004B393B">
              <w:rPr>
                <w:rFonts w:eastAsia="DengXian"/>
                <w:bCs/>
                <w:lang w:val="en-US"/>
              </w:rPr>
              <w:t xml:space="preserve"> needs to acquire SIB1. </w:t>
            </w:r>
            <w:r w:rsidR="00DE7B52">
              <w:rPr>
                <w:rFonts w:eastAsia="DengXian"/>
                <w:bCs/>
                <w:lang w:val="en-US"/>
              </w:rPr>
              <w:t xml:space="preserve">Moreover, when </w:t>
            </w:r>
            <w:proofErr w:type="spellStart"/>
            <w:r w:rsidR="00DE7B52" w:rsidRPr="00DE7B52">
              <w:rPr>
                <w:rFonts w:eastAsia="DengXian"/>
                <w:bCs/>
                <w:lang w:val="en-US"/>
              </w:rPr>
              <w:t>cellBarredNES</w:t>
            </w:r>
            <w:proofErr w:type="spellEnd"/>
            <w:r w:rsidR="00DE7B52" w:rsidRPr="00DE7B52">
              <w:rPr>
                <w:rFonts w:eastAsia="DengXian"/>
                <w:bCs/>
                <w:lang w:val="en-US"/>
              </w:rPr>
              <w:t xml:space="preserve"> is included in SIB1, the UE does not need to check </w:t>
            </w:r>
            <w:proofErr w:type="spellStart"/>
            <w:r w:rsidR="00DE7B52" w:rsidRPr="00DE7B52">
              <w:rPr>
                <w:rFonts w:eastAsia="DengXian"/>
                <w:bCs/>
                <w:lang w:val="en-US"/>
              </w:rPr>
              <w:t>cellBarred</w:t>
            </w:r>
            <w:proofErr w:type="spellEnd"/>
            <w:r w:rsidR="00DE7B52" w:rsidRPr="00DE7B52">
              <w:rPr>
                <w:rFonts w:eastAsia="DengXian"/>
                <w:bCs/>
                <w:lang w:val="en-US"/>
              </w:rPr>
              <w:t xml:space="preserve"> in MIB again</w:t>
            </w:r>
            <w:r w:rsidR="00DE7B52">
              <w:rPr>
                <w:rFonts w:eastAsia="DengXian"/>
                <w:bCs/>
                <w:lang w:val="en-US"/>
              </w:rPr>
              <w:t xml:space="preserve">, because the value in </w:t>
            </w:r>
            <w:r w:rsidR="00DE7B52" w:rsidRPr="004B393B">
              <w:rPr>
                <w:rFonts w:eastAsia="DengXian"/>
                <w:bCs/>
                <w:lang w:val="en-US"/>
              </w:rPr>
              <w:t xml:space="preserve"> </w:t>
            </w:r>
            <w:proofErr w:type="spellStart"/>
            <w:r w:rsidR="00DE7B52" w:rsidRPr="004B393B">
              <w:rPr>
                <w:rFonts w:eastAsia="DengXian"/>
                <w:bCs/>
                <w:lang w:val="en-US"/>
              </w:rPr>
              <w:t>cellBarred</w:t>
            </w:r>
            <w:proofErr w:type="spellEnd"/>
            <w:r w:rsidR="00DE7B52" w:rsidRPr="004B393B">
              <w:rPr>
                <w:rFonts w:eastAsia="DengXian"/>
                <w:bCs/>
                <w:lang w:val="en-US"/>
              </w:rPr>
              <w:t xml:space="preserve"> </w:t>
            </w:r>
            <w:r w:rsidR="00DE7B52">
              <w:rPr>
                <w:rFonts w:eastAsia="DengXian"/>
                <w:bCs/>
                <w:lang w:val="en-US"/>
              </w:rPr>
              <w:t>can only be “barred”</w:t>
            </w:r>
            <w:r w:rsidR="00DE7B52" w:rsidRPr="00DE7B52">
              <w:rPr>
                <w:rFonts w:eastAsia="DengXian"/>
                <w:bCs/>
                <w:lang w:val="en-US"/>
              </w:rPr>
              <w:t xml:space="preserve">. </w:t>
            </w:r>
            <w:r w:rsidR="00DE7B52" w:rsidRPr="004B393B">
              <w:rPr>
                <w:rFonts w:eastAsia="DengXian"/>
                <w:bCs/>
                <w:lang w:val="en-US"/>
              </w:rPr>
              <w:t xml:space="preserve"> So, </w:t>
            </w:r>
            <w:r w:rsidR="00DE7B52">
              <w:rPr>
                <w:rFonts w:eastAsia="DengXian"/>
                <w:bCs/>
                <w:lang w:val="en-US"/>
              </w:rPr>
              <w:t>the UE actually does not ignore the bar in MIB.</w:t>
            </w:r>
            <w:r w:rsidR="00DE7B52" w:rsidRPr="00DE7B52">
              <w:rPr>
                <w:rFonts w:eastAsia="DengXian"/>
                <w:bCs/>
                <w:lang w:val="en-US"/>
              </w:rPr>
              <w:t xml:space="preserve"> </w:t>
            </w:r>
          </w:p>
          <w:p w14:paraId="6F16FF06" w14:textId="604272E7" w:rsidR="004B393B" w:rsidRDefault="004B393B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9A4AC2">
              <w:rPr>
                <w:rFonts w:cs="Arial"/>
              </w:rPr>
              <w:t>NOTE 2:</w:t>
            </w:r>
            <w:r w:rsidRPr="009A4AC2">
              <w:rPr>
                <w:rFonts w:cs="Arial"/>
              </w:rPr>
              <w:tab/>
              <w:t xml:space="preserve">A UE capable of NES cell DTX/DRX </w:t>
            </w:r>
            <w:r w:rsidRPr="009A4AC2">
              <w:rPr>
                <w:rFonts w:cs="Arial"/>
                <w:highlight w:val="yellow"/>
              </w:rPr>
              <w:t>should acquire SIB1</w:t>
            </w:r>
            <w:r w:rsidRPr="009A4AC2">
              <w:rPr>
                <w:rFonts w:cs="Arial"/>
              </w:rPr>
              <w:t xml:space="preserve"> to determine the cell barring status </w:t>
            </w:r>
            <w:r w:rsidRPr="009A4AC2">
              <w:rPr>
                <w:rFonts w:cs="Arial"/>
                <w:highlight w:val="yellow"/>
              </w:rPr>
              <w:t xml:space="preserve">when the </w:t>
            </w:r>
            <w:proofErr w:type="spellStart"/>
            <w:r w:rsidRPr="009A4AC2">
              <w:rPr>
                <w:rFonts w:cs="Arial"/>
                <w:i/>
                <w:highlight w:val="yellow"/>
              </w:rPr>
              <w:t>cellBarred</w:t>
            </w:r>
            <w:proofErr w:type="spellEnd"/>
            <w:r w:rsidRPr="009A4AC2">
              <w:rPr>
                <w:rFonts w:cs="Arial"/>
                <w:highlight w:val="yellow"/>
              </w:rPr>
              <w:t xml:space="preserve"> in MIB is set to </w:t>
            </w:r>
            <w:r w:rsidRPr="009A4AC2">
              <w:rPr>
                <w:rFonts w:cs="Arial"/>
                <w:i/>
                <w:highlight w:val="yellow"/>
              </w:rPr>
              <w:t>barred</w:t>
            </w:r>
            <w:r w:rsidRPr="009A4AC2">
              <w:rPr>
                <w:rFonts w:cs="Arial"/>
                <w:highlight w:val="yellow"/>
              </w:rPr>
              <w:t>.</w:t>
            </w:r>
          </w:p>
          <w:p w14:paraId="16476DD0" w14:textId="146850EB" w:rsidR="004B393B" w:rsidRDefault="004B393B" w:rsidP="004B393B">
            <w:pPr>
              <w:pStyle w:val="BodyText"/>
              <w:keepNext/>
              <w:numPr>
                <w:ilvl w:val="0"/>
                <w:numId w:val="26"/>
              </w:numPr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2</w:t>
            </w:r>
            <w:r>
              <w:rPr>
                <w:rFonts w:eastAsia="DengXian"/>
                <w:bCs/>
                <w:lang w:val="en-US"/>
              </w:rPr>
              <w:t xml:space="preserve">) Having the below text is sufficient. </w:t>
            </w:r>
          </w:p>
          <w:p w14:paraId="4D4C7F75" w14:textId="77777777" w:rsidR="004B393B" w:rsidRDefault="004B393B" w:rsidP="004B393B">
            <w:pPr>
              <w:rPr>
                <w:ins w:id="4" w:author="Rapporteur - RAN2#123b" w:date="2023-11-06T20:50:00Z"/>
              </w:rPr>
            </w:pPr>
            <w:ins w:id="5" w:author="Rapporteur - RAN2#123b" w:date="2023-11-06T20:50:00Z">
              <w:r w:rsidRPr="00426903">
                <w:lastRenderedPageBreak/>
                <w:t xml:space="preserve">When </w:t>
              </w:r>
              <w:proofErr w:type="spellStart"/>
              <w:r w:rsidRPr="00426903">
                <w:rPr>
                  <w:i/>
                </w:rPr>
                <w:t>cellBarredN</w:t>
              </w:r>
              <w:r>
                <w:rPr>
                  <w:i/>
                </w:rPr>
                <w:t>ES</w:t>
              </w:r>
              <w:proofErr w:type="spellEnd"/>
              <w:r w:rsidRPr="00426903">
                <w:t xml:space="preserve"> is </w:t>
              </w:r>
              <w:r>
                <w:t xml:space="preserve">absent and </w:t>
              </w:r>
              <w:proofErr w:type="spellStart"/>
              <w:r w:rsidRPr="000D463C">
                <w:rPr>
                  <w:i/>
                  <w:iCs/>
                  <w:lang w:val="en-US"/>
                </w:rPr>
                <w:t>cellBarred</w:t>
              </w:r>
              <w:proofErr w:type="spellEnd"/>
              <w:r w:rsidRPr="000D463C">
                <w:rPr>
                  <w:lang w:val="en-US"/>
                </w:rPr>
                <w:t xml:space="preserve"> is set to</w:t>
              </w:r>
              <w:r w:rsidRPr="000D463C">
                <w:rPr>
                  <w:i/>
                  <w:iCs/>
                  <w:lang w:val="en-US"/>
                </w:rPr>
                <w:t xml:space="preserve"> </w:t>
              </w:r>
            </w:ins>
            <w:ins w:id="6" w:author="Rapporteur - RAN2#123b" w:date="2023-11-06T20:52:00Z">
              <w:r w:rsidRPr="00831724">
                <w:rPr>
                  <w:noProof/>
                </w:rPr>
                <w:t>"barred"</w:t>
              </w:r>
            </w:ins>
            <w:ins w:id="7" w:author="Rapporteur - RAN2#123b" w:date="2023-11-06T20:50:00Z">
              <w:r w:rsidRPr="00426903">
                <w:t>,</w:t>
              </w:r>
            </w:ins>
          </w:p>
          <w:p w14:paraId="5F40D34E" w14:textId="4FC34C26" w:rsidR="004B393B" w:rsidRPr="004B393B" w:rsidRDefault="004B393B" w:rsidP="004B393B">
            <w:pPr>
              <w:pStyle w:val="B1"/>
            </w:pPr>
            <w:ins w:id="8" w:author="Rapporteur - RAN2#123b" w:date="2023-11-06T20:50:00Z">
              <w:r w:rsidRPr="00426903">
                <w:t>-</w:t>
              </w:r>
              <w:r w:rsidRPr="00426903">
                <w:tab/>
                <w:t xml:space="preserve">The </w:t>
              </w:r>
            </w:ins>
            <w:ins w:id="9" w:author="Rapporteur - RAN2#123b" w:date="2023-11-17T22:31:00Z">
              <w:r>
                <w:t xml:space="preserve">NES-capable </w:t>
              </w:r>
            </w:ins>
            <w:ins w:id="10" w:author="Rapporteur - RAN2#123b" w:date="2023-11-06T20:50:00Z">
              <w:r w:rsidRPr="00426903">
                <w:t xml:space="preserve">UE </w:t>
              </w:r>
              <w:r w:rsidRPr="00426903">
                <w:rPr>
                  <w:noProof/>
                </w:rPr>
                <w:t>shall treat this cell as if cell status is "barred"</w:t>
              </w:r>
              <w:r w:rsidRPr="00426903">
                <w:t>.</w:t>
              </w:r>
            </w:ins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3B8053A0" w:rsidR="00E87C65" w:rsidRPr="00D45311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Huawei</w:t>
            </w:r>
          </w:p>
        </w:tc>
        <w:tc>
          <w:tcPr>
            <w:tcW w:w="5287" w:type="dxa"/>
          </w:tcPr>
          <w:p w14:paraId="50B6339B" w14:textId="4F6B7085" w:rsidR="00E87C65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prefer to change “</w:t>
            </w:r>
            <w:r w:rsidRPr="00F331FA">
              <w:rPr>
                <w:bCs/>
                <w:lang w:val="en-US"/>
              </w:rPr>
              <w:t>NES-capable UE</w:t>
            </w:r>
            <w:r>
              <w:rPr>
                <w:bCs/>
                <w:lang w:val="en-US"/>
              </w:rPr>
              <w:t>” to “</w:t>
            </w:r>
            <w:r w:rsidRPr="00F331FA">
              <w:rPr>
                <w:bCs/>
                <w:lang w:val="en-US"/>
              </w:rPr>
              <w:t>UE capable of NES cell DTX/DRX</w:t>
            </w:r>
            <w:r>
              <w:rPr>
                <w:bCs/>
                <w:lang w:val="en-US"/>
              </w:rPr>
              <w:t>” or “</w:t>
            </w:r>
            <w:r w:rsidRPr="00F331FA">
              <w:rPr>
                <w:bCs/>
                <w:lang w:val="en-US"/>
              </w:rPr>
              <w:t xml:space="preserve">UE </w:t>
            </w:r>
            <w:r>
              <w:rPr>
                <w:bCs/>
                <w:lang w:val="en-US"/>
              </w:rPr>
              <w:t>supporting</w:t>
            </w:r>
            <w:r w:rsidRPr="00F331FA">
              <w:rPr>
                <w:bCs/>
                <w:lang w:val="en-US"/>
              </w:rPr>
              <w:t xml:space="preserve"> NES cell DTX/DRX</w:t>
            </w:r>
            <w:r>
              <w:rPr>
                <w:bCs/>
                <w:lang w:val="en-US"/>
              </w:rPr>
              <w:t xml:space="preserve">” and remove the NES-capable UE from the definitions section. </w:t>
            </w:r>
          </w:p>
          <w:p w14:paraId="4F9B1D09" w14:textId="77777777" w:rsidR="00F331FA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reasons are the following:</w:t>
            </w:r>
          </w:p>
          <w:p w14:paraId="1DF4153E" w14:textId="3B7696D8" w:rsidR="00F331FA" w:rsidRPr="00D45311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 w:rsidRPr="00F331FA">
              <w:rPr>
                <w:bCs/>
                <w:lang w:val="en-US"/>
              </w:rPr>
              <w:t>The definitions are far from the relevant section and in my view adding a definition can lead to misunderstandings for someone that is only reading the cell barring section.</w:t>
            </w:r>
            <w:r>
              <w:rPr>
                <w:bCs/>
                <w:lang w:val="en-US"/>
              </w:rPr>
              <w:t xml:space="preserve"> </w:t>
            </w:r>
            <w:r>
              <w:t xml:space="preserve"> Making a </w:t>
            </w:r>
            <w:r w:rsidRPr="00F331FA">
              <w:rPr>
                <w:bCs/>
                <w:lang w:val="en-US"/>
              </w:rPr>
              <w:t>definition of NES capable UE is not optimal from</w:t>
            </w:r>
            <w:r>
              <w:rPr>
                <w:bCs/>
                <w:lang w:val="en-US"/>
              </w:rPr>
              <w:t xml:space="preserve"> the readability and spec clarity perspective</w:t>
            </w:r>
            <w:r>
              <w:t xml:space="preserve"> </w:t>
            </w:r>
            <w:r w:rsidRPr="00F331FA">
              <w:rPr>
                <w:bCs/>
                <w:lang w:val="en-US"/>
              </w:rPr>
              <w:t xml:space="preserve">as this term is used in various places </w:t>
            </w:r>
            <w:r>
              <w:rPr>
                <w:bCs/>
                <w:lang w:val="en-US"/>
              </w:rPr>
              <w:t xml:space="preserve">in 38.331 </w:t>
            </w:r>
            <w:r w:rsidRPr="00F331FA">
              <w:rPr>
                <w:bCs/>
                <w:lang w:val="en-US"/>
              </w:rPr>
              <w:t xml:space="preserve">and for a reader/implementer it would not be obvious to check the definitions section before </w:t>
            </w:r>
            <w:proofErr w:type="spellStart"/>
            <w:r w:rsidRPr="00F331FA">
              <w:rPr>
                <w:bCs/>
                <w:lang w:val="en-US"/>
              </w:rPr>
              <w:t>analysing</w:t>
            </w:r>
            <w:proofErr w:type="spellEnd"/>
            <w:r w:rsidRPr="00F331FA">
              <w:rPr>
                <w:bCs/>
                <w:lang w:val="en-US"/>
              </w:rPr>
              <w:t xml:space="preserve"> the NES cell barring</w:t>
            </w:r>
            <w:r>
              <w:rPr>
                <w:bCs/>
                <w:lang w:val="en-US"/>
              </w:rPr>
              <w:t>. Therefore for 38.331 I have adopted the above wording</w:t>
            </w:r>
            <w:r w:rsidR="002D1937">
              <w:rPr>
                <w:bCs/>
                <w:lang w:val="en-US"/>
              </w:rPr>
              <w:t xml:space="preserve"> and suggest the same for 38.304</w:t>
            </w:r>
            <w:r>
              <w:rPr>
                <w:bCs/>
                <w:lang w:val="en-US"/>
              </w:rPr>
              <w:t xml:space="preserve">. 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1A5E736D" w:rsidR="00490F5B" w:rsidRPr="00D45311" w:rsidRDefault="00A4390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</w:t>
            </w:r>
          </w:p>
        </w:tc>
        <w:tc>
          <w:tcPr>
            <w:tcW w:w="5287" w:type="dxa"/>
          </w:tcPr>
          <w:p w14:paraId="2DFC958C" w14:textId="26E83015" w:rsidR="00490F5B" w:rsidRPr="00D45311" w:rsidRDefault="00A4390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agree with both Vivo and Huawei. Both proposals make specification clearer.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2343" w14:textId="77777777" w:rsidR="00F02B52" w:rsidRDefault="00F02B52">
      <w:pPr>
        <w:spacing w:after="0"/>
      </w:pPr>
      <w:r>
        <w:separator/>
      </w:r>
    </w:p>
  </w:endnote>
  <w:endnote w:type="continuationSeparator" w:id="0">
    <w:p w14:paraId="4697DEFD" w14:textId="77777777" w:rsidR="00F02B52" w:rsidRDefault="00F02B52">
      <w:pPr>
        <w:spacing w:after="0"/>
      </w:pPr>
      <w:r>
        <w:continuationSeparator/>
      </w:r>
    </w:p>
  </w:endnote>
  <w:endnote w:type="continuationNotice" w:id="1">
    <w:p w14:paraId="352B2B5A" w14:textId="77777777" w:rsidR="00F02B52" w:rsidRDefault="00F02B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12E0" w14:textId="77777777" w:rsidR="00F02B52" w:rsidRDefault="00F02B52">
      <w:pPr>
        <w:spacing w:after="0"/>
      </w:pPr>
      <w:r>
        <w:separator/>
      </w:r>
    </w:p>
  </w:footnote>
  <w:footnote w:type="continuationSeparator" w:id="0">
    <w:p w14:paraId="0C40AA01" w14:textId="77777777" w:rsidR="00F02B52" w:rsidRDefault="00F02B52">
      <w:pPr>
        <w:spacing w:after="0"/>
      </w:pPr>
      <w:r>
        <w:continuationSeparator/>
      </w:r>
    </w:p>
  </w:footnote>
  <w:footnote w:type="continuationNotice" w:id="1">
    <w:p w14:paraId="099495F0" w14:textId="77777777" w:rsidR="00F02B52" w:rsidRDefault="00F02B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4802"/>
    <w:multiLevelType w:val="hybridMultilevel"/>
    <w:tmpl w:val="F7AAD4A6"/>
    <w:lvl w:ilvl="0" w:tplc="798417BC">
      <w:start w:val="3"/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474910497">
    <w:abstractNumId w:val="15"/>
  </w:num>
  <w:num w:numId="2" w16cid:durableId="2073001594">
    <w:abstractNumId w:val="12"/>
  </w:num>
  <w:num w:numId="3" w16cid:durableId="240215302">
    <w:abstractNumId w:val="17"/>
  </w:num>
  <w:num w:numId="4" w16cid:durableId="806123440">
    <w:abstractNumId w:val="24"/>
  </w:num>
  <w:num w:numId="5" w16cid:durableId="1103302424">
    <w:abstractNumId w:val="18"/>
  </w:num>
  <w:num w:numId="6" w16cid:durableId="1860779022">
    <w:abstractNumId w:val="3"/>
  </w:num>
  <w:num w:numId="7" w16cid:durableId="187333016">
    <w:abstractNumId w:val="22"/>
  </w:num>
  <w:num w:numId="8" w16cid:durableId="1368872852">
    <w:abstractNumId w:val="23"/>
  </w:num>
  <w:num w:numId="9" w16cid:durableId="439762364">
    <w:abstractNumId w:val="4"/>
  </w:num>
  <w:num w:numId="10" w16cid:durableId="1790002767">
    <w:abstractNumId w:val="13"/>
  </w:num>
  <w:num w:numId="11" w16cid:durableId="390614685">
    <w:abstractNumId w:val="6"/>
  </w:num>
  <w:num w:numId="12" w16cid:durableId="840586327">
    <w:abstractNumId w:val="0"/>
  </w:num>
  <w:num w:numId="13" w16cid:durableId="428814569">
    <w:abstractNumId w:val="25"/>
  </w:num>
  <w:num w:numId="14" w16cid:durableId="1283924091">
    <w:abstractNumId w:val="21"/>
  </w:num>
  <w:num w:numId="15" w16cid:durableId="467942916">
    <w:abstractNumId w:val="8"/>
  </w:num>
  <w:num w:numId="16" w16cid:durableId="208298824">
    <w:abstractNumId w:val="14"/>
  </w:num>
  <w:num w:numId="17" w16cid:durableId="52438224">
    <w:abstractNumId w:val="11"/>
  </w:num>
  <w:num w:numId="18" w16cid:durableId="836112480">
    <w:abstractNumId w:val="20"/>
  </w:num>
  <w:num w:numId="19" w16cid:durableId="1460339478">
    <w:abstractNumId w:val="1"/>
  </w:num>
  <w:num w:numId="20" w16cid:durableId="1553924175">
    <w:abstractNumId w:val="5"/>
  </w:num>
  <w:num w:numId="21" w16cid:durableId="1139806466">
    <w:abstractNumId w:val="9"/>
  </w:num>
  <w:num w:numId="22" w16cid:durableId="1786584759">
    <w:abstractNumId w:val="19"/>
  </w:num>
  <w:num w:numId="23" w16cid:durableId="1594971264">
    <w:abstractNumId w:val="16"/>
  </w:num>
  <w:num w:numId="24" w16cid:durableId="314649843">
    <w:abstractNumId w:val="7"/>
  </w:num>
  <w:num w:numId="25" w16cid:durableId="2072999963">
    <w:abstractNumId w:val="10"/>
  </w:num>
  <w:num w:numId="26" w16cid:durableId="1141272413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- RAN2#123b">
    <w15:presenceInfo w15:providerId="None" w15:userId="Rapporteur - RAN2#12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6F4C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0ADB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937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2E0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93B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011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1DBB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042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04A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020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21A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390B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C4A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E7B52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76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1B73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2B5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1FA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4B39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Nokia (Jarkko)</cp:lastModifiedBy>
  <cp:revision>2</cp:revision>
  <dcterms:created xsi:type="dcterms:W3CDTF">2023-11-28T06:37:00Z</dcterms:created>
  <dcterms:modified xsi:type="dcterms:W3CDTF">2023-11-28T06:37:00Z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