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#123bis</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pPr>
        <w:pStyle w:val="83"/>
        <w:outlineLvl w:val="0"/>
        <w:rPr>
          <w:b/>
          <w:sz w:val="24"/>
        </w:rPr>
      </w:pPr>
      <w:bookmarkStart w:id="0" w:name="_Hlk124761912"/>
      <w:r>
        <w:rPr>
          <w:rFonts w:cs="Arial"/>
          <w:b/>
          <w:color w:val="000000"/>
          <w:kern w:val="2"/>
          <w:sz w:val="24"/>
        </w:rPr>
        <w:t>Xiamen, China, October 9 – 13, 2023</w:t>
      </w:r>
    </w:p>
    <w:bookmarkEnd w:id="0"/>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pPr>
            <w:r>
              <w:rPr>
                <w:b/>
                <w:sz w:val="28"/>
              </w:rPr>
              <w:t>0692</w:t>
            </w:r>
            <w:r>
              <w:fldChar w:fldCharType="begin"/>
            </w:r>
            <w:r>
              <w:instrText xml:space="preserve"> DOCPROPERTY  Cr#  \* MERGEFORMAT </w:instrText>
            </w:r>
            <w:r>
              <w:fldChar w:fldCharType="end"/>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t>2</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1" w:name="_Hlt497126619"/>
            <w:r>
              <w:rPr>
                <w:rStyle w:val="47"/>
                <w:rFonts w:cs="Arial"/>
                <w:b/>
                <w:i/>
                <w:color w:val="FF0000"/>
              </w:rPr>
              <w:t>L</w:t>
            </w:r>
            <w:bookmarkEnd w:id="1"/>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t>38.300 Running CR for Mobile IAB</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Qualcomm</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NR_Mobile_IAB</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t>2023-10-16</w:t>
            </w:r>
          </w:p>
        </w:tc>
      </w:tr>
      <w:tr>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R-18</w:t>
            </w:r>
            <w:r>
              <w:fldChar w:fldCharType="end"/>
            </w:r>
          </w:p>
        </w:tc>
      </w:tr>
      <w:tr>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r>
              <w:t>Introduction of the Mobile IAB feature to specification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ind w:left="100"/>
            </w:pPr>
            <w:r>
              <w:t>Clause 3.2: Add mobile-related terms</w:t>
            </w:r>
          </w:p>
          <w:p>
            <w:pPr>
              <w:pStyle w:val="83"/>
              <w:spacing w:after="0"/>
              <w:ind w:left="100"/>
              <w:rPr>
                <w:lang w:val="en-US"/>
              </w:rPr>
            </w:pPr>
            <w:r>
              <w:rPr>
                <w:lang w:val="en-US"/>
              </w:rPr>
              <w:t>Clause 4.7: Add mobile IAB enhancements and restrictions over those for Rel-16/17 IAB.</w:t>
            </w:r>
          </w:p>
          <w:p>
            <w:pPr>
              <w:pStyle w:val="83"/>
              <w:spacing w:after="0"/>
              <w:ind w:left="100"/>
              <w:rPr>
                <w:lang w:val="en-US"/>
              </w:rPr>
            </w:pPr>
            <w:r>
              <w:rPr>
                <w:lang w:val="en-US"/>
              </w:rPr>
              <w:t>Clause 9.2.1: Add cell selection for mobile IAB-MT.</w:t>
            </w:r>
          </w:p>
          <w:p>
            <w:pPr>
              <w:pStyle w:val="83"/>
              <w:spacing w:after="0"/>
              <w:ind w:left="100"/>
              <w:rPr>
                <w:lang w:val="en-US"/>
              </w:rPr>
            </w:pPr>
            <w:r>
              <w:rPr>
                <w:lang w:val="en-US"/>
              </w:rPr>
              <w:t>Clause 9.2.3: Add handover support for mobile IAB-MT</w:t>
            </w:r>
          </w:p>
        </w:tc>
      </w:tr>
      <w:tr>
        <w:tc>
          <w:tcPr>
            <w:tcW w:w="2694" w:type="dxa"/>
            <w:gridSpan w:val="2"/>
            <w:tcBorders>
              <w:left w:val="single" w:color="auto" w:sz="4" w:space="0"/>
            </w:tcBorders>
          </w:tcPr>
          <w:p>
            <w:pPr>
              <w:pStyle w:val="83"/>
              <w:spacing w:after="0"/>
              <w:rPr>
                <w:b/>
                <w:i/>
                <w:sz w:val="8"/>
                <w:szCs w:val="8"/>
                <w:lang w:val="en-US"/>
              </w:rPr>
            </w:pPr>
          </w:p>
        </w:tc>
        <w:tc>
          <w:tcPr>
            <w:tcW w:w="6946" w:type="dxa"/>
            <w:gridSpan w:val="9"/>
            <w:tcBorders>
              <w:right w:val="single" w:color="auto" w:sz="4" w:space="0"/>
            </w:tcBorders>
          </w:tcPr>
          <w:p>
            <w:pPr>
              <w:pStyle w:val="83"/>
              <w:spacing w:after="0"/>
              <w:rPr>
                <w:sz w:val="8"/>
                <w:szCs w:val="8"/>
                <w:lang w:val="en-US"/>
              </w:rPr>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pPr>
            <w:r>
              <w:t>No RAN support of mobile IAB.</w:t>
            </w:r>
          </w:p>
        </w:tc>
      </w:tr>
      <w:tr>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r>
              <w:t>3.2, 4.7, 9.2.1, 9.2.3</w:t>
            </w:r>
          </w:p>
        </w:tc>
      </w:tr>
      <w:tr>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pPr>
            <w:r>
              <w:t>Rev 0: Added mobile IAB based on agreements of R2#123:</w:t>
            </w:r>
          </w:p>
          <w:p>
            <w:pPr>
              <w:pStyle w:val="83"/>
              <w:numPr>
                <w:ilvl w:val="0"/>
                <w:numId w:val="4"/>
              </w:numPr>
              <w:spacing w:after="0"/>
            </w:pPr>
            <w:r>
              <w:t>Clause 3.2: Add mobile-related terms</w:t>
            </w:r>
          </w:p>
          <w:p>
            <w:pPr>
              <w:pStyle w:val="83"/>
              <w:numPr>
                <w:ilvl w:val="0"/>
                <w:numId w:val="4"/>
              </w:numPr>
              <w:spacing w:after="0"/>
              <w:rPr>
                <w:lang w:val="en-US"/>
              </w:rPr>
            </w:pPr>
            <w:r>
              <w:rPr>
                <w:lang w:val="en-US"/>
              </w:rPr>
              <w:t>Clause 4.7.x: Add mobile IAB enhancements and restrictions over those for Rel-16/17 IAB.</w:t>
            </w:r>
          </w:p>
          <w:p>
            <w:pPr>
              <w:pStyle w:val="83"/>
              <w:numPr>
                <w:ilvl w:val="0"/>
                <w:numId w:val="4"/>
              </w:numPr>
              <w:spacing w:after="0"/>
              <w:rPr>
                <w:lang w:val="en-US"/>
              </w:rPr>
            </w:pPr>
            <w:r>
              <w:rPr>
                <w:lang w:val="en-US"/>
              </w:rPr>
              <w:t>Clause 9.2.1: Add cell selection for mobile IAB-MT.</w:t>
            </w:r>
          </w:p>
          <w:p>
            <w:pPr>
              <w:pStyle w:val="83"/>
              <w:numPr>
                <w:ilvl w:val="0"/>
                <w:numId w:val="4"/>
              </w:numPr>
              <w:spacing w:after="0"/>
            </w:pPr>
            <w:r>
              <w:rPr>
                <w:lang w:val="en-US"/>
              </w:rPr>
              <w:t>Clause 9.2.3: Add handover support for mobile IAB-MT</w:t>
            </w:r>
          </w:p>
          <w:p>
            <w:pPr>
              <w:pStyle w:val="83"/>
              <w:spacing w:after="0"/>
              <w:rPr>
                <w:lang w:val="en-US"/>
              </w:rPr>
            </w:pPr>
            <w:r>
              <w:rPr>
                <w:lang w:val="en-US"/>
              </w:rPr>
              <w:t>Rev 1: Revision of Clause 4.7 Rev 0.</w:t>
            </w:r>
          </w:p>
          <w:p>
            <w:pPr>
              <w:pStyle w:val="83"/>
              <w:spacing w:after="0"/>
              <w:rPr>
                <w:lang w:val="en-US"/>
              </w:rPr>
            </w:pPr>
            <w:r>
              <w:rPr>
                <w:lang w:val="en-US"/>
              </w:rPr>
              <w:t>Rev 2: Revision of Clause 4.7 baesd on agreements of R2#123bis.</w:t>
            </w:r>
          </w:p>
          <w:p>
            <w:pPr>
              <w:pStyle w:val="83"/>
              <w:numPr>
                <w:ilvl w:val="0"/>
                <w:numId w:val="4"/>
              </w:numPr>
              <w:spacing w:after="0"/>
            </w:pPr>
            <w:r>
              <w:rPr>
                <w:lang w:val="en-US"/>
              </w:rPr>
              <w:t>Clause 4.7.x is subdivided into three subclauses.</w:t>
            </w:r>
          </w:p>
          <w:p>
            <w:pPr>
              <w:pStyle w:val="83"/>
              <w:numPr>
                <w:ilvl w:val="0"/>
                <w:numId w:val="4"/>
              </w:numPr>
              <w:spacing w:after="0"/>
            </w:pPr>
            <w:r>
              <w:t>Clause 4.7.x.1 captures the principal aspects</w:t>
            </w:r>
          </w:p>
          <w:p>
            <w:pPr>
              <w:pStyle w:val="83"/>
              <w:numPr>
                <w:ilvl w:val="0"/>
                <w:numId w:val="4"/>
              </w:numPr>
              <w:spacing w:after="0"/>
            </w:pPr>
            <w:r>
              <w:t>Clause 4.7.x.2 captures RACH-less handover</w:t>
            </w:r>
          </w:p>
          <w:p>
            <w:pPr>
              <w:pStyle w:val="83"/>
              <w:numPr>
                <w:ilvl w:val="0"/>
                <w:numId w:val="4"/>
              </w:numPr>
              <w:spacing w:after="0"/>
            </w:pPr>
            <w:r>
              <w:t>Clause 4.7.x.3 capture Reelection prioritization of a mobile IAB_cell</w:t>
            </w:r>
          </w:p>
        </w:tc>
      </w:tr>
    </w:tbl>
    <w:p>
      <w:pPr>
        <w:pStyle w:val="83"/>
        <w:spacing w:after="0"/>
        <w:rPr>
          <w:sz w:val="8"/>
          <w:szCs w:val="8"/>
        </w:rPr>
      </w:pP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29" w:type="dxa"/>
            <w:shd w:val="clear" w:color="auto" w:fill="FFFFCC"/>
          </w:tcPr>
          <w:p>
            <w:pPr>
              <w:spacing w:before="60" w:after="60"/>
              <w:jc w:val="center"/>
              <w:rPr>
                <w:rFonts w:ascii="Arial" w:hAnsi="Arial" w:cs="Arial"/>
                <w:i/>
                <w:iCs/>
              </w:rPr>
            </w:pPr>
            <w:r>
              <w:rPr>
                <w:rFonts w:ascii="Arial" w:hAnsi="Arial" w:cs="Arial"/>
                <w:i/>
                <w:iCs/>
                <w:color w:val="FF0000"/>
              </w:rPr>
              <w:t>--- Begin of Changes ---</w:t>
            </w:r>
          </w:p>
        </w:tc>
      </w:tr>
    </w:tbl>
    <w:p/>
    <w:p>
      <w:pPr>
        <w:pStyle w:val="3"/>
      </w:pPr>
      <w:bookmarkStart w:id="2" w:name="_Toc37231823"/>
      <w:bookmarkStart w:id="3" w:name="_Toc51971224"/>
      <w:bookmarkStart w:id="4" w:name="_Toc20387887"/>
      <w:bookmarkStart w:id="5" w:name="_Toc139017937"/>
      <w:bookmarkStart w:id="6" w:name="_Toc52551207"/>
      <w:bookmarkStart w:id="7" w:name="_Toc29375966"/>
      <w:bookmarkStart w:id="8" w:name="_Toc46501876"/>
      <w:r>
        <w:t>3.2</w:t>
      </w:r>
      <w:r>
        <w:tab/>
      </w:r>
      <w:r>
        <w:t>Definitions</w:t>
      </w:r>
      <w:bookmarkEnd w:id="2"/>
      <w:bookmarkEnd w:id="3"/>
      <w:bookmarkEnd w:id="4"/>
      <w:bookmarkEnd w:id="5"/>
      <w:bookmarkEnd w:id="6"/>
      <w:bookmarkEnd w:id="7"/>
      <w:bookmarkEnd w:id="8"/>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pPr>
        <w:rPr>
          <w:ins w:id="1" w:author="R2#123" w:date="2023-09-26T11:05:00Z"/>
          <w:bCs/>
          <w:lang w:val="en-US"/>
        </w:rPr>
      </w:pPr>
      <w:ins w:id="2" w:author="R2#123" w:date="2023-09-26T11:05:00Z">
        <w:del w:id="3" w:author="QC - R2#123b" w:date="2023-10-16T12:27:00Z">
          <w:r>
            <w:rPr>
              <w:b/>
              <w:lang w:val="en-US"/>
            </w:rPr>
            <w:delText>[</w:delText>
          </w:r>
        </w:del>
      </w:ins>
      <w:ins w:id="4" w:author="QC - R2#123b" w:date="2023-10-16T12:27:00Z">
        <w:r>
          <w:rPr>
            <w:b/>
            <w:lang w:val="en-US"/>
          </w:rPr>
          <w:t>Mobile IAB-</w:t>
        </w:r>
      </w:ins>
      <w:ins w:id="5" w:author="R2#123" w:date="2023-09-26T11:05:00Z">
        <w:r>
          <w:rPr>
            <w:b/>
            <w:lang w:val="en-US"/>
          </w:rPr>
          <w:t>DU migration</w:t>
        </w:r>
      </w:ins>
      <w:ins w:id="6" w:author="R2#123" w:date="2023-09-26T11:05:00Z">
        <w:del w:id="7" w:author="QC - R2#123b" w:date="2023-10-16T12:27:00Z">
          <w:r>
            <w:rPr>
              <w:b/>
              <w:lang w:val="en-US"/>
            </w:rPr>
            <w:delText>]</w:delText>
          </w:r>
        </w:del>
      </w:ins>
      <w:ins w:id="8" w:author="R2#123" w:date="2023-09-26T11:05:00Z">
        <w:r>
          <w:rPr>
            <w:bCs/>
            <w:lang w:val="en-US"/>
          </w:rPr>
          <w:t>: procedure for a mobile IAB-node as defined in TS 38.401.</w:t>
        </w:r>
      </w:ins>
    </w:p>
    <w:p>
      <w:pPr>
        <w:ind w:left="720"/>
        <w:rPr>
          <w:ins w:id="9" w:author="R2#123" w:date="2023-09-26T11:05:00Z"/>
          <w:del w:id="10" w:author="QC - R2#123b" w:date="2023-10-16T12:27:00Z"/>
          <w:bCs/>
        </w:rPr>
      </w:pPr>
      <w:ins w:id="11" w:author="R2#123" w:date="2023-09-26T11:05:00Z">
        <w:del w:id="12" w:author="QC - R2#123b" w:date="2023-10-16T12:27:00Z">
          <w:r>
            <w:rPr>
              <w:bCs/>
              <w:color w:val="FF0000"/>
              <w:lang w:val="en-US"/>
            </w:rPr>
            <w:delText>Editor’s NOTE:</w:delText>
          </w:r>
        </w:del>
      </w:ins>
      <w:ins w:id="13" w:author="R2#123" w:date="2023-09-26T11:05:00Z">
        <w:del w:id="14" w:author="QC - R2#123b" w:date="2023-10-16T12:27:00Z">
          <w:r>
            <w:rPr>
              <w:bCs/>
            </w:rPr>
            <w:delText xml:space="preserve"> Terminology of [DU migration] should be aligned with TS 38.401</w:delText>
          </w:r>
        </w:del>
      </w:ins>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Mapped Cell ID</w:t>
      </w:r>
      <w:r>
        <w:t>: in NTN, it corresponds to a fixed geographical area.</w:t>
      </w:r>
    </w:p>
    <w:p>
      <w:pPr>
        <w:rPr>
          <w:ins w:id="15" w:author="R2#123" w:date="2023-09-26T11:05:00Z"/>
        </w:rPr>
      </w:pPr>
      <w:ins w:id="16" w:author="R2#123" w:date="2023-09-26T11:05:00Z">
        <w:r>
          <w:rPr>
            <w:b/>
            <w:bCs/>
            <w:lang w:eastAsia="zh-CN"/>
          </w:rPr>
          <w:t>Mobile IAB-DU</w:t>
        </w:r>
      </w:ins>
      <w:ins w:id="17" w:author="R2#123" w:date="2023-09-26T11:05:00Z">
        <w:r>
          <w:rPr>
            <w:lang w:eastAsia="zh-CN"/>
          </w:rPr>
          <w:t xml:space="preserve">: </w:t>
        </w:r>
      </w:ins>
      <w:ins w:id="18" w:author="R2#123" w:date="2023-09-26T11:05:00Z">
        <w:commentRangeStart w:id="0"/>
        <w:r>
          <w:rPr/>
          <w:t>IAB-DU</w:t>
        </w:r>
        <w:commentRangeEnd w:id="0"/>
      </w:ins>
      <w:r>
        <w:commentReference w:id="0"/>
      </w:r>
      <w:ins w:id="19" w:author="R2#123" w:date="2023-09-26T11:05:00Z">
        <w:r>
          <w:rPr/>
          <w:t xml:space="preserve"> function on the mobile IAB-node supporting enhancements for mobile IAB.</w:t>
        </w:r>
      </w:ins>
    </w:p>
    <w:p>
      <w:pPr>
        <w:rPr>
          <w:ins w:id="20" w:author="R2#123" w:date="2023-09-26T11:05:00Z"/>
          <w:lang w:eastAsia="zh-CN"/>
        </w:rPr>
      </w:pPr>
      <w:ins w:id="21" w:author="R2#123" w:date="2023-09-26T11:05:00Z">
        <w:r>
          <w:rPr>
            <w:b/>
            <w:bCs/>
          </w:rPr>
          <w:t>Mobile IAB-MT</w:t>
        </w:r>
      </w:ins>
      <w:ins w:id="22" w:author="R2#123" w:date="2023-09-26T11:05:00Z">
        <w:r>
          <w:rPr/>
          <w:t xml:space="preserve">: </w:t>
        </w:r>
        <w:commentRangeStart w:id="1"/>
        <w:r>
          <w:rPr/>
          <w:t>IAB-MT</w:t>
        </w:r>
        <w:commentRangeEnd w:id="1"/>
      </w:ins>
      <w:r>
        <w:commentReference w:id="1"/>
      </w:r>
      <w:ins w:id="23" w:author="R2#123" w:date="2023-09-26T11:05:00Z">
        <w:r>
          <w:rPr/>
          <w:t xml:space="preserve"> function on the mobile IAB-node supporting enhancements for mobile IAB.</w:t>
        </w:r>
      </w:ins>
    </w:p>
    <w:p>
      <w:pPr>
        <w:rPr>
          <w:ins w:id="24" w:author="R2#123" w:date="2023-09-26T11:05:00Z"/>
          <w:bCs/>
          <w:lang w:val="en-US"/>
        </w:rPr>
      </w:pPr>
      <w:ins w:id="25" w:author="R2#123" w:date="2023-09-26T11:05:00Z">
        <w:r>
          <w:rPr>
            <w:b/>
            <w:lang w:val="en-US"/>
          </w:rPr>
          <w:t>Mobile IAB-MT migration</w:t>
        </w:r>
      </w:ins>
      <w:ins w:id="26" w:author="R2#123" w:date="2023-09-26T11:05:00Z">
        <w:r>
          <w:rPr>
            <w:bCs/>
            <w:lang w:val="en-US"/>
          </w:rPr>
          <w:t>: procedure for a mobile IAB-MT as defined in TS 38.401.</w:t>
        </w:r>
      </w:ins>
    </w:p>
    <w:p>
      <w:pPr>
        <w:rPr>
          <w:ins w:id="27" w:author="R2#123" w:date="2023-09-26T11:05:00Z"/>
        </w:rPr>
      </w:pPr>
      <w:ins w:id="28" w:author="R2#123" w:date="2023-09-26T11:05:00Z">
        <w:commentRangeStart w:id="2"/>
        <w:commentRangeStart w:id="3"/>
        <w:r>
          <w:rPr>
            <w:b/>
            <w:bCs/>
          </w:rPr>
          <w:t>Mobile IAB-node</w:t>
        </w:r>
      </w:ins>
      <w:ins w:id="29" w:author="R2#123" w:date="2023-09-26T11:05:00Z">
        <w:r>
          <w:rPr/>
          <w:t xml:space="preserve">: </w:t>
        </w:r>
      </w:ins>
      <w:ins w:id="30" w:author="R2#123" w:date="2023-09-26T11:05:00Z">
        <w:del w:id="31" w:author="QC R3#122v2" w:date="2023-10-19T10:32:00Z">
          <w:r>
            <w:rPr/>
            <w:delText>IAB-node</w:delText>
          </w:r>
        </w:del>
      </w:ins>
      <w:ins w:id="32" w:author="QC R3#122v2" w:date="2023-10-19T10:32:00Z">
        <w:r>
          <w:rPr/>
          <w:t>RAN node</w:t>
        </w:r>
      </w:ins>
      <w:ins w:id="33" w:author="R2#123" w:date="2023-09-26T11:05:00Z">
        <w:r>
          <w:rPr/>
          <w:t xml:space="preserve"> that supports </w:t>
        </w:r>
      </w:ins>
      <w:ins w:id="34" w:author="QC R3#122v2" w:date="2023-10-19T10:32:00Z">
        <w:r>
          <w:rPr/>
          <w:t xml:space="preserve">NR access links to UEs and NR backhaul links to parent nodes while allowing </w:t>
        </w:r>
      </w:ins>
      <w:ins w:id="35" w:author="R2#123" w:date="2023-09-26T11:05:00Z">
        <w:del w:id="36" w:author="QC R3#122v2" w:date="2023-10-19T10:32:00Z">
          <w:r>
            <w:rPr/>
            <w:delText xml:space="preserve">enhancements which allow </w:delText>
          </w:r>
        </w:del>
      </w:ins>
      <w:ins w:id="37" w:author="R2#123" w:date="2023-09-26T11:05:00Z">
        <w:r>
          <w:rPr/>
          <w:t>physical mobility across the RAN area.</w:t>
        </w:r>
        <w:commentRangeEnd w:id="2"/>
      </w:ins>
      <w:r>
        <w:rPr>
          <w:rStyle w:val="48"/>
        </w:rPr>
        <w:commentReference w:id="2"/>
      </w:r>
      <w:commentRangeEnd w:id="3"/>
      <w:r>
        <w:rPr>
          <w:rStyle w:val="48"/>
        </w:rPr>
        <w:commentReference w:id="3"/>
      </w:r>
    </w:p>
    <w:p>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r>
        <w:rPr>
          <w:b/>
        </w:rPr>
        <w:t>Service link</w:t>
      </w:r>
      <w:r>
        <w:rPr>
          <w:bCs/>
        </w:rPr>
        <w:t>:</w:t>
      </w:r>
      <w:r>
        <w:rPr>
          <w:b/>
        </w:rPr>
        <w:t xml:space="preserve"> </w:t>
      </w:r>
      <w:r>
        <w:t>wireless link between the NTN payload and UE.</w:t>
      </w:r>
    </w:p>
    <w:p>
      <w:r>
        <w:rPr>
          <w:b/>
        </w:rPr>
        <w:t>Sidelink Discovery RSRP:</w:t>
      </w:r>
      <w:r>
        <w:t xml:space="preserve"> RSRP measurements on PC5 link related to NR sidelink discovery.</w:t>
      </w:r>
    </w:p>
    <w:p>
      <w:pPr>
        <w:rPr>
          <w:b/>
        </w:rPr>
      </w:pPr>
      <w:r>
        <w:rPr>
          <w:b/>
        </w:rPr>
        <w:t xml:space="preserve">Sidelink RSRP: </w:t>
      </w:r>
      <w:r>
        <w:t>RSRP measurements on PC5 link related to NR sidelink communication.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spacing w:before="120" w:after="120"/>
      </w:pP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Next Change ---</w:t>
            </w:r>
          </w:p>
        </w:tc>
      </w:tr>
    </w:tbl>
    <w:p>
      <w:pPr>
        <w:spacing w:before="120" w:after="120"/>
      </w:pPr>
    </w:p>
    <w:p>
      <w:pPr>
        <w:pStyle w:val="3"/>
      </w:pPr>
      <w:r>
        <w:t>4.7</w:t>
      </w:r>
      <w:r>
        <w:tab/>
      </w:r>
      <w:r>
        <w:t>Integrated Access and Backhaul</w:t>
      </w:r>
    </w:p>
    <w:p>
      <w:pPr>
        <w:rPr>
          <w:b/>
          <w:bCs/>
        </w:rPr>
      </w:pPr>
      <w:r>
        <w:rPr>
          <w:b/>
          <w:bCs/>
          <w:highlight w:val="yellow"/>
        </w:rPr>
        <w:t>&gt;&gt;&gt;&gt; Skip</w:t>
      </w:r>
    </w:p>
    <w:p>
      <w:pPr>
        <w:pStyle w:val="4"/>
        <w:rPr>
          <w:ins w:id="38" w:author="R2#123" w:date="2023-09-26T11:06:00Z"/>
        </w:rPr>
      </w:pPr>
      <w:ins w:id="39" w:author="R2#123" w:date="2023-09-26T11:06:00Z">
        <w:bookmarkStart w:id="9" w:name="_Toc51971341"/>
        <w:bookmarkStart w:id="10" w:name="_Toc52551324"/>
        <w:bookmarkStart w:id="11" w:name="_Toc139018056"/>
        <w:bookmarkStart w:id="12" w:name="_Toc46501993"/>
        <w:r>
          <w:rPr/>
          <w:t>4.7.X</w:t>
        </w:r>
      </w:ins>
      <w:ins w:id="40" w:author="R2#123" w:date="2023-09-26T11:06:00Z">
        <w:r>
          <w:rPr/>
          <w:tab/>
        </w:r>
      </w:ins>
      <w:ins w:id="41" w:author="R2#123" w:date="2023-09-26T11:06:00Z">
        <w:r>
          <w:rPr/>
          <w:t>Mobile IAB</w:t>
        </w:r>
      </w:ins>
    </w:p>
    <w:p>
      <w:pPr>
        <w:pStyle w:val="5"/>
        <w:rPr>
          <w:ins w:id="43" w:author="QC - R2#123b" w:date="2023-10-16T11:44:00Z"/>
        </w:rPr>
        <w:pPrChange w:id="42" w:author="QC - R2#123b" w:date="2023-10-16T11:44:00Z">
          <w:pPr>
            <w:pStyle w:val="4"/>
          </w:pPr>
        </w:pPrChange>
      </w:pPr>
      <w:ins w:id="44" w:author="QC - R2#123b" w:date="2023-10-16T11:44:00Z">
        <w:r>
          <w:rPr/>
          <w:t>4.7.X.1</w:t>
        </w:r>
      </w:ins>
      <w:ins w:id="45" w:author="QC - R2#123b" w:date="2023-10-16T11:44:00Z">
        <w:r>
          <w:rPr/>
          <w:tab/>
        </w:r>
      </w:ins>
      <w:ins w:id="46" w:author="QC - R2#123b" w:date="2023-10-16T11:44:00Z">
        <w:r>
          <w:rPr/>
          <w:t>Principal Aspects</w:t>
        </w:r>
      </w:ins>
    </w:p>
    <w:p>
      <w:pPr>
        <w:rPr>
          <w:ins w:id="47" w:author="R2#123" w:date="2023-09-26T11:06:00Z"/>
          <w:rFonts w:eastAsia="宋体"/>
          <w:lang w:eastAsia="zh-CN"/>
        </w:rPr>
      </w:pPr>
      <w:ins w:id="48" w:author="R2#123" w:date="2023-09-26T11:06:00Z">
        <w:r>
          <w:rPr>
            <w:rFonts w:eastAsia="宋体"/>
            <w:i/>
            <w:iCs/>
            <w:lang w:eastAsia="zh-CN"/>
          </w:rPr>
          <w:t>Mobile IAB</w:t>
        </w:r>
      </w:ins>
      <w:ins w:id="49" w:author="R2#123" w:date="2023-09-26T11:06:00Z">
        <w:r>
          <w:rPr>
            <w:rFonts w:eastAsia="宋体"/>
            <w:lang w:eastAsia="zh-CN"/>
          </w:rPr>
          <w:t xml:space="preserve"> </w:t>
        </w:r>
      </w:ins>
      <w:ins w:id="50" w:author="R2#123" w:date="2023-09-26T11:06:00Z">
        <w:del w:id="51" w:author="QC - R2#123b" w:date="2023-10-16T11:34:00Z">
          <w:r>
            <w:rPr>
              <w:rFonts w:eastAsia="宋体"/>
              <w:lang w:eastAsia="zh-CN"/>
            </w:rPr>
            <w:delText>provides enhancements to IAB</w:delText>
          </w:r>
        </w:del>
      </w:ins>
      <w:ins w:id="52" w:author="QC - R2#123b" w:date="2023-10-16T11:34:00Z">
        <w:r>
          <w:rPr>
            <w:rFonts w:eastAsia="宋体"/>
            <w:lang w:eastAsia="zh-CN"/>
          </w:rPr>
          <w:t>introduces the</w:t>
        </w:r>
      </w:ins>
      <w:ins w:id="53" w:author="QC - R2#123b" w:date="2023-09-26T11:22:00Z">
        <w:r>
          <w:rPr>
            <w:rFonts w:eastAsia="宋体"/>
            <w:lang w:eastAsia="zh-CN"/>
          </w:rPr>
          <w:t xml:space="preserve"> </w:t>
        </w:r>
      </w:ins>
      <w:ins w:id="54" w:author="R2#123" w:date="2023-09-26T11:06:00Z">
        <w:del w:id="55" w:author="QC - R2#123b" w:date="2023-09-26T11:23:00Z">
          <w:r>
            <w:rPr>
              <w:rFonts w:eastAsia="宋体"/>
              <w:lang w:eastAsia="zh-CN"/>
            </w:rPr>
            <w:delText xml:space="preserve"> that allow </w:delText>
          </w:r>
          <w:commentRangeStart w:id="4"/>
          <w:r>
            <w:rPr>
              <w:rFonts w:eastAsia="宋体"/>
              <w:lang w:eastAsia="zh-CN"/>
            </w:rPr>
            <w:delText>single-connected</w:delText>
          </w:r>
          <w:commentRangeEnd w:id="4"/>
        </w:del>
      </w:ins>
      <w:r>
        <w:rPr>
          <w:rStyle w:val="48"/>
        </w:rPr>
        <w:commentReference w:id="4"/>
      </w:r>
      <w:ins w:id="56" w:author="QC - R2#123b" w:date="2023-09-26T14:41:00Z">
        <w:r>
          <w:rPr>
            <w:rFonts w:eastAsia="宋体"/>
            <w:lang w:eastAsia="zh-CN"/>
          </w:rPr>
          <w:t xml:space="preserve"> </w:t>
        </w:r>
      </w:ins>
      <w:ins w:id="57" w:author="QC - R2#123b" w:date="2023-09-26T14:41:00Z">
        <w:r>
          <w:rPr>
            <w:rFonts w:eastAsia="宋体"/>
            <w:i/>
            <w:iCs/>
            <w:lang w:eastAsia="zh-CN"/>
            <w:rPrChange w:id="58" w:author="QC - R2#123b" w:date="2023-10-16T11:33:00Z">
              <w:rPr>
                <w:rFonts w:eastAsia="宋体"/>
                <w:lang w:eastAsia="zh-CN"/>
              </w:rPr>
            </w:rPrChange>
          </w:rPr>
          <w:t>m</w:t>
        </w:r>
      </w:ins>
      <w:ins w:id="59" w:author="QC - R2#123b" w:date="2023-09-26T11:23:00Z">
        <w:r>
          <w:rPr>
            <w:rFonts w:eastAsia="宋体"/>
            <w:i/>
            <w:iCs/>
            <w:lang w:eastAsia="zh-CN"/>
            <w:rPrChange w:id="60" w:author="QC - R2#123b" w:date="2023-10-16T11:33:00Z">
              <w:rPr>
                <w:rFonts w:eastAsia="宋体"/>
                <w:lang w:eastAsia="zh-CN"/>
              </w:rPr>
            </w:rPrChange>
          </w:rPr>
          <w:t>obile</w:t>
        </w:r>
      </w:ins>
      <w:ins w:id="61" w:author="R2#123" w:date="2023-09-26T11:06:00Z">
        <w:r>
          <w:rPr>
            <w:rFonts w:eastAsia="宋体"/>
            <w:i/>
            <w:iCs/>
            <w:lang w:eastAsia="zh-CN"/>
            <w:rPrChange w:id="62" w:author="QC - R2#123b" w:date="2023-10-16T11:33:00Z">
              <w:rPr>
                <w:rFonts w:eastAsia="宋体"/>
                <w:lang w:eastAsia="zh-CN"/>
              </w:rPr>
            </w:rPrChange>
          </w:rPr>
          <w:t xml:space="preserve"> IAB-node</w:t>
        </w:r>
      </w:ins>
      <w:ins w:id="63" w:author="R2#123" w:date="2023-09-26T11:06:00Z">
        <w:del w:id="64" w:author="QC - R2#123b" w:date="2023-10-16T11:32:00Z">
          <w:r>
            <w:rPr>
              <w:rFonts w:eastAsia="宋体"/>
              <w:lang w:eastAsia="zh-CN"/>
            </w:rPr>
            <w:delText>s</w:delText>
          </w:r>
        </w:del>
      </w:ins>
      <w:ins w:id="65" w:author="QC - R2#123b" w:date="2023-10-16T11:34:00Z">
        <w:r>
          <w:rPr>
            <w:rFonts w:eastAsia="宋体"/>
            <w:lang w:eastAsia="zh-CN"/>
          </w:rPr>
          <w:t>,</w:t>
        </w:r>
      </w:ins>
      <w:ins w:id="66" w:author="R2#123" w:date="2023-09-26T11:06:00Z">
        <w:r>
          <w:rPr>
            <w:rFonts w:eastAsia="宋体"/>
            <w:lang w:eastAsia="zh-CN"/>
          </w:rPr>
          <w:t xml:space="preserve"> </w:t>
        </w:r>
      </w:ins>
      <w:ins w:id="67" w:author="R2#123" w:date="2023-09-26T11:06:00Z">
        <w:del w:id="68" w:author="QC - R2#123b" w:date="2023-10-16T11:34:00Z">
          <w:r>
            <w:rPr>
              <w:rFonts w:eastAsia="宋体"/>
              <w:lang w:eastAsia="zh-CN"/>
            </w:rPr>
            <w:delText>to</w:delText>
          </w:r>
        </w:del>
      </w:ins>
      <w:ins w:id="69" w:author="QC - R2#123b" w:date="2023-10-16T11:34:00Z">
        <w:r>
          <w:rPr>
            <w:rFonts w:eastAsia="宋体"/>
            <w:lang w:eastAsia="zh-CN"/>
          </w:rPr>
          <w:t xml:space="preserve">which </w:t>
        </w:r>
      </w:ins>
      <w:ins w:id="70" w:author="QC R3#122v2" w:date="2023-10-19T10:33:00Z">
        <w:r>
          <w:rPr>
            <w:rFonts w:eastAsia="宋体"/>
            <w:lang w:eastAsia="zh-CN"/>
          </w:rPr>
          <w:t>is a RAN node that provides NR access links to UEs and NR backhaul links to parent nodes while allowing</w:t>
        </w:r>
      </w:ins>
      <w:ins w:id="71" w:author="QC - R2#123b" w:date="2023-10-16T11:34:00Z">
        <w:del w:id="72" w:author="QC R3#122v2" w:date="2023-10-19T10:33:00Z">
          <w:r>
            <w:rPr>
              <w:rFonts w:eastAsia="宋体"/>
              <w:lang w:eastAsia="zh-CN"/>
            </w:rPr>
            <w:delText>can</w:delText>
          </w:r>
        </w:del>
      </w:ins>
      <w:ins w:id="73" w:author="R2#123" w:date="2023-09-26T11:06:00Z">
        <w:del w:id="74" w:author="QC R3#122v2" w:date="2023-10-19T10:33:00Z">
          <w:r>
            <w:rPr>
              <w:rFonts w:eastAsia="宋体"/>
              <w:lang w:eastAsia="zh-CN"/>
            </w:rPr>
            <w:delText xml:space="preserve"> cond</w:delText>
          </w:r>
        </w:del>
      </w:ins>
      <w:ins w:id="75" w:author="R2#123" w:date="2023-09-26T11:06:00Z">
        <w:del w:id="76" w:author="QC R3#122v2" w:date="2023-10-19T10:34:00Z">
          <w:r>
            <w:rPr>
              <w:rFonts w:eastAsia="宋体"/>
              <w:lang w:eastAsia="zh-CN"/>
            </w:rPr>
            <w:delText>uct</w:delText>
          </w:r>
        </w:del>
      </w:ins>
      <w:ins w:id="77" w:author="R2#123" w:date="2023-09-26T11:06:00Z">
        <w:r>
          <w:rPr>
            <w:rFonts w:eastAsia="宋体"/>
            <w:lang w:eastAsia="zh-CN"/>
          </w:rPr>
          <w:t xml:space="preserve"> physical mobility across the RAN</w:t>
        </w:r>
      </w:ins>
      <w:ins w:id="78" w:author="R2#123" w:date="2023-09-26T11:06:00Z">
        <w:del w:id="79" w:author="QC R3#122v2" w:date="2023-10-19T10:34:00Z">
          <w:r>
            <w:rPr>
              <w:rFonts w:eastAsia="宋体"/>
              <w:lang w:eastAsia="zh-CN"/>
            </w:rPr>
            <w:delText xml:space="preserve"> while providing backhaul connectivity to UEs</w:delText>
          </w:r>
        </w:del>
      </w:ins>
      <w:ins w:id="80" w:author="R2#123" w:date="2023-09-26T11:06:00Z">
        <w:r>
          <w:rPr>
            <w:rFonts w:eastAsia="宋体"/>
            <w:lang w:eastAsia="zh-CN"/>
          </w:rPr>
          <w:t xml:space="preserve">. </w:t>
        </w:r>
      </w:ins>
      <w:ins w:id="81" w:author="R2#123" w:date="2023-09-26T11:06:00Z">
        <w:del w:id="82" w:author="QC - R2#123b" w:date="2023-09-26T11:23:00Z">
          <w:r>
            <w:rPr>
              <w:rFonts w:eastAsia="宋体"/>
              <w:lang w:eastAsia="zh-CN"/>
            </w:rPr>
            <w:delText>An IAB-node supporting mobile-IAB enhancements is referred to as a</w:delText>
          </w:r>
        </w:del>
      </w:ins>
      <w:ins w:id="83" w:author="QC - R2#123b" w:date="2023-09-26T11:23:00Z">
        <w:r>
          <w:rPr>
            <w:rFonts w:eastAsia="宋体"/>
            <w:lang w:eastAsia="zh-CN"/>
          </w:rPr>
          <w:t>The</w:t>
        </w:r>
      </w:ins>
      <w:ins w:id="84" w:author="R2#123" w:date="2023-09-26T11:06:00Z">
        <w:r>
          <w:rPr>
            <w:rFonts w:eastAsia="宋体"/>
            <w:lang w:eastAsia="zh-CN"/>
          </w:rPr>
          <w:t xml:space="preserve"> </w:t>
        </w:r>
      </w:ins>
      <w:ins w:id="85" w:author="R2#123" w:date="2023-09-26T11:06:00Z">
        <w:r>
          <w:rPr>
            <w:rFonts w:eastAsia="宋体"/>
            <w:i w:val="0"/>
            <w:iCs w:val="0"/>
            <w:lang w:eastAsia="zh-CN"/>
            <w:rPrChange w:id="86" w:author="QC - R2#123b" w:date="2023-10-16T11:35:00Z">
              <w:rPr>
                <w:rFonts w:eastAsia="宋体"/>
                <w:i/>
                <w:iCs/>
                <w:lang w:eastAsia="zh-CN"/>
              </w:rPr>
            </w:rPrChange>
          </w:rPr>
          <w:t>mobile IAB-node</w:t>
        </w:r>
      </w:ins>
      <w:ins w:id="87" w:author="R2#123" w:date="2023-09-26T11:06:00Z">
        <w:del w:id="88" w:author="QC - R2#123b" w:date="2023-09-26T11:23:00Z">
          <w:r>
            <w:rPr>
              <w:rFonts w:eastAsia="宋体"/>
              <w:lang w:eastAsia="zh-CN"/>
            </w:rPr>
            <w:delText>,</w:delText>
          </w:r>
        </w:del>
      </w:ins>
      <w:ins w:id="89" w:author="R2#123" w:date="2023-09-26T11:06:00Z">
        <w:r>
          <w:rPr>
            <w:rFonts w:eastAsia="宋体"/>
            <w:lang w:eastAsia="zh-CN"/>
          </w:rPr>
          <w:t xml:space="preserve"> </w:t>
        </w:r>
      </w:ins>
      <w:ins w:id="90" w:author="R2#123" w:date="2023-09-26T11:06:00Z">
        <w:del w:id="91" w:author="QC - R2#123b" w:date="2023-09-26T11:23:00Z">
          <w:r>
            <w:rPr>
              <w:rFonts w:eastAsia="宋体"/>
              <w:lang w:eastAsia="zh-CN"/>
            </w:rPr>
            <w:delText xml:space="preserve">which </w:delText>
          </w:r>
        </w:del>
      </w:ins>
      <w:ins w:id="92" w:author="R2#123" w:date="2023-09-26T11:06:00Z">
        <w:r>
          <w:rPr>
            <w:rFonts w:eastAsia="宋体"/>
            <w:lang w:eastAsia="zh-CN"/>
          </w:rPr>
          <w:t xml:space="preserve">includes a </w:t>
        </w:r>
      </w:ins>
      <w:ins w:id="93" w:author="R2#123" w:date="2023-09-26T11:06:00Z">
        <w:r>
          <w:rPr>
            <w:rFonts w:eastAsia="宋体"/>
            <w:i/>
            <w:iCs/>
            <w:lang w:eastAsia="zh-CN"/>
          </w:rPr>
          <w:t>mobile IAB-MT</w:t>
        </w:r>
      </w:ins>
      <w:ins w:id="94" w:author="R2#123" w:date="2023-09-26T11:06:00Z">
        <w:r>
          <w:rPr>
            <w:rFonts w:eastAsia="宋体"/>
            <w:lang w:eastAsia="zh-CN"/>
          </w:rPr>
          <w:t xml:space="preserve"> and a </w:t>
        </w:r>
      </w:ins>
      <w:ins w:id="95" w:author="R2#123" w:date="2023-09-26T11:06:00Z">
        <w:r>
          <w:rPr>
            <w:rFonts w:eastAsia="宋体"/>
            <w:i/>
            <w:iCs/>
            <w:lang w:eastAsia="zh-CN"/>
          </w:rPr>
          <w:t>mobile IAB-DU</w:t>
        </w:r>
      </w:ins>
      <w:ins w:id="96" w:author="R2#123" w:date="2023-09-26T11:06:00Z">
        <w:r>
          <w:rPr>
            <w:rFonts w:eastAsia="宋体"/>
            <w:lang w:eastAsia="zh-CN"/>
          </w:rPr>
          <w:t xml:space="preserve">. Mobile IAB supports the same functionality as IAB unless explicitly specified. The following enhancements/restrictions </w:t>
        </w:r>
      </w:ins>
      <w:ins w:id="97" w:author="R2#123" w:date="2023-09-26T11:06:00Z">
        <w:r>
          <w:rPr>
            <w:rFonts w:eastAsia="宋体"/>
            <w:i/>
            <w:iCs/>
            <w:lang w:eastAsia="zh-CN"/>
          </w:rPr>
          <w:t>only</w:t>
        </w:r>
      </w:ins>
      <w:ins w:id="98" w:author="R2#123" w:date="2023-09-26T11:06:00Z">
        <w:r>
          <w:rPr>
            <w:rFonts w:eastAsia="宋体"/>
            <w:lang w:eastAsia="zh-CN"/>
          </w:rPr>
          <w:t xml:space="preserve"> apply to mobile IAB:</w:t>
        </w:r>
      </w:ins>
    </w:p>
    <w:p>
      <w:pPr>
        <w:pStyle w:val="90"/>
        <w:numPr>
          <w:ilvl w:val="0"/>
          <w:numId w:val="5"/>
        </w:numPr>
        <w:contextualSpacing w:val="0"/>
        <w:rPr>
          <w:ins w:id="99" w:author="QC - R2#123b" w:date="2023-10-16T11:40:00Z"/>
          <w:rFonts w:eastAsia="宋体"/>
          <w:lang w:eastAsia="zh-CN"/>
        </w:rPr>
      </w:pPr>
      <w:ins w:id="100" w:author="QC - R2#123b" w:date="2023-10-16T11:40:00Z">
        <w:r>
          <w:rPr>
            <w:rFonts w:eastAsia="宋体"/>
            <w:lang w:eastAsia="zh-CN"/>
          </w:rPr>
          <w:t>The mobile IAB-node us</w:t>
        </w:r>
      </w:ins>
      <w:ins w:id="101" w:author="QC - R2#123b" w:date="2023-10-16T11:41:00Z">
        <w:r>
          <w:rPr>
            <w:rFonts w:eastAsia="宋体"/>
            <w:lang w:eastAsia="zh-CN"/>
          </w:rPr>
          <w:t xml:space="preserve">es a separate </w:t>
        </w:r>
      </w:ins>
      <w:ins w:id="102" w:author="QC - R2#123b" w:date="2023-10-16T11:41:00Z">
        <w:r>
          <w:rPr>
            <w:rFonts w:eastAsia="宋体"/>
            <w:i/>
            <w:iCs/>
            <w:lang w:eastAsia="zh-CN"/>
            <w:rPrChange w:id="103" w:author="QC - R2#123b" w:date="2023-10-16T11:41:00Z">
              <w:rPr>
                <w:rFonts w:eastAsia="宋体"/>
                <w:lang w:eastAsia="zh-CN"/>
              </w:rPr>
            </w:rPrChange>
          </w:rPr>
          <w:t>mobile-IAB authorization</w:t>
        </w:r>
      </w:ins>
      <w:ins w:id="104" w:author="QC - R2#123b" w:date="2023-10-16T11:41:00Z">
        <w:r>
          <w:rPr>
            <w:rFonts w:eastAsia="宋体"/>
            <w:lang w:eastAsia="zh-CN"/>
          </w:rPr>
          <w:t xml:space="preserve"> procedure as defined in TS </w:t>
        </w:r>
        <w:commentRangeStart w:id="5"/>
        <w:r>
          <w:rPr>
            <w:rFonts w:eastAsia="宋体"/>
            <w:lang w:eastAsia="zh-CN"/>
          </w:rPr>
          <w:t xml:space="preserve">38.401 </w:t>
        </w:r>
        <w:commentRangeEnd w:id="5"/>
      </w:ins>
      <w:ins w:id="105" w:author="QC - R2#123b" w:date="2023-10-16T11:42:00Z">
        <w:r>
          <w:rPr>
            <w:rStyle w:val="48"/>
            <w:lang w:eastAsia="en-US"/>
          </w:rPr>
          <w:commentReference w:id="5"/>
        </w:r>
      </w:ins>
      <w:ins w:id="106" w:author="QC - R2#123b" w:date="2023-10-16T11:41:00Z">
        <w:r>
          <w:rPr>
            <w:rFonts w:eastAsia="宋体"/>
            <w:lang w:eastAsia="zh-CN"/>
          </w:rPr>
          <w:t>[4]</w:t>
        </w:r>
      </w:ins>
      <w:ins w:id="107" w:author="QC - R2#123b" w:date="2023-10-16T12:14:00Z">
        <w:r>
          <w:rPr>
            <w:rFonts w:eastAsia="宋体"/>
            <w:lang w:eastAsia="zh-CN"/>
          </w:rPr>
          <w:t xml:space="preserve"> and TS 23.501 [3]</w:t>
        </w:r>
      </w:ins>
      <w:ins w:id="108" w:author="QC - R2#123b" w:date="2023-10-16T11:41:00Z">
        <w:r>
          <w:rPr>
            <w:rFonts w:eastAsia="宋体"/>
            <w:lang w:eastAsia="zh-CN"/>
          </w:rPr>
          <w:t>.</w:t>
        </w:r>
      </w:ins>
    </w:p>
    <w:p>
      <w:pPr>
        <w:pStyle w:val="90"/>
        <w:numPr>
          <w:ilvl w:val="0"/>
          <w:numId w:val="5"/>
        </w:numPr>
        <w:contextualSpacing w:val="0"/>
        <w:rPr>
          <w:ins w:id="109" w:author="QC - R2#123b" w:date="2023-10-16T12:49:00Z"/>
          <w:rFonts w:eastAsia="宋体"/>
          <w:lang w:eastAsia="zh-CN"/>
        </w:rPr>
      </w:pPr>
      <w:ins w:id="110" w:author="QC - R2#123b" w:date="2023-10-16T12:49:00Z">
        <w:commentRangeStart w:id="6"/>
        <w:commentRangeStart w:id="7"/>
        <w:commentRangeStart w:id="8"/>
        <w:r>
          <w:rPr>
            <w:rFonts w:eastAsia="宋体"/>
            <w:lang w:eastAsia="zh-CN"/>
          </w:rPr>
          <w:t>The mobile IAB-node can only connect to a RAN that supports mobile IAB.</w:t>
        </w:r>
        <w:commentRangeEnd w:id="6"/>
      </w:ins>
      <w:r>
        <w:rPr>
          <w:rStyle w:val="48"/>
          <w:lang w:eastAsia="en-US"/>
        </w:rPr>
        <w:commentReference w:id="6"/>
      </w:r>
      <w:commentRangeEnd w:id="7"/>
      <w:r>
        <w:rPr>
          <w:rStyle w:val="48"/>
          <w:lang w:eastAsia="en-US"/>
        </w:rPr>
        <w:commentReference w:id="7"/>
      </w:r>
      <w:commentRangeEnd w:id="8"/>
      <w:r>
        <w:commentReference w:id="8"/>
      </w:r>
    </w:p>
    <w:p>
      <w:pPr>
        <w:pStyle w:val="90"/>
        <w:numPr>
          <w:ilvl w:val="0"/>
          <w:numId w:val="5"/>
        </w:numPr>
        <w:contextualSpacing w:val="0"/>
        <w:rPr>
          <w:ins w:id="111" w:author="QC - R2#123b" w:date="2023-10-16T11:37:00Z"/>
          <w:rFonts w:eastAsia="宋体"/>
          <w:lang w:eastAsia="zh-CN"/>
        </w:rPr>
      </w:pPr>
      <w:ins w:id="112" w:author="QC R3#122v2" w:date="2023-10-19T10:35:00Z">
        <w:r>
          <w:rPr/>
          <w:t>A RAN node operating as a</w:t>
        </w:r>
      </w:ins>
      <w:ins w:id="113" w:author="QC - R2#123b" w:date="2023-10-16T11:37:00Z">
        <w:del w:id="114" w:author="QC R3#122v2" w:date="2023-10-19T10:35:00Z">
          <w:commentRangeStart w:id="9"/>
          <w:commentRangeStart w:id="10"/>
          <w:commentRangeStart w:id="11"/>
          <w:commentRangeStart w:id="12"/>
          <w:r>
            <w:rPr/>
            <w:delText>The</w:delText>
          </w:r>
        </w:del>
      </w:ins>
      <w:ins w:id="115" w:author="QC - R2#123b" w:date="2023-10-16T11:37:00Z">
        <w:r>
          <w:rPr/>
          <w:t xml:space="preserve"> mobile IAB-node </w:t>
        </w:r>
      </w:ins>
      <w:ins w:id="116" w:author="QC - R2#123b" w:date="2023-10-16T11:37:00Z">
        <w:del w:id="117" w:author="QC R3#122v2" w:date="2023-10-19T10:35:00Z">
          <w:r>
            <w:rPr/>
            <w:delText>cannot</w:delText>
          </w:r>
        </w:del>
      </w:ins>
      <w:ins w:id="118" w:author="QC R3#122v2" w:date="2023-10-19T10:35:00Z">
        <w:r>
          <w:rPr/>
          <w:t>shall not</w:t>
        </w:r>
      </w:ins>
      <w:ins w:id="119" w:author="QC - R2#123b" w:date="2023-10-16T11:37:00Z">
        <w:r>
          <w:rPr/>
          <w:t xml:space="preserve"> </w:t>
        </w:r>
      </w:ins>
      <w:ins w:id="120" w:author="QC - R2#123b" w:date="2023-10-16T11:37:00Z">
        <w:del w:id="121" w:author="Milos Tesanovic/5G Standards (CRT) /SRUK/Staff Engineer/Samsung Electronics" w:date="2023-10-19T10:20:00Z">
          <w:r>
            <w:rPr/>
            <w:delText>concurrenlty</w:delText>
          </w:r>
        </w:del>
      </w:ins>
      <w:ins w:id="122" w:author="Milos Tesanovic/5G Standards (CRT) /SRUK/Staff Engineer/Samsung Electronics" w:date="2023-10-19T10:20:00Z">
        <w:r>
          <w:rPr/>
          <w:t>concurrently</w:t>
        </w:r>
      </w:ins>
      <w:ins w:id="123" w:author="QC - R2#123b" w:date="2023-10-16T11:37:00Z">
        <w:r>
          <w:rPr/>
          <w:t xml:space="preserve"> operate as an IAB-node</w:t>
        </w:r>
        <w:commentRangeEnd w:id="9"/>
      </w:ins>
      <w:r>
        <w:rPr>
          <w:rStyle w:val="48"/>
          <w:lang w:eastAsia="en-US"/>
        </w:rPr>
        <w:commentReference w:id="9"/>
      </w:r>
      <w:commentRangeEnd w:id="10"/>
      <w:r>
        <w:rPr>
          <w:rStyle w:val="48"/>
          <w:lang w:eastAsia="en-US"/>
        </w:rPr>
        <w:commentReference w:id="10"/>
      </w:r>
      <w:commentRangeEnd w:id="11"/>
      <w:r>
        <w:rPr>
          <w:rStyle w:val="48"/>
          <w:lang w:eastAsia="en-US"/>
        </w:rPr>
        <w:commentReference w:id="11"/>
      </w:r>
      <w:commentRangeEnd w:id="12"/>
      <w:r>
        <w:rPr>
          <w:rStyle w:val="48"/>
          <w:lang w:eastAsia="en-US"/>
        </w:rPr>
        <w:commentReference w:id="12"/>
      </w:r>
      <w:ins w:id="124" w:author="QC - R2#123b" w:date="2023-10-16T11:37:00Z">
        <w:r>
          <w:rPr/>
          <w:t>.</w:t>
        </w:r>
      </w:ins>
    </w:p>
    <w:p>
      <w:pPr>
        <w:pStyle w:val="90"/>
        <w:numPr>
          <w:ilvl w:val="0"/>
          <w:numId w:val="5"/>
        </w:numPr>
        <w:contextualSpacing w:val="0"/>
        <w:rPr>
          <w:ins w:id="125" w:author="R2#123" w:date="2023-09-26T11:06:00Z"/>
          <w:rFonts w:eastAsia="宋体"/>
          <w:lang w:eastAsia="zh-CN"/>
        </w:rPr>
      </w:pPr>
      <w:ins w:id="126" w:author="R2#123" w:date="2023-09-26T11:06:00Z">
        <w:r>
          <w:rPr/>
          <w:t xml:space="preserve">The mobile IAB-node </w:t>
        </w:r>
      </w:ins>
      <w:ins w:id="127" w:author="R2#123" w:date="2023-09-26T11:06:00Z">
        <w:del w:id="128" w:author="QC R3#122v2" w:date="2023-10-19T10:35:00Z">
          <w:r>
            <w:rPr/>
            <w:delText>cannot</w:delText>
          </w:r>
        </w:del>
      </w:ins>
      <w:ins w:id="129" w:author="QC R3#122v2" w:date="2023-10-19T10:35:00Z">
        <w:r>
          <w:rPr/>
          <w:t>shall not</w:t>
        </w:r>
      </w:ins>
      <w:ins w:id="130" w:author="R2#123" w:date="2023-09-26T11:06:00Z">
        <w:r>
          <w:rPr/>
          <w:t xml:space="preserve"> have descendent nodes.</w:t>
        </w:r>
      </w:ins>
      <w:ins w:id="131" w:author="QC - R2#123b" w:date="2023-10-16T12:51:00Z">
        <w:r>
          <w:rPr/>
          <w:t xml:space="preserve"> </w:t>
        </w:r>
      </w:ins>
      <w:ins w:id="132" w:author="QC - R2#123b" w:date="2023-10-16T13:01:00Z">
        <w:commentRangeStart w:id="13"/>
        <w:commentRangeStart w:id="14"/>
        <w:r>
          <w:rPr/>
          <w:t>A mobile-IAB cell</w:t>
        </w:r>
      </w:ins>
      <w:ins w:id="133" w:author="QC - R2#123b" w:date="2023-10-16T12:54:00Z">
        <w:r>
          <w:rPr/>
          <w:t xml:space="preserve"> shall</w:t>
        </w:r>
      </w:ins>
      <w:ins w:id="134" w:author="QC - R2#123b" w:date="2023-10-16T12:52:00Z">
        <w:r>
          <w:rPr/>
          <w:t xml:space="preserve"> </w:t>
        </w:r>
      </w:ins>
      <w:ins w:id="135" w:author="QC - R2#123b" w:date="2023-10-16T14:16:00Z">
        <w:r>
          <w:rPr/>
          <w:t xml:space="preserve">therefore </w:t>
        </w:r>
      </w:ins>
      <w:ins w:id="136" w:author="QC - R2#123b" w:date="2023-10-16T12:52:00Z">
        <w:r>
          <w:rPr/>
          <w:t xml:space="preserve">not broadcast </w:t>
        </w:r>
      </w:ins>
      <w:ins w:id="137" w:author="QC - R2#123b" w:date="2023-10-16T14:30:00Z">
        <w:r>
          <w:rPr/>
          <w:t xml:space="preserve">any indication that it is a suitable </w:t>
        </w:r>
      </w:ins>
      <w:ins w:id="138" w:author="QC - R2#123b" w:date="2023-10-16T14:29:00Z">
        <w:r>
          <w:rPr/>
          <w:t>parent</w:t>
        </w:r>
      </w:ins>
      <w:ins w:id="139" w:author="QC - R2#123b" w:date="2023-10-16T14:31:00Z">
        <w:r>
          <w:rPr/>
          <w:t xml:space="preserve"> </w:t>
        </w:r>
      </w:ins>
      <w:ins w:id="140" w:author="QC - R2#123b" w:date="2023-10-16T14:29:00Z">
        <w:r>
          <w:rPr/>
          <w:t>node for IAB</w:t>
        </w:r>
      </w:ins>
      <w:ins w:id="141" w:author="QC - R2#123b" w:date="2023-10-16T14:16:00Z">
        <w:r>
          <w:rPr/>
          <w:t xml:space="preserve"> </w:t>
        </w:r>
      </w:ins>
      <w:ins w:id="142" w:author="QC - R2#123b" w:date="2023-10-16T12:52:00Z">
        <w:r>
          <w:rPr/>
          <w:t>o</w:t>
        </w:r>
      </w:ins>
      <w:ins w:id="143" w:author="QC - R2#123b" w:date="2023-10-16T12:55:00Z">
        <w:r>
          <w:rPr/>
          <w:t>r</w:t>
        </w:r>
      </w:ins>
      <w:ins w:id="144" w:author="QC - R2#123b" w:date="2023-10-16T12:52:00Z">
        <w:r>
          <w:rPr/>
          <w:t xml:space="preserve"> </w:t>
        </w:r>
      </w:ins>
      <w:ins w:id="145" w:author="QC - R2#123b" w:date="2023-10-16T12:53:00Z">
        <w:r>
          <w:rPr/>
          <w:t>mobile</w:t>
        </w:r>
      </w:ins>
      <w:ins w:id="146" w:author="QC - R2#123b" w:date="2023-10-16T14:30:00Z">
        <w:r>
          <w:rPr/>
          <w:t xml:space="preserve"> </w:t>
        </w:r>
      </w:ins>
      <w:ins w:id="147" w:author="QC - R2#123b" w:date="2023-10-16T12:53:00Z">
        <w:r>
          <w:rPr/>
          <w:t>IAB.</w:t>
        </w:r>
      </w:ins>
      <w:ins w:id="148" w:author="QC - R2#123b" w:date="2023-10-16T12:52:00Z">
        <w:r>
          <w:rPr/>
          <w:t xml:space="preserve"> </w:t>
        </w:r>
      </w:ins>
      <w:ins w:id="149" w:author="QC - R2#123b" w:date="2023-10-16T12:48:00Z">
        <w:r>
          <w:rPr/>
          <w:t xml:space="preserve"> </w:t>
        </w:r>
        <w:commentRangeEnd w:id="13"/>
      </w:ins>
      <w:r>
        <w:rPr>
          <w:rStyle w:val="48"/>
          <w:lang w:eastAsia="en-US"/>
        </w:rPr>
        <w:commentReference w:id="13"/>
      </w:r>
      <w:commentRangeEnd w:id="14"/>
      <w:r>
        <w:rPr>
          <w:rStyle w:val="48"/>
          <w:lang w:eastAsia="en-US"/>
        </w:rPr>
        <w:commentReference w:id="14"/>
      </w:r>
    </w:p>
    <w:p>
      <w:pPr>
        <w:pStyle w:val="90"/>
        <w:numPr>
          <w:ilvl w:val="0"/>
          <w:numId w:val="5"/>
        </w:numPr>
        <w:contextualSpacing w:val="0"/>
        <w:rPr>
          <w:ins w:id="150" w:author="R2#123" w:date="2023-09-26T11:06:00Z"/>
          <w:rFonts w:eastAsia="宋体"/>
          <w:lang w:eastAsia="zh-CN"/>
        </w:rPr>
      </w:pPr>
      <w:ins w:id="151" w:author="R2#123" w:date="2023-09-26T11:06:00Z">
        <w:r>
          <w:rPr>
            <w:rFonts w:eastAsia="宋体"/>
            <w:lang w:eastAsia="zh-CN"/>
          </w:rPr>
          <w:t xml:space="preserve">The mobile IAB-node uses </w:t>
        </w:r>
      </w:ins>
      <w:ins w:id="152" w:author="QC - R2#123b" w:date="2023-10-16T11:17:00Z">
        <w:r>
          <w:rPr>
            <w:rFonts w:eastAsia="宋体"/>
            <w:lang w:eastAsia="zh-CN"/>
          </w:rPr>
          <w:t>the</w:t>
        </w:r>
      </w:ins>
      <w:ins w:id="153" w:author="R2#123" w:date="2023-09-26T11:06:00Z">
        <w:del w:id="154" w:author="QC - R2#123b" w:date="2023-10-16T11:17:00Z">
          <w:r>
            <w:rPr>
              <w:rFonts w:eastAsia="宋体"/>
              <w:lang w:eastAsia="zh-CN"/>
            </w:rPr>
            <w:delText>an</w:delText>
          </w:r>
        </w:del>
      </w:ins>
      <w:ins w:id="155" w:author="R2#123" w:date="2023-09-26T11:06:00Z">
        <w:r>
          <w:rPr>
            <w:rFonts w:eastAsia="宋体"/>
            <w:lang w:eastAsia="zh-CN"/>
          </w:rPr>
          <w:t xml:space="preserve"> </w:t>
        </w:r>
      </w:ins>
      <w:ins w:id="156" w:author="R2#123" w:date="2023-09-26T11:06:00Z">
        <w:del w:id="157" w:author="QC - R2#123b" w:date="2023-10-16T11:17:00Z">
          <w:r>
            <w:rPr>
              <w:rFonts w:eastAsia="宋体"/>
              <w:lang w:eastAsia="zh-CN"/>
            </w:rPr>
            <w:delText xml:space="preserve">enhanced </w:delText>
          </w:r>
        </w:del>
      </w:ins>
      <w:ins w:id="158" w:author="QC - R2#123b" w:date="2023-10-16T11:26:00Z">
        <w:r>
          <w:rPr>
            <w:rFonts w:eastAsia="宋体"/>
            <w:i/>
            <w:iCs/>
            <w:lang w:eastAsia="zh-CN"/>
            <w:rPrChange w:id="159" w:author="QC - R2#123b" w:date="2023-10-16T11:26:00Z">
              <w:rPr>
                <w:rFonts w:eastAsia="宋体"/>
                <w:lang w:eastAsia="zh-CN"/>
              </w:rPr>
            </w:rPrChange>
          </w:rPr>
          <w:t xml:space="preserve">mobile IAB-node </w:t>
        </w:r>
      </w:ins>
      <w:ins w:id="160" w:author="R2#123" w:date="2023-09-26T11:06:00Z">
        <w:r>
          <w:rPr>
            <w:rFonts w:eastAsia="宋体"/>
            <w:i/>
            <w:iCs/>
            <w:lang w:eastAsia="zh-CN"/>
            <w:rPrChange w:id="161" w:author="QC - R2#123b" w:date="2023-10-16T11:26:00Z">
              <w:rPr>
                <w:rFonts w:eastAsia="宋体"/>
                <w:lang w:eastAsia="zh-CN"/>
              </w:rPr>
            </w:rPrChange>
          </w:rPr>
          <w:t>network integration</w:t>
        </w:r>
      </w:ins>
      <w:ins w:id="162" w:author="R2#123" w:date="2023-09-26T11:06:00Z">
        <w:r>
          <w:rPr>
            <w:rFonts w:eastAsia="宋体"/>
            <w:lang w:eastAsia="zh-CN"/>
          </w:rPr>
          <w:t xml:space="preserve"> procedure as defined in </w:t>
        </w:r>
        <w:bookmarkStart w:id="50" w:name="_GoBack"/>
        <w:bookmarkEnd w:id="50"/>
        <w:r>
          <w:rPr>
            <w:rFonts w:eastAsia="宋体"/>
            <w:lang w:eastAsia="zh-CN"/>
          </w:rPr>
          <w:t xml:space="preserve">TS </w:t>
        </w:r>
        <w:commentRangeStart w:id="15"/>
        <w:r>
          <w:rPr>
            <w:rFonts w:eastAsia="宋体"/>
            <w:lang w:eastAsia="zh-CN"/>
          </w:rPr>
          <w:t xml:space="preserve">38.401 </w:t>
        </w:r>
        <w:commentRangeEnd w:id="15"/>
      </w:ins>
      <w:r>
        <w:rPr>
          <w:rStyle w:val="48"/>
          <w:lang w:eastAsia="en-US"/>
        </w:rPr>
        <w:commentReference w:id="15"/>
      </w:r>
      <w:ins w:id="163" w:author="R2#123" w:date="2023-09-26T11:06:00Z">
        <w:r>
          <w:rPr>
            <w:rFonts w:eastAsia="宋体"/>
            <w:lang w:eastAsia="zh-CN"/>
          </w:rPr>
          <w:t>[4].</w:t>
        </w:r>
      </w:ins>
      <w:ins w:id="164" w:author="QC - R2#123b" w:date="2023-10-16T11:26:00Z">
        <w:r>
          <w:rPr>
            <w:rFonts w:eastAsia="宋体"/>
            <w:lang w:eastAsia="zh-CN"/>
          </w:rPr>
          <w:t xml:space="preserve"> </w:t>
        </w:r>
      </w:ins>
    </w:p>
    <w:p>
      <w:pPr>
        <w:pStyle w:val="90"/>
        <w:contextualSpacing w:val="0"/>
        <w:rPr>
          <w:ins w:id="165" w:author="R2#123" w:date="2023-09-26T11:06:00Z"/>
          <w:del w:id="166" w:author="QC - R2#123b" w:date="2023-10-16T11:17:00Z"/>
          <w:rFonts w:eastAsia="宋体"/>
          <w:color w:val="FF0000"/>
          <w:lang w:eastAsia="zh-CN"/>
        </w:rPr>
      </w:pPr>
      <w:ins w:id="167" w:author="R2#123" w:date="2023-09-26T11:06:00Z">
        <w:del w:id="168" w:author="QC - R2#123b" w:date="2023-10-16T11:17:00Z">
          <w:r>
            <w:rPr>
              <w:rFonts w:eastAsia="宋体"/>
              <w:color w:val="FF0000"/>
              <w:lang w:eastAsia="zh-CN"/>
            </w:rPr>
            <w:delText>Editor’s NOTE: The exact terminology to be aligned with TS 38.401.</w:delText>
          </w:r>
        </w:del>
      </w:ins>
    </w:p>
    <w:p>
      <w:pPr>
        <w:pStyle w:val="90"/>
        <w:contextualSpacing w:val="0"/>
        <w:rPr>
          <w:ins w:id="169" w:author="R2#123" w:date="2023-09-26T11:06:00Z"/>
          <w:del w:id="170" w:author="QC - R2#123b" w:date="2023-10-16T11:18:00Z"/>
          <w:rFonts w:eastAsia="宋体"/>
          <w:color w:val="FF0000"/>
          <w:lang w:eastAsia="zh-CN"/>
        </w:rPr>
      </w:pPr>
      <w:ins w:id="171" w:author="R2#123" w:date="2023-09-26T11:06:00Z">
        <w:del w:id="172" w:author="QC - R2#123b" w:date="2023-10-16T11:18:00Z">
          <w:r>
            <w:rPr>
              <w:rFonts w:eastAsia="宋体"/>
              <w:color w:val="FF0000"/>
              <w:lang w:eastAsia="zh-CN"/>
            </w:rPr>
            <w:delText>Editor’s NOTE: From RAN2 perspective, the network integration procedure for mobile IAB-node has to include the mobile-IAB-indication in Msg. 5. It may include other mobile-IAB-specific enhancements.</w:delText>
          </w:r>
        </w:del>
      </w:ins>
    </w:p>
    <w:p>
      <w:pPr>
        <w:pStyle w:val="90"/>
        <w:numPr>
          <w:ilvl w:val="0"/>
          <w:numId w:val="5"/>
        </w:numPr>
        <w:contextualSpacing w:val="0"/>
        <w:rPr>
          <w:ins w:id="173" w:author="R2#123" w:date="2023-09-26T11:06:00Z"/>
          <w:rFonts w:eastAsia="宋体"/>
          <w:lang w:eastAsia="zh-CN"/>
        </w:rPr>
      </w:pPr>
      <w:ins w:id="174" w:author="R2#123" w:date="2023-09-26T11:06:00Z">
        <w:r>
          <w:rPr/>
          <w:t xml:space="preserve">The mobile IAB-MT can perform the </w:t>
        </w:r>
      </w:ins>
      <w:ins w:id="175" w:author="R2#123" w:date="2023-09-26T11:06:00Z">
        <w:r>
          <w:rPr>
            <w:i/>
            <w:iCs/>
          </w:rPr>
          <w:t>mobile IAB-MT migration</w:t>
        </w:r>
      </w:ins>
      <w:ins w:id="176" w:author="R2#123" w:date="2023-09-26T11:06:00Z">
        <w:r>
          <w:rPr/>
          <w:t xml:space="preserve"> procedure</w:t>
        </w:r>
      </w:ins>
      <w:ins w:id="177" w:author="QC - R2#123b" w:date="2023-10-16T11:19:00Z">
        <w:r>
          <w:rPr/>
          <w:t>s via Xn handover and/or via NG handover</w:t>
        </w:r>
      </w:ins>
      <w:ins w:id="178" w:author="R2#123" w:date="2023-09-26T11:06:00Z">
        <w:r>
          <w:rPr/>
          <w:t xml:space="preserve"> as defined in </w:t>
        </w:r>
        <w:commentRangeStart w:id="16"/>
        <w:r>
          <w:rPr/>
          <w:t xml:space="preserve">TS 38.401 </w:t>
        </w:r>
        <w:commentRangeEnd w:id="16"/>
      </w:ins>
      <w:r>
        <w:rPr>
          <w:rStyle w:val="48"/>
          <w:lang w:eastAsia="en-US"/>
        </w:rPr>
        <w:commentReference w:id="16"/>
      </w:r>
      <w:ins w:id="179" w:author="R2#123" w:date="2023-09-26T11:06:00Z">
        <w:r>
          <w:rPr/>
          <w:t>[4].</w:t>
        </w:r>
      </w:ins>
    </w:p>
    <w:p>
      <w:pPr>
        <w:pStyle w:val="90"/>
        <w:numPr>
          <w:ilvl w:val="0"/>
          <w:numId w:val="5"/>
        </w:numPr>
        <w:contextualSpacing w:val="0"/>
        <w:rPr>
          <w:ins w:id="180" w:author="R2#123" w:date="2023-09-26T11:06:00Z"/>
          <w:del w:id="181" w:author="QC - R2#123b" w:date="2023-10-16T11:20:00Z"/>
          <w:rFonts w:eastAsia="宋体"/>
          <w:lang w:eastAsia="zh-CN"/>
        </w:rPr>
      </w:pPr>
      <w:ins w:id="182" w:author="R2#123" w:date="2023-09-26T11:06:00Z">
        <w:del w:id="183" w:author="QC - R2#123b" w:date="2023-10-16T11:20:00Z">
          <w:r>
            <w:rPr/>
            <w:delText>The mobile IAB-MT can perform both, Xn and NG handover.</w:delText>
          </w:r>
        </w:del>
      </w:ins>
    </w:p>
    <w:p>
      <w:pPr>
        <w:pStyle w:val="90"/>
        <w:ind w:left="1440"/>
        <w:contextualSpacing w:val="0"/>
        <w:rPr>
          <w:ins w:id="184" w:author="R2#123" w:date="2023-09-26T11:06:00Z"/>
          <w:del w:id="185" w:author="QC - R2#123b" w:date="2023-10-16T11:20:00Z"/>
          <w:rFonts w:eastAsia="宋体"/>
          <w:color w:val="FF0000"/>
          <w:lang w:eastAsia="zh-CN"/>
        </w:rPr>
      </w:pPr>
      <w:ins w:id="186" w:author="R2#123" w:date="2023-09-26T11:06:00Z">
        <w:del w:id="187" w:author="QC - R2#123b" w:date="2023-10-16T11:20:00Z">
          <w:r>
            <w:rPr>
              <w:color w:val="FF0000"/>
            </w:rPr>
            <w:delText>Editor’s NOTE: FFS if mobile IAB-MT migration can use NG handover.</w:delText>
          </w:r>
        </w:del>
      </w:ins>
    </w:p>
    <w:p>
      <w:pPr>
        <w:pStyle w:val="90"/>
        <w:numPr>
          <w:ilvl w:val="0"/>
          <w:numId w:val="5"/>
        </w:numPr>
        <w:contextualSpacing w:val="0"/>
        <w:rPr>
          <w:ins w:id="188" w:author="QC - R2#123b" w:date="2023-10-16T11:28:00Z"/>
          <w:rFonts w:eastAsia="宋体"/>
          <w:lang w:eastAsia="zh-CN"/>
        </w:rPr>
      </w:pPr>
      <w:ins w:id="189" w:author="R2#123" w:date="2023-09-26T11:06:00Z">
        <w:r>
          <w:rPr>
            <w:rFonts w:eastAsia="宋体"/>
            <w:lang w:eastAsia="zh-CN"/>
          </w:rPr>
          <w:t xml:space="preserve">The mobile IAB-node can perform </w:t>
        </w:r>
      </w:ins>
      <w:ins w:id="190" w:author="R2#123" w:date="2023-09-26T11:06:00Z">
        <w:del w:id="191" w:author="QC - R2#123b" w:date="2023-10-16T11:21:00Z">
          <w:r>
            <w:rPr>
              <w:rFonts w:eastAsia="宋体"/>
              <w:lang w:eastAsia="zh-CN"/>
            </w:rPr>
            <w:delText>a</w:delText>
          </w:r>
        </w:del>
      </w:ins>
      <w:ins w:id="192" w:author="QC - R2#123b" w:date="2023-10-16T11:21:00Z">
        <w:r>
          <w:rPr>
            <w:rFonts w:eastAsia="宋体"/>
            <w:lang w:eastAsia="zh-CN"/>
          </w:rPr>
          <w:t>the</w:t>
        </w:r>
      </w:ins>
      <w:ins w:id="193" w:author="R2#123" w:date="2023-09-26T11:06:00Z">
        <w:r>
          <w:rPr>
            <w:rFonts w:eastAsia="宋体"/>
            <w:lang w:eastAsia="zh-CN"/>
          </w:rPr>
          <w:t xml:space="preserve"> </w:t>
        </w:r>
      </w:ins>
      <w:ins w:id="194" w:author="QC - R2#123b" w:date="2023-10-16T11:21:00Z">
        <w:r>
          <w:rPr>
            <w:rFonts w:eastAsia="宋体"/>
            <w:i/>
            <w:iCs/>
            <w:lang w:eastAsia="zh-CN"/>
            <w:rPrChange w:id="195" w:author="QC - R2#123b" w:date="2023-10-16T11:22:00Z">
              <w:rPr>
                <w:rFonts w:eastAsia="宋体"/>
                <w:lang w:eastAsia="zh-CN"/>
              </w:rPr>
            </w:rPrChange>
          </w:rPr>
          <w:t>mobile IAB-</w:t>
        </w:r>
      </w:ins>
      <w:ins w:id="196" w:author="R2#123" w:date="2023-09-26T11:06:00Z">
        <w:r>
          <w:rPr>
            <w:rFonts w:eastAsia="宋体"/>
            <w:i/>
            <w:iCs/>
            <w:lang w:eastAsia="zh-CN"/>
          </w:rPr>
          <w:t xml:space="preserve">DU migration </w:t>
        </w:r>
      </w:ins>
      <w:ins w:id="197" w:author="R2#123" w:date="2023-09-26T11:06:00Z">
        <w:r>
          <w:rPr>
            <w:rFonts w:eastAsia="宋体"/>
            <w:lang w:eastAsia="zh-CN"/>
          </w:rPr>
          <w:t xml:space="preserve">procedure, where </w:t>
        </w:r>
        <w:commentRangeStart w:id="17"/>
        <w:r>
          <w:rPr>
            <w:rFonts w:eastAsia="宋体"/>
            <w:lang w:eastAsia="zh-CN"/>
          </w:rPr>
          <w:t xml:space="preserve">a new logical mobile IAB-DU is established on the mobile IAB-node and the </w:t>
        </w:r>
      </w:ins>
      <w:ins w:id="198" w:author="R2#123" w:date="2023-09-26T11:06:00Z">
        <w:del w:id="199" w:author="QC - R2#123b" w:date="2023-10-16T11:50:00Z">
          <w:r>
            <w:rPr>
              <w:rFonts w:eastAsia="宋体"/>
              <w:lang w:eastAsia="zh-CN"/>
            </w:rPr>
            <w:delText>old</w:delText>
          </w:r>
        </w:del>
      </w:ins>
      <w:ins w:id="200" w:author="QC - R2#123b" w:date="2023-10-16T11:50:00Z">
        <w:r>
          <w:rPr>
            <w:rFonts w:eastAsia="宋体"/>
            <w:lang w:eastAsia="zh-CN"/>
          </w:rPr>
          <w:t>initial</w:t>
        </w:r>
      </w:ins>
      <w:ins w:id="201" w:author="R2#123" w:date="2023-09-26T11:06:00Z">
        <w:r>
          <w:rPr>
            <w:rFonts w:eastAsia="宋体"/>
            <w:lang w:eastAsia="zh-CN"/>
          </w:rPr>
          <w:t xml:space="preserve"> logical mobile IAB-DU is released</w:t>
        </w:r>
        <w:commentRangeEnd w:id="17"/>
      </w:ins>
      <w:r>
        <w:commentReference w:id="17"/>
      </w:r>
      <w:ins w:id="202" w:author="R2#123" w:date="2023-09-26T11:06:00Z">
        <w:r>
          <w:rPr>
            <w:rFonts w:eastAsia="宋体"/>
            <w:lang w:eastAsia="zh-CN"/>
          </w:rPr>
          <w:t xml:space="preserve">. During this procedure, the UEs connected via the mobile IAB-node are handed over from the </w:t>
        </w:r>
      </w:ins>
      <w:ins w:id="203" w:author="R2#123" w:date="2023-09-26T11:06:00Z">
        <w:del w:id="204" w:author="QC - R2#123b" w:date="2023-10-16T11:50:00Z">
          <w:r>
            <w:rPr>
              <w:rFonts w:eastAsia="宋体"/>
              <w:lang w:eastAsia="zh-CN"/>
            </w:rPr>
            <w:delText>old</w:delText>
          </w:r>
        </w:del>
      </w:ins>
      <w:ins w:id="205" w:author="QC - R2#123b" w:date="2023-10-16T11:50:00Z">
        <w:r>
          <w:rPr>
            <w:rFonts w:eastAsia="宋体"/>
            <w:lang w:eastAsia="zh-CN"/>
          </w:rPr>
          <w:t>initial</w:t>
        </w:r>
      </w:ins>
      <w:ins w:id="206" w:author="R2#123" w:date="2023-09-26T11:06:00Z">
        <w:r>
          <w:rPr>
            <w:rFonts w:eastAsia="宋体"/>
            <w:lang w:eastAsia="zh-CN"/>
          </w:rPr>
          <w:t xml:space="preserve"> logical mobile IAB-DU</w:t>
        </w:r>
      </w:ins>
      <w:ins w:id="207" w:author="QC - R2#123b" w:date="2023-10-16T11:52:00Z">
        <w:r>
          <w:rPr>
            <w:rFonts w:eastAsia="宋体"/>
            <w:lang w:eastAsia="zh-CN"/>
          </w:rPr>
          <w:t>, referred to as the source logical mIAB-DU,</w:t>
        </w:r>
      </w:ins>
      <w:ins w:id="208" w:author="R2#123" w:date="2023-09-26T11:06:00Z">
        <w:r>
          <w:rPr>
            <w:rFonts w:eastAsia="宋体"/>
            <w:lang w:eastAsia="zh-CN"/>
          </w:rPr>
          <w:t xml:space="preserve"> to the new logical mobile IAB-DU</w:t>
        </w:r>
      </w:ins>
      <w:ins w:id="209" w:author="QC - R2#123b" w:date="2023-10-16T11:52:00Z">
        <w:r>
          <w:rPr>
            <w:rFonts w:eastAsia="宋体"/>
            <w:lang w:eastAsia="zh-CN"/>
          </w:rPr>
          <w:t>, referred to as</w:t>
        </w:r>
      </w:ins>
      <w:ins w:id="210" w:author="Milos Tesanovic/5G Standards (CRT) /SRUK/Staff Engineer/Samsung Electronics" w:date="2023-10-19T10:21:00Z">
        <w:r>
          <w:rPr>
            <w:rFonts w:eastAsia="宋体"/>
            <w:lang w:eastAsia="zh-CN"/>
          </w:rPr>
          <w:t xml:space="preserve"> the</w:t>
        </w:r>
      </w:ins>
      <w:ins w:id="211" w:author="QC - R2#123b" w:date="2023-10-16T11:52:00Z">
        <w:r>
          <w:rPr>
            <w:rFonts w:eastAsia="宋体"/>
            <w:lang w:eastAsia="zh-CN"/>
          </w:rPr>
          <w:t xml:space="preserve"> target logical mIAB-DU</w:t>
        </w:r>
      </w:ins>
      <w:ins w:id="212" w:author="R2#123" w:date="2023-09-26T11:06:00Z">
        <w:r>
          <w:rPr>
            <w:rFonts w:eastAsia="宋体"/>
            <w:lang w:eastAsia="zh-CN"/>
          </w:rPr>
          <w:t>. The details of this procedure are defined in TS 38.401 [4].</w:t>
        </w:r>
      </w:ins>
      <w:ins w:id="213" w:author="QC - R2#123b" w:date="2023-10-16T12:33:00Z">
        <w:r>
          <w:rPr>
            <w:rFonts w:eastAsia="宋体"/>
            <w:lang w:eastAsia="zh-CN"/>
          </w:rPr>
          <w:t xml:space="preserve"> Enhancements related to BAP </w:t>
        </w:r>
      </w:ins>
      <w:ins w:id="214" w:author="QC - R2#123b" w:date="2023-10-16T12:34:00Z">
        <w:r>
          <w:rPr>
            <w:rFonts w:eastAsia="宋体"/>
            <w:lang w:eastAsia="zh-CN"/>
          </w:rPr>
          <w:t>for mobile IAB-</w:t>
        </w:r>
      </w:ins>
      <w:ins w:id="215" w:author="QC - R2#123b" w:date="2023-10-16T12:34:00Z">
        <w:del w:id="216" w:author="Milos Tesanovic/5G Standards (CRT) /SRUK/Staff Engineer/Samsung Electronics" w:date="2023-10-19T10:21:00Z">
          <w:r>
            <w:rPr>
              <w:rFonts w:eastAsia="宋体"/>
              <w:lang w:eastAsia="zh-CN"/>
            </w:rPr>
            <w:delText>Du</w:delText>
          </w:r>
        </w:del>
      </w:ins>
      <w:ins w:id="217" w:author="Milos Tesanovic/5G Standards (CRT) /SRUK/Staff Engineer/Samsung Electronics" w:date="2023-10-19T10:21:00Z">
        <w:r>
          <w:rPr>
            <w:rFonts w:eastAsia="宋体"/>
            <w:lang w:eastAsia="zh-CN"/>
          </w:rPr>
          <w:t>DU</w:t>
        </w:r>
      </w:ins>
      <w:ins w:id="218" w:author="QC - R2#123b" w:date="2023-10-16T12:34:00Z">
        <w:r>
          <w:rPr>
            <w:rFonts w:eastAsia="宋体"/>
            <w:lang w:eastAsia="zh-CN"/>
          </w:rPr>
          <w:t xml:space="preserve"> migration are </w:t>
        </w:r>
      </w:ins>
      <w:ins w:id="219" w:author="QC - R2#123b" w:date="2023-10-16T12:55:00Z">
        <w:r>
          <w:rPr>
            <w:rFonts w:eastAsia="宋体"/>
            <w:lang w:eastAsia="zh-CN"/>
          </w:rPr>
          <w:t>defined</w:t>
        </w:r>
      </w:ins>
      <w:ins w:id="220" w:author="QC - R2#123b" w:date="2023-10-16T12:34:00Z">
        <w:r>
          <w:rPr>
            <w:rFonts w:eastAsia="宋体"/>
            <w:lang w:eastAsia="zh-CN"/>
          </w:rPr>
          <w:t xml:space="preserve"> in TS 38.340 [</w:t>
        </w:r>
      </w:ins>
      <w:ins w:id="221" w:author="QC - R2#123b" w:date="2023-10-16T12:35:00Z">
        <w:r>
          <w:rPr>
            <w:rFonts w:eastAsia="宋体"/>
            <w:lang w:eastAsia="zh-CN"/>
          </w:rPr>
          <w:t>31</w:t>
        </w:r>
      </w:ins>
      <w:ins w:id="222" w:author="QC - R2#123b" w:date="2023-10-16T12:34:00Z">
        <w:r>
          <w:rPr>
            <w:rFonts w:eastAsia="宋体"/>
            <w:lang w:eastAsia="zh-CN"/>
          </w:rPr>
          <w:t>].</w:t>
        </w:r>
      </w:ins>
    </w:p>
    <w:p>
      <w:pPr>
        <w:ind w:left="852"/>
        <w:rPr>
          <w:ins w:id="224" w:author="R2#123" w:date="2023-09-26T11:06:00Z"/>
          <w:del w:id="225" w:author="QC - R2#123b" w:date="2023-10-16T12:55:00Z"/>
          <w:color w:val="FF0000"/>
        </w:rPr>
        <w:pPrChange w:id="223" w:author="QC - R2#123b" w:date="2023-10-16T11:43:00Z">
          <w:pPr>
            <w:ind w:left="1440"/>
          </w:pPr>
        </w:pPrChange>
      </w:pPr>
      <w:ins w:id="226" w:author="R2#123" w:date="2023-09-26T11:06:00Z">
        <w:del w:id="227" w:author="QC - R2#123b" w:date="2023-10-16T12:55:00Z">
          <w:r>
            <w:rPr>
              <w:color w:val="FF0000"/>
            </w:rPr>
            <w:delText xml:space="preserve">Editor’s NOTE: FFS enhancements on </w:delText>
          </w:r>
          <w:commentRangeStart w:id="18"/>
          <w:r>
            <w:rPr>
              <w:color w:val="FF0000"/>
            </w:rPr>
            <w:delText>RACH</w:delText>
          </w:r>
          <w:commentRangeEnd w:id="18"/>
        </w:del>
      </w:ins>
      <w:r>
        <w:rPr>
          <w:rStyle w:val="48"/>
        </w:rPr>
        <w:commentReference w:id="18"/>
      </w:r>
      <w:ins w:id="228" w:author="R2#123" w:date="2023-09-26T11:06:00Z">
        <w:del w:id="229" w:author="QC - R2#123b" w:date="2023-10-16T12:55:00Z">
          <w:r>
            <w:rPr>
              <w:color w:val="FF0000"/>
            </w:rPr>
            <w:delText>-less handover</w:delText>
          </w:r>
        </w:del>
      </w:ins>
    </w:p>
    <w:p>
      <w:pPr>
        <w:ind w:left="852"/>
        <w:rPr>
          <w:ins w:id="231" w:author="R2#123" w:date="2023-09-26T11:06:00Z"/>
          <w:del w:id="232" w:author="QC - R2#123b" w:date="2023-10-16T12:56:00Z"/>
          <w:color w:val="FF0000"/>
        </w:rPr>
        <w:pPrChange w:id="230" w:author="QC - R2#123b" w:date="2023-10-16T11:43:00Z">
          <w:pPr>
            <w:ind w:left="720"/>
          </w:pPr>
        </w:pPrChange>
      </w:pPr>
      <w:ins w:id="233" w:author="R2#123" w:date="2023-09-26T11:06:00Z">
        <w:del w:id="234" w:author="QC - R2#123b" w:date="2023-10-16T12:56:00Z">
          <w:r>
            <w:rPr>
              <w:color w:val="FF0000"/>
            </w:rPr>
            <w:delText xml:space="preserve">Editor’s NOTE: FFS on enhancements related to </w:delText>
          </w:r>
          <w:commentRangeStart w:id="19"/>
          <w:r>
            <w:rPr>
              <w:color w:val="FF0000"/>
            </w:rPr>
            <w:delText xml:space="preserve">BAP </w:delText>
          </w:r>
          <w:commentRangeEnd w:id="19"/>
        </w:del>
      </w:ins>
      <w:r>
        <w:rPr>
          <w:rStyle w:val="48"/>
        </w:rPr>
        <w:commentReference w:id="19"/>
      </w:r>
      <w:ins w:id="235" w:author="R2#123" w:date="2023-09-26T11:06:00Z">
        <w:del w:id="236" w:author="QC - R2#123b" w:date="2023-10-16T12:56:00Z">
          <w:r>
            <w:rPr>
              <w:color w:val="FF0000"/>
            </w:rPr>
            <w:delText xml:space="preserve">that need to be captured on ST2. </w:delText>
          </w:r>
        </w:del>
      </w:ins>
    </w:p>
    <w:p>
      <w:pPr>
        <w:pStyle w:val="90"/>
        <w:numPr>
          <w:ilvl w:val="0"/>
          <w:numId w:val="5"/>
        </w:numPr>
        <w:contextualSpacing w:val="0"/>
        <w:rPr>
          <w:ins w:id="237" w:author="QC - R2#123b" w:date="2023-10-16T11:24:00Z"/>
          <w:del w:id="238" w:author="QC R3#122v2" w:date="2023-10-19T10:37:00Z"/>
          <w:rFonts w:eastAsia="宋体"/>
          <w:color w:val="FF0000"/>
          <w:lang w:eastAsia="zh-CN"/>
          <w:rPrChange w:id="239" w:author="QC - R2#123b" w:date="2023-10-16T11:24:00Z">
            <w:rPr>
              <w:ins w:id="240" w:author="QC - R2#123b" w:date="2023-10-16T11:24:00Z"/>
              <w:del w:id="241" w:author="QC R3#122v2" w:date="2023-10-19T10:37:00Z"/>
              <w:rFonts w:eastAsia="宋体"/>
              <w:lang w:eastAsia="zh-CN"/>
            </w:rPr>
          </w:rPrChange>
        </w:rPr>
      </w:pPr>
      <w:ins w:id="242" w:author="QC - R2#123b" w:date="2023-10-16T11:23:00Z">
        <w:del w:id="243" w:author="QC R3#122v2" w:date="2023-10-19T10:37:00Z">
          <w:commentRangeStart w:id="20"/>
          <w:r>
            <w:rPr>
              <w:rFonts w:eastAsia="宋体"/>
              <w:lang w:eastAsia="zh-CN"/>
            </w:rPr>
            <w:delText xml:space="preserve">Mobility </w:delText>
          </w:r>
          <w:commentRangeEnd w:id="20"/>
        </w:del>
      </w:ins>
      <w:ins w:id="244" w:author="QC - R2#123b" w:date="2023-10-16T11:24:00Z">
        <w:del w:id="245" w:author="QC R3#122v2" w:date="2023-10-19T10:37:00Z">
          <w:r>
            <w:rPr>
              <w:rStyle w:val="48"/>
              <w:lang w:eastAsia="en-US"/>
            </w:rPr>
            <w:commentReference w:id="20"/>
          </w:r>
        </w:del>
      </w:ins>
      <w:ins w:id="246" w:author="QC - R2#123b" w:date="2023-10-16T11:23:00Z">
        <w:del w:id="247" w:author="QC R3#122v2" w:date="2023-10-19T10:37:00Z">
          <w:r>
            <w:rPr>
              <w:rFonts w:eastAsia="宋体"/>
              <w:lang w:eastAsia="zh-CN"/>
            </w:rPr>
            <w:delText>of a d</w:delText>
          </w:r>
        </w:del>
      </w:ins>
      <w:ins w:id="248" w:author="R2#123" w:date="2023-09-26T11:06:00Z">
        <w:del w:id="249" w:author="QC R3#122v2" w:date="2023-10-19T10:37:00Z">
          <w:r>
            <w:rPr>
              <w:rFonts w:eastAsia="宋体"/>
              <w:lang w:eastAsia="zh-CN"/>
            </w:rPr>
            <w:delText>Dual</w:delText>
          </w:r>
        </w:del>
      </w:ins>
      <w:ins w:id="250" w:author="QC - R2#123b" w:date="2023-10-16T14:17:00Z">
        <w:del w:id="251" w:author="QC R3#122v2" w:date="2023-10-19T10:37:00Z">
          <w:r>
            <w:rPr>
              <w:rFonts w:eastAsia="宋体"/>
              <w:lang w:eastAsia="zh-CN"/>
            </w:rPr>
            <w:delText>-</w:delText>
          </w:r>
        </w:del>
      </w:ins>
      <w:ins w:id="252" w:author="R2#123" w:date="2023-09-26T11:06:00Z">
        <w:del w:id="253" w:author="QC R3#122v2" w:date="2023-10-19T10:37:00Z">
          <w:r>
            <w:rPr>
              <w:rFonts w:eastAsia="宋体"/>
              <w:lang w:eastAsia="zh-CN"/>
            </w:rPr>
            <w:delText>connectivity</w:delText>
          </w:r>
        </w:del>
      </w:ins>
      <w:ins w:id="254" w:author="QC - R2#123b" w:date="2023-10-16T11:23:00Z">
        <w:del w:id="255" w:author="QC R3#122v2" w:date="2023-10-19T10:37:00Z">
          <w:r>
            <w:rPr>
              <w:rFonts w:eastAsia="宋体"/>
              <w:lang w:eastAsia="zh-CN"/>
            </w:rPr>
            <w:delText>ed IAB-nod</w:delText>
          </w:r>
        </w:del>
      </w:ins>
      <w:ins w:id="256" w:author="QC - R2#123b" w:date="2023-10-16T11:24:00Z">
        <w:del w:id="257" w:author="QC R3#122v2" w:date="2023-10-19T10:37:00Z">
          <w:r>
            <w:rPr>
              <w:rFonts w:eastAsia="宋体"/>
              <w:lang w:eastAsia="zh-CN"/>
            </w:rPr>
            <w:delText>e</w:delText>
          </w:r>
        </w:del>
      </w:ins>
      <w:ins w:id="258" w:author="R2#123" w:date="2023-09-26T11:06:00Z">
        <w:del w:id="259" w:author="QC R3#122v2" w:date="2023-10-19T10:37:00Z">
          <w:r>
            <w:rPr>
              <w:rFonts w:eastAsia="宋体"/>
              <w:lang w:eastAsia="zh-CN"/>
            </w:rPr>
            <w:delText xml:space="preserve"> is not supported for the mobile </w:delText>
          </w:r>
        </w:del>
      </w:ins>
      <w:ins w:id="260" w:author="R2#123" w:date="2023-09-26T11:06:00Z">
        <w:del w:id="261" w:author="QC R3#122v2" w:date="2023-10-19T10:37:00Z">
          <w:r>
            <w:rPr>
              <w:rFonts w:eastAsia="宋体"/>
              <w:color w:val="FF0000"/>
              <w:lang w:eastAsia="zh-CN"/>
              <w:rPrChange w:id="262" w:author="QC - R2#123b" w:date="2023-10-16T11:24:00Z">
                <w:rPr>
                  <w:rFonts w:eastAsia="宋体"/>
                  <w:lang w:eastAsia="zh-CN"/>
                </w:rPr>
              </w:rPrChange>
            </w:rPr>
            <w:delText>IAB-MT.</w:delText>
          </w:r>
        </w:del>
      </w:ins>
    </w:p>
    <w:p>
      <w:pPr>
        <w:pStyle w:val="90"/>
        <w:numPr>
          <w:ilvl w:val="0"/>
          <w:numId w:val="0"/>
        </w:numPr>
        <w:ind w:left="852" w:firstLine="0"/>
        <w:rPr>
          <w:ins w:id="264" w:author="QC - R2#123b" w:date="2023-10-16T11:24:00Z"/>
          <w:color w:val="FF0000"/>
        </w:rPr>
        <w:pPrChange w:id="263" w:author="QC - R2#123b" w:date="2023-10-16T11:43:00Z">
          <w:pPr>
            <w:pStyle w:val="90"/>
            <w:numPr>
              <w:ilvl w:val="0"/>
              <w:numId w:val="5"/>
            </w:numPr>
            <w:ind w:hanging="360"/>
          </w:pPr>
        </w:pPrChange>
      </w:pPr>
      <w:ins w:id="265" w:author="QC - R2#123b" w:date="2023-10-16T11:24:00Z">
        <w:commentRangeStart w:id="21"/>
        <w:commentRangeStart w:id="22"/>
        <w:r>
          <w:rPr>
            <w:color w:val="FF0000"/>
          </w:rPr>
          <w:t xml:space="preserve">Editor’s NOTE: FFS whether </w:t>
        </w:r>
      </w:ins>
      <w:ins w:id="266" w:author="QC - R2#123b" w:date="2023-10-16T11:29:00Z">
        <w:r>
          <w:rPr>
            <w:color w:val="FF0000"/>
          </w:rPr>
          <w:t xml:space="preserve">NR </w:t>
        </w:r>
      </w:ins>
      <w:ins w:id="267" w:author="QC - R2#123b" w:date="2023-10-16T11:24:00Z">
        <w:r>
          <w:rPr>
            <w:color w:val="FF0000"/>
          </w:rPr>
          <w:t>dual</w:t>
        </w:r>
      </w:ins>
      <w:ins w:id="268" w:author="QC - R2#123b" w:date="2023-10-16T12:56:00Z">
        <w:r>
          <w:rPr>
            <w:color w:val="FF0000"/>
          </w:rPr>
          <w:t>-</w:t>
        </w:r>
      </w:ins>
      <w:ins w:id="269" w:author="QC - R2#123b" w:date="2023-10-16T11:24:00Z">
        <w:r>
          <w:rPr>
            <w:color w:val="FF0000"/>
          </w:rPr>
          <w:t xml:space="preserve">connectivity is </w:t>
        </w:r>
      </w:ins>
      <w:ins w:id="270" w:author="QC - R2#123b" w:date="2023-10-16T11:24:00Z">
        <w:r>
          <w:rPr>
            <w:rFonts w:eastAsia="宋体"/>
            <w:color w:val="FF0000"/>
            <w:lang w:eastAsia="zh-CN"/>
            <w:rPrChange w:id="271" w:author="QC - R2#123b" w:date="2023-10-16T11:25:00Z">
              <w:rPr>
                <w:rFonts w:eastAsia="宋体"/>
                <w:lang w:eastAsia="zh-CN"/>
              </w:rPr>
            </w:rPrChange>
          </w:rPr>
          <w:t xml:space="preserve">supported for </w:t>
        </w:r>
      </w:ins>
      <w:ins w:id="272" w:author="QC - R2#123b" w:date="2023-10-16T11:29:00Z">
        <w:r>
          <w:rPr>
            <w:rFonts w:eastAsia="宋体"/>
            <w:color w:val="FF0000"/>
            <w:lang w:eastAsia="zh-CN"/>
          </w:rPr>
          <w:t xml:space="preserve">the </w:t>
        </w:r>
      </w:ins>
      <w:ins w:id="273" w:author="QC - R2#123b" w:date="2023-10-16T11:24:00Z">
        <w:r>
          <w:rPr>
            <w:rFonts w:eastAsia="宋体"/>
            <w:color w:val="FF0000"/>
            <w:lang w:eastAsia="zh-CN"/>
            <w:rPrChange w:id="274" w:author="QC - R2#123b" w:date="2023-10-16T11:25:00Z">
              <w:rPr>
                <w:rFonts w:eastAsia="宋体"/>
                <w:lang w:eastAsia="zh-CN"/>
              </w:rPr>
            </w:rPrChange>
          </w:rPr>
          <w:t>mobile IAB</w:t>
        </w:r>
      </w:ins>
      <w:ins w:id="275" w:author="QC - R2#123b" w:date="2023-10-16T11:29:00Z">
        <w:r>
          <w:rPr>
            <w:rFonts w:eastAsia="宋体"/>
            <w:color w:val="FF0000"/>
            <w:lang w:eastAsia="zh-CN"/>
          </w:rPr>
          <w:t>-node</w:t>
        </w:r>
      </w:ins>
      <w:ins w:id="276" w:author="QC - R2#123b" w:date="2023-10-16T11:24:00Z">
        <w:r>
          <w:rPr>
            <w:color w:val="FF0000"/>
          </w:rPr>
          <w:t xml:space="preserve">. </w:t>
        </w:r>
        <w:commentRangeEnd w:id="21"/>
      </w:ins>
      <w:r>
        <w:rPr>
          <w:rStyle w:val="48"/>
          <w:lang w:eastAsia="en-US"/>
        </w:rPr>
        <w:commentReference w:id="21"/>
      </w:r>
      <w:commentRangeEnd w:id="22"/>
      <w:r>
        <w:rPr>
          <w:rStyle w:val="48"/>
          <w:lang w:eastAsia="en-US"/>
        </w:rPr>
        <w:commentReference w:id="22"/>
      </w:r>
      <w:ins w:id="277" w:author="QC R3#122v2" w:date="2023-10-19T10:37:00Z">
        <w:r>
          <w:rPr>
            <w:color w:val="FF0000"/>
          </w:rPr>
          <w:t xml:space="preserve"> </w:t>
        </w:r>
      </w:ins>
      <w:ins w:id="278" w:author="QC R3#122v2" w:date="2023-10-19T10:38:00Z">
        <w:r>
          <w:rPr>
            <w:color w:val="FF0000"/>
          </w:rPr>
          <w:t>Need to address</w:t>
        </w:r>
      </w:ins>
      <w:ins w:id="279" w:author="QC R3#122v2" w:date="2023-10-19T10:37:00Z">
        <w:r>
          <w:rPr>
            <w:color w:val="FF0000"/>
          </w:rPr>
          <w:t xml:space="preserve"> WID </w:t>
        </w:r>
      </w:ins>
      <w:ins w:id="280" w:author="QC R3#122v2" w:date="2023-10-19T10:38:00Z">
        <w:r>
          <w:rPr>
            <w:color w:val="FF0000"/>
          </w:rPr>
          <w:t>NOTE</w:t>
        </w:r>
      </w:ins>
      <w:ins w:id="281" w:author="QC R3#122v2" w:date="2023-10-19T10:37:00Z">
        <w:r>
          <w:rPr>
            <w:color w:val="FF0000"/>
          </w:rPr>
          <w:t xml:space="preserve">: the mobile of dual-connected IAB-nodes is down-prioritized”. This </w:t>
        </w:r>
      </w:ins>
      <w:ins w:id="282" w:author="QC R3#122v2" w:date="2023-10-19T10:38:00Z">
        <w:r>
          <w:rPr>
            <w:color w:val="FF0000"/>
          </w:rPr>
          <w:t>may</w:t>
        </w:r>
      </w:ins>
      <w:ins w:id="283" w:author="QC R3#122v2" w:date="2023-10-19T10:37:00Z">
        <w:r>
          <w:rPr>
            <w:color w:val="FF0000"/>
          </w:rPr>
          <w:t xml:space="preserve"> not preclude the donor to dual-connect a DC-capable mIAB-MT, and then preven</w:t>
        </w:r>
      </w:ins>
      <w:ins w:id="284" w:author="QC R3#122v2" w:date="2023-10-19T10:39:00Z">
        <w:r>
          <w:rPr>
            <w:color w:val="FF0000"/>
          </w:rPr>
          <w:t>t</w:t>
        </w:r>
      </w:ins>
      <w:ins w:id="285" w:author="QC R3#122v2" w:date="2023-10-19T10:37:00Z">
        <w:r>
          <w:rPr>
            <w:color w:val="FF0000"/>
          </w:rPr>
          <w:t xml:space="preserve"> mIAB-MT handover. </w:t>
        </w:r>
      </w:ins>
      <w:ins w:id="286" w:author="QC R3#122v2" w:date="2023-10-19T10:37:00Z">
        <w:r>
          <w:rPr>
            <w:rStyle w:val="48"/>
            <w:lang w:eastAsia="en-US"/>
          </w:rPr>
          <w:commentReference w:id="23"/>
        </w:r>
      </w:ins>
      <w:ins w:id="287" w:author="QC R3#122v2" w:date="2023-10-19T10:37:00Z">
        <w:r>
          <w:rPr>
            <w:rStyle w:val="48"/>
            <w:lang w:eastAsia="en-US"/>
          </w:rPr>
          <w:commentReference w:id="24"/>
        </w:r>
      </w:ins>
    </w:p>
    <w:p>
      <w:pPr>
        <w:ind w:left="720"/>
        <w:contextualSpacing w:val="0"/>
        <w:rPr>
          <w:ins w:id="289" w:author="R2#123" w:date="2023-09-26T11:06:00Z"/>
          <w:del w:id="290" w:author="QC - R2#123b" w:date="2023-10-16T11:25:00Z"/>
          <w:rFonts w:eastAsia="宋体"/>
          <w:lang w:eastAsia="zh-CN"/>
        </w:rPr>
        <w:pPrChange w:id="288" w:author="QC - R2#123b" w:date="2023-10-16T11:24:00Z">
          <w:pPr>
            <w:pStyle w:val="90"/>
            <w:numPr>
              <w:ilvl w:val="0"/>
              <w:numId w:val="5"/>
            </w:numPr>
            <w:ind w:hanging="360"/>
            <w:contextualSpacing w:val="0"/>
          </w:pPr>
        </w:pPrChange>
      </w:pPr>
    </w:p>
    <w:p>
      <w:pPr>
        <w:rPr>
          <w:ins w:id="291" w:author="R2#123" w:date="2023-09-26T11:06:00Z"/>
          <w:del w:id="292" w:author="QC - R2#123b" w:date="2023-10-16T11:27:00Z"/>
          <w:rFonts w:eastAsia="宋体"/>
          <w:lang w:eastAsia="zh-CN"/>
        </w:rPr>
      </w:pPr>
      <w:ins w:id="293" w:author="R2#123" w:date="2023-09-26T11:06:00Z">
        <w:del w:id="294" w:author="QC - R2#123b" w:date="2023-10-16T11:27:00Z">
          <w:r>
            <w:rPr>
              <w:rFonts w:eastAsia="宋体"/>
              <w:lang w:eastAsia="zh-CN"/>
            </w:rPr>
            <w:delText>The mobile IAB-node can connect to a RAN that supports mobile IAB</w:delText>
          </w:r>
        </w:del>
      </w:ins>
      <w:ins w:id="295" w:author="R2#123" w:date="2023-09-26T11:06:00Z">
        <w:del w:id="296" w:author="QC - R2#123b" w:date="2023-09-26T11:27:00Z">
          <w:r>
            <w:rPr>
              <w:rFonts w:eastAsia="宋体"/>
              <w:lang w:eastAsia="zh-CN"/>
            </w:rPr>
            <w:delText xml:space="preserve"> as well as a RAN</w:delText>
          </w:r>
        </w:del>
      </w:ins>
      <w:ins w:id="297" w:author="R2#123" w:date="2023-09-26T11:06:00Z">
        <w:del w:id="298" w:author="QC - R2#123b" w:date="2023-09-26T14:43:00Z">
          <w:r>
            <w:rPr>
              <w:rFonts w:eastAsia="宋体"/>
              <w:lang w:eastAsia="zh-CN"/>
            </w:rPr>
            <w:delText xml:space="preserve"> that supports IAB</w:delText>
          </w:r>
        </w:del>
      </w:ins>
      <w:ins w:id="299" w:author="R2#123" w:date="2023-09-26T11:06:00Z">
        <w:del w:id="300" w:author="QC - R2#123b" w:date="2023-09-26T11:28:00Z">
          <w:r>
            <w:rPr>
              <w:rFonts w:eastAsia="宋体"/>
              <w:lang w:eastAsia="zh-CN"/>
            </w:rPr>
            <w:delText xml:space="preserve"> without mobile-IAB enhancements</w:delText>
          </w:r>
        </w:del>
      </w:ins>
      <w:ins w:id="301" w:author="R2#123" w:date="2023-09-26T11:06:00Z">
        <w:del w:id="302" w:author="QC - R2#123b" w:date="2023-10-16T11:27:00Z">
          <w:r>
            <w:rPr>
              <w:rFonts w:eastAsia="宋体"/>
              <w:lang w:eastAsia="zh-CN"/>
            </w:rPr>
            <w:delText>.</w:delText>
          </w:r>
        </w:del>
      </w:ins>
    </w:p>
    <w:p>
      <w:pPr>
        <w:ind w:left="568"/>
        <w:rPr>
          <w:ins w:id="303" w:author="R2#123" w:date="2023-09-26T11:06:00Z"/>
          <w:del w:id="304" w:author="QC - R2#123b" w:date="2023-09-26T14:46:00Z"/>
          <w:color w:val="FF0000"/>
        </w:rPr>
      </w:pPr>
      <w:ins w:id="305" w:author="R2#123" w:date="2023-09-26T11:06:00Z">
        <w:del w:id="306" w:author="QC - R2#123b" w:date="2023-09-26T14:46:00Z">
          <w:r>
            <w:rPr>
              <w:color w:val="FF0000"/>
            </w:rPr>
            <w:delText xml:space="preserve">Editor’s NOTE: FFS on the functionality provided to the mobile IAB-node by a RAN that does not support mobile IAB. </w:delText>
          </w:r>
        </w:del>
      </w:ins>
    </w:p>
    <w:p>
      <w:pPr>
        <w:pStyle w:val="5"/>
        <w:rPr>
          <w:ins w:id="307" w:author="QC - R2#123b" w:date="2023-10-16T11:44:00Z"/>
        </w:rPr>
      </w:pPr>
      <w:ins w:id="308" w:author="QC - R2#123b" w:date="2023-10-16T11:44:00Z">
        <w:r>
          <w:rPr/>
          <w:t>4.7.X.2</w:t>
        </w:r>
      </w:ins>
      <w:ins w:id="309" w:author="QC - R2#123b" w:date="2023-10-16T11:44:00Z">
        <w:r>
          <w:rPr/>
          <w:tab/>
        </w:r>
      </w:ins>
      <w:ins w:id="310" w:author="QC - R2#123b" w:date="2023-10-16T11:44:00Z">
        <w:r>
          <w:rPr/>
          <w:t>RACH-less handov</w:t>
        </w:r>
      </w:ins>
      <w:ins w:id="311" w:author="QC - R2#123b" w:date="2023-10-16T11:45:00Z">
        <w:r>
          <w:rPr/>
          <w:t>er</w:t>
        </w:r>
      </w:ins>
    </w:p>
    <w:p>
      <w:pPr>
        <w:rPr>
          <w:ins w:id="312" w:author="QC - R2#123b" w:date="2023-10-16T11:53:00Z"/>
          <w:color w:val="FF0000"/>
        </w:rPr>
      </w:pPr>
      <w:ins w:id="313" w:author="QC - R2#123b" w:date="2023-10-16T11:45:00Z">
        <w:r>
          <w:rPr>
            <w:color w:val="FF0000"/>
          </w:rPr>
          <w:t>During the mobile IAB-DU</w:t>
        </w:r>
      </w:ins>
      <w:ins w:id="314" w:author="QC - R2#123b" w:date="2023-10-16T14:18:00Z">
        <w:r>
          <w:rPr>
            <w:color w:val="FF0000"/>
          </w:rPr>
          <w:t xml:space="preserve"> </w:t>
        </w:r>
      </w:ins>
      <w:ins w:id="315" w:author="QC - R2#123b" w:date="2023-10-16T11:45:00Z">
        <w:r>
          <w:rPr>
            <w:color w:val="FF0000"/>
          </w:rPr>
          <w:t>migration procedure,</w:t>
        </w:r>
      </w:ins>
      <w:ins w:id="316" w:author="QC - R2#123b" w:date="2023-10-16T11:48:00Z">
        <w:r>
          <w:rPr>
            <w:color w:val="FF0000"/>
          </w:rPr>
          <w:t xml:space="preserve"> </w:t>
        </w:r>
      </w:ins>
      <w:ins w:id="317" w:author="QC - R2#123b" w:date="2023-10-16T12:57:00Z">
        <w:r>
          <w:rPr>
            <w:color w:val="FF0000"/>
          </w:rPr>
          <w:t>RACH-less handover can be configured for a UE</w:t>
        </w:r>
      </w:ins>
      <w:ins w:id="318" w:author="QC - R2#123b" w:date="2023-10-16T14:18:00Z">
        <w:r>
          <w:rPr>
            <w:color w:val="FF0000"/>
          </w:rPr>
          <w:t xml:space="preserve"> that is</w:t>
        </w:r>
      </w:ins>
      <w:ins w:id="319" w:author="QC - R2#123b" w:date="2023-10-16T12:57:00Z">
        <w:r>
          <w:rPr>
            <w:color w:val="FF0000"/>
          </w:rPr>
          <w:t xml:space="preserve"> migrated from</w:t>
        </w:r>
      </w:ins>
      <w:ins w:id="320" w:author="QC - R2#123b" w:date="2023-10-16T12:07:00Z">
        <w:r>
          <w:rPr>
            <w:color w:val="FF0000"/>
          </w:rPr>
          <w:t xml:space="preserve"> the source logical mIAB-DU </w:t>
        </w:r>
      </w:ins>
      <w:ins w:id="321" w:author="QC - R2#123b" w:date="2023-10-16T12:07:00Z">
        <w:del w:id="322" w:author="QC R3#122v2" w:date="2023-10-19T10:39:00Z">
          <w:commentRangeStart w:id="25"/>
          <w:commentRangeStart w:id="26"/>
          <w:r>
            <w:rPr>
              <w:color w:val="FF0000"/>
            </w:rPr>
            <w:delText>and</w:delText>
          </w:r>
        </w:del>
      </w:ins>
      <w:ins w:id="323" w:author="QC R3#122v2" w:date="2023-10-19T10:39:00Z">
        <w:r>
          <w:rPr>
            <w:color w:val="FF0000"/>
          </w:rPr>
          <w:t>to</w:t>
        </w:r>
      </w:ins>
      <w:ins w:id="324" w:author="QC - R2#123b" w:date="2023-10-16T12:07:00Z">
        <w:r>
          <w:rPr>
            <w:color w:val="FF0000"/>
          </w:rPr>
          <w:t xml:space="preserve"> </w:t>
        </w:r>
        <w:commentRangeEnd w:id="25"/>
      </w:ins>
      <w:r>
        <w:rPr>
          <w:rStyle w:val="48"/>
        </w:rPr>
        <w:commentReference w:id="25"/>
      </w:r>
      <w:commentRangeEnd w:id="26"/>
      <w:r>
        <w:rPr>
          <w:rStyle w:val="48"/>
        </w:rPr>
        <w:commentReference w:id="26"/>
      </w:r>
      <w:ins w:id="325" w:author="QC - R2#123b" w:date="2023-10-16T12:07:00Z">
        <w:r>
          <w:rPr>
            <w:color w:val="FF0000"/>
          </w:rPr>
          <w:t>the target logical mIAB-DU</w:t>
        </w:r>
      </w:ins>
      <w:ins w:id="326" w:author="QC - R2#123b" w:date="2023-10-16T11:47:00Z">
        <w:r>
          <w:rPr>
            <w:color w:val="FF0000"/>
          </w:rPr>
          <w:t>.</w:t>
        </w:r>
      </w:ins>
      <w:ins w:id="327" w:author="QC - R2#123b" w:date="2023-10-16T11:53:00Z">
        <w:r>
          <w:rPr>
            <w:color w:val="FF0000"/>
          </w:rPr>
          <w:t xml:space="preserve"> The RACH-less handover procedure applies the following </w:t>
        </w:r>
      </w:ins>
      <w:ins w:id="328" w:author="QC - R2#123b" w:date="2023-10-16T12:58:00Z">
        <w:r>
          <w:rPr>
            <w:color w:val="FF0000"/>
          </w:rPr>
          <w:t>functionality</w:t>
        </w:r>
      </w:ins>
      <w:ins w:id="329" w:author="QC - R2#123b" w:date="2023-10-16T11:53:00Z">
        <w:r>
          <w:rPr>
            <w:color w:val="FF0000"/>
          </w:rPr>
          <w:t>:</w:t>
        </w:r>
      </w:ins>
    </w:p>
    <w:p>
      <w:pPr>
        <w:pStyle w:val="90"/>
        <w:numPr>
          <w:ilvl w:val="0"/>
          <w:numId w:val="5"/>
        </w:numPr>
        <w:contextualSpacing w:val="0"/>
        <w:rPr>
          <w:ins w:id="330" w:author="QC - R2#123b" w:date="2023-10-16T11:55:00Z"/>
          <w:rFonts w:eastAsia="宋体"/>
          <w:color w:val="FF0000"/>
          <w:lang w:eastAsia="zh-CN"/>
          <w:rPrChange w:id="331" w:author="QC - R2#123b" w:date="2023-10-16T11:55:00Z">
            <w:rPr>
              <w:ins w:id="332" w:author="QC - R2#123b" w:date="2023-10-16T11:55:00Z"/>
              <w:rFonts w:eastAsia="宋体"/>
              <w:lang w:eastAsia="zh-CN"/>
            </w:rPr>
          </w:rPrChange>
        </w:rPr>
      </w:pPr>
      <w:ins w:id="333" w:author="QC - R2#123b" w:date="2023-10-16T12:07:00Z">
        <w:r>
          <w:rPr>
            <w:rFonts w:eastAsia="宋体"/>
            <w:lang w:eastAsia="zh-CN"/>
          </w:rPr>
          <w:t>The</w:t>
        </w:r>
      </w:ins>
      <w:ins w:id="334" w:author="QC - R2#123b" w:date="2023-10-16T11:55:00Z">
        <w:r>
          <w:rPr>
            <w:rFonts w:eastAsia="宋体"/>
            <w:lang w:eastAsia="zh-CN"/>
          </w:rPr>
          <w:t xml:space="preserve"> UE uses the same timing advance at the target logical mIAB-DU as </w:t>
        </w:r>
      </w:ins>
      <w:ins w:id="335" w:author="QC - R2#123b" w:date="2023-10-16T12:08:00Z">
        <w:r>
          <w:rPr>
            <w:rFonts w:eastAsia="宋体"/>
            <w:lang w:eastAsia="zh-CN"/>
          </w:rPr>
          <w:t>signaled</w:t>
        </w:r>
      </w:ins>
      <w:ins w:id="336" w:author="QC - R2#123b" w:date="2023-10-16T11:55:00Z">
        <w:r>
          <w:rPr>
            <w:rFonts w:eastAsia="宋体"/>
            <w:lang w:eastAsia="zh-CN"/>
          </w:rPr>
          <w:t xml:space="preserve"> </w:t>
        </w:r>
      </w:ins>
      <w:ins w:id="337" w:author="QC - R2#123b" w:date="2023-10-16T11:55:00Z">
        <w:del w:id="338" w:author="ZTE" w:date="2023-10-20T14:25:13Z">
          <w:r>
            <w:rPr>
              <w:rFonts w:hint="default" w:eastAsia="宋体"/>
              <w:lang w:val="en-US" w:eastAsia="zh-CN"/>
            </w:rPr>
            <w:delText>on</w:delText>
          </w:r>
        </w:del>
      </w:ins>
      <w:ins w:id="339" w:author="ZTE" w:date="2023-10-20T14:25:13Z">
        <w:r>
          <w:rPr>
            <w:rFonts w:hint="eastAsia" w:eastAsia="宋体"/>
            <w:lang w:val="en-US" w:eastAsia="zh-CN"/>
          </w:rPr>
          <w:t>fr</w:t>
        </w:r>
      </w:ins>
      <w:ins w:id="340" w:author="ZTE" w:date="2023-10-20T14:25:14Z">
        <w:r>
          <w:rPr>
            <w:rFonts w:hint="eastAsia" w:eastAsia="宋体"/>
            <w:lang w:val="en-US" w:eastAsia="zh-CN"/>
          </w:rPr>
          <w:t>om</w:t>
        </w:r>
      </w:ins>
      <w:ins w:id="341" w:author="QC - R2#123b" w:date="2023-10-16T11:55:00Z">
        <w:r>
          <w:rPr>
            <w:rFonts w:eastAsia="宋体"/>
            <w:lang w:eastAsia="zh-CN"/>
          </w:rPr>
          <w:t xml:space="preserve"> the source logical mIAB-DU.</w:t>
        </w:r>
      </w:ins>
    </w:p>
    <w:p>
      <w:pPr>
        <w:pStyle w:val="90"/>
        <w:numPr>
          <w:ilvl w:val="0"/>
          <w:numId w:val="5"/>
        </w:numPr>
        <w:contextualSpacing w:val="0"/>
        <w:rPr>
          <w:ins w:id="342" w:author="QC - R2#123b" w:date="2023-10-16T11:55:00Z"/>
          <w:rFonts w:eastAsia="宋体"/>
          <w:color w:val="FF0000"/>
          <w:lang w:eastAsia="zh-CN"/>
          <w:rPrChange w:id="343" w:author="QC - R2#123b" w:date="2023-10-16T11:55:00Z">
            <w:rPr>
              <w:ins w:id="344" w:author="QC - R2#123b" w:date="2023-10-16T11:55:00Z"/>
              <w:rFonts w:eastAsia="宋体"/>
              <w:lang w:eastAsia="zh-CN"/>
            </w:rPr>
          </w:rPrChange>
        </w:rPr>
      </w:pPr>
      <w:ins w:id="345" w:author="QC - R2#123b" w:date="2023-10-16T11:55:00Z">
        <w:r>
          <w:rPr>
            <w:rFonts w:eastAsia="宋体"/>
            <w:lang w:eastAsia="zh-CN"/>
          </w:rPr>
          <w:t xml:space="preserve">The handover command for the UE contains a beam identifier for the beam to be used by the UE at the target </w:t>
        </w:r>
      </w:ins>
      <w:ins w:id="346" w:author="QC - R2#123b" w:date="2023-10-16T11:55:00Z">
        <w:del w:id="347" w:author="QC R3#122v2" w:date="2023-10-19T10:39:00Z">
          <w:commentRangeStart w:id="27"/>
          <w:commentRangeStart w:id="28"/>
          <w:r>
            <w:rPr>
              <w:rFonts w:eastAsia="宋体"/>
              <w:lang w:eastAsia="zh-CN"/>
            </w:rPr>
            <w:delText>locigcal</w:delText>
          </w:r>
        </w:del>
      </w:ins>
      <w:ins w:id="348" w:author="QC R3#122v2" w:date="2023-10-19T10:39:00Z">
        <w:r>
          <w:rPr>
            <w:rFonts w:eastAsia="宋体"/>
            <w:lang w:eastAsia="zh-CN"/>
          </w:rPr>
          <w:t>logical</w:t>
        </w:r>
      </w:ins>
      <w:ins w:id="349" w:author="QC - R2#123b" w:date="2023-10-16T11:55:00Z">
        <w:r>
          <w:rPr>
            <w:rFonts w:eastAsia="宋体"/>
            <w:lang w:eastAsia="zh-CN"/>
          </w:rPr>
          <w:t xml:space="preserve"> </w:t>
        </w:r>
        <w:commentRangeEnd w:id="27"/>
      </w:ins>
      <w:r>
        <w:rPr>
          <w:rStyle w:val="48"/>
          <w:lang w:eastAsia="en-US"/>
        </w:rPr>
        <w:commentReference w:id="27"/>
      </w:r>
      <w:commentRangeEnd w:id="28"/>
      <w:r>
        <w:rPr>
          <w:rStyle w:val="48"/>
          <w:lang w:eastAsia="en-US"/>
        </w:rPr>
        <w:commentReference w:id="28"/>
      </w:r>
      <w:ins w:id="350" w:author="QC - R2#123b" w:date="2023-10-16T11:55:00Z">
        <w:r>
          <w:rPr>
            <w:rFonts w:eastAsia="宋体"/>
            <w:lang w:eastAsia="zh-CN"/>
          </w:rPr>
          <w:t>mIAB-</w:t>
        </w:r>
      </w:ins>
      <w:ins w:id="351" w:author="QC - R2#123b" w:date="2023-10-16T12:05:00Z">
        <w:r>
          <w:rPr>
            <w:rFonts w:eastAsia="宋体"/>
            <w:lang w:eastAsia="zh-CN"/>
          </w:rPr>
          <w:t>D</w:t>
        </w:r>
      </w:ins>
      <w:ins w:id="352" w:author="QC - R2#123b" w:date="2023-10-16T11:55:00Z">
        <w:r>
          <w:rPr>
            <w:rFonts w:eastAsia="宋体"/>
            <w:lang w:eastAsia="zh-CN"/>
          </w:rPr>
          <w:t>U cell.</w:t>
        </w:r>
      </w:ins>
    </w:p>
    <w:p>
      <w:pPr>
        <w:pStyle w:val="90"/>
        <w:numPr>
          <w:ilvl w:val="0"/>
          <w:numId w:val="5"/>
        </w:numPr>
        <w:contextualSpacing w:val="0"/>
        <w:rPr>
          <w:ins w:id="353" w:author="QC - R2#123b" w:date="2023-10-16T12:00:00Z"/>
          <w:rFonts w:eastAsia="宋体"/>
          <w:color w:val="FF0000"/>
          <w:lang w:eastAsia="zh-CN"/>
        </w:rPr>
      </w:pPr>
      <w:ins w:id="354" w:author="QC - R2#123b" w:date="2023-10-16T12:00:00Z">
        <w:r>
          <w:rPr>
            <w:rFonts w:eastAsia="宋体"/>
            <w:color w:val="FF0000"/>
            <w:lang w:eastAsia="zh-CN"/>
          </w:rPr>
          <w:t xml:space="preserve">The handover </w:t>
        </w:r>
      </w:ins>
      <w:ins w:id="355" w:author="QC - R2#123b" w:date="2023-10-16T12:00:00Z">
        <w:del w:id="356" w:author="Milos Tesanovic/5G Standards (CRT) /SRUK/Staff Engineer/Samsung Electronics" w:date="2023-10-19T10:21:00Z">
          <w:r>
            <w:rPr>
              <w:rFonts w:eastAsia="宋体"/>
              <w:color w:val="FF0000"/>
              <w:lang w:eastAsia="zh-CN"/>
            </w:rPr>
            <w:delText>commend</w:delText>
          </w:r>
        </w:del>
      </w:ins>
      <w:ins w:id="357" w:author="Milos Tesanovic/5G Standards (CRT) /SRUK/Staff Engineer/Samsung Electronics" w:date="2023-10-19T10:21:00Z">
        <w:r>
          <w:rPr>
            <w:rFonts w:eastAsia="宋体"/>
            <w:color w:val="FF0000"/>
            <w:lang w:eastAsia="zh-CN"/>
          </w:rPr>
          <w:t>command</w:t>
        </w:r>
      </w:ins>
      <w:ins w:id="358" w:author="QC - R2#123b" w:date="2023-10-16T12:00:00Z">
        <w:r>
          <w:rPr>
            <w:rFonts w:eastAsia="宋体"/>
            <w:color w:val="FF0000"/>
            <w:lang w:eastAsia="zh-CN"/>
          </w:rPr>
          <w:t xml:space="preserve"> may include a pre-allocated </w:t>
        </w:r>
      </w:ins>
      <w:ins w:id="359" w:author="QC - R2#123b" w:date="2023-10-16T12:04:00Z">
        <w:r>
          <w:rPr>
            <w:rFonts w:eastAsia="宋体"/>
            <w:color w:val="FF0000"/>
            <w:lang w:eastAsia="zh-CN"/>
          </w:rPr>
          <w:t xml:space="preserve">UL </w:t>
        </w:r>
      </w:ins>
      <w:ins w:id="360" w:author="QC - R2#123b" w:date="2023-10-16T12:00:00Z">
        <w:r>
          <w:rPr>
            <w:rFonts w:eastAsia="宋体"/>
            <w:color w:val="FF0000"/>
            <w:lang w:eastAsia="zh-CN"/>
          </w:rPr>
          <w:t>grant</w:t>
        </w:r>
      </w:ins>
      <w:ins w:id="361" w:author="QC - R2#123b" w:date="2023-10-16T12:08:00Z">
        <w:r>
          <w:rPr>
            <w:rFonts w:eastAsia="宋体"/>
            <w:color w:val="FF0000"/>
            <w:lang w:eastAsia="zh-CN"/>
          </w:rPr>
          <w:t xml:space="preserve">. Alternatively, </w:t>
        </w:r>
      </w:ins>
      <w:ins w:id="362" w:author="QC - R2#123b" w:date="2023-10-16T12:04:00Z">
        <w:r>
          <w:rPr>
            <w:rFonts w:eastAsia="宋体"/>
            <w:color w:val="FF0000"/>
            <w:lang w:eastAsia="zh-CN"/>
          </w:rPr>
          <w:t>an UL grant is dynamically signaled by the target logical IAB-DU c</w:t>
        </w:r>
      </w:ins>
      <w:ins w:id="363" w:author="QC - R2#123b" w:date="2023-10-16T12:05:00Z">
        <w:r>
          <w:rPr>
            <w:rFonts w:eastAsia="宋体"/>
            <w:color w:val="FF0000"/>
            <w:lang w:eastAsia="zh-CN"/>
          </w:rPr>
          <w:t>ell</w:t>
        </w:r>
      </w:ins>
      <w:ins w:id="364" w:author="QC - R2#123b" w:date="2023-10-16T12:00:00Z">
        <w:r>
          <w:rPr>
            <w:rFonts w:eastAsia="宋体"/>
            <w:color w:val="FF0000"/>
            <w:lang w:eastAsia="zh-CN"/>
          </w:rPr>
          <w:t>.</w:t>
        </w:r>
      </w:ins>
    </w:p>
    <w:p>
      <w:pPr>
        <w:pStyle w:val="90"/>
        <w:numPr>
          <w:ilvl w:val="0"/>
          <w:numId w:val="5"/>
        </w:numPr>
        <w:contextualSpacing w:val="0"/>
        <w:rPr>
          <w:ins w:id="365" w:author="QC - R2#123b" w:date="2023-10-16T12:09:00Z"/>
          <w:rFonts w:eastAsia="宋体"/>
          <w:color w:val="FF0000"/>
          <w:lang w:eastAsia="zh-CN"/>
        </w:rPr>
      </w:pPr>
      <w:ins w:id="366" w:author="QC - R2#123b" w:date="2023-10-16T12:05:00Z">
        <w:r>
          <w:rPr>
            <w:rFonts w:eastAsia="宋体"/>
            <w:color w:val="FF0000"/>
            <w:lang w:eastAsia="zh-CN"/>
          </w:rPr>
          <w:t xml:space="preserve">The UE’s </w:t>
        </w:r>
      </w:ins>
      <w:ins w:id="367" w:author="QC - R2#123b" w:date="2023-10-16T12:06:00Z">
        <w:r>
          <w:rPr>
            <w:rFonts w:eastAsia="宋体"/>
            <w:color w:val="FF0000"/>
            <w:lang w:eastAsia="zh-CN"/>
          </w:rPr>
          <w:t>successful</w:t>
        </w:r>
      </w:ins>
      <w:ins w:id="368" w:author="QC - R2#123b" w:date="2023-10-16T12:05:00Z">
        <w:r>
          <w:rPr>
            <w:rFonts w:eastAsia="宋体"/>
            <w:color w:val="FF0000"/>
            <w:lang w:eastAsia="zh-CN"/>
          </w:rPr>
          <w:t xml:space="preserve"> UL </w:t>
        </w:r>
      </w:ins>
      <w:ins w:id="369" w:author="QC - R2#123b" w:date="2023-10-16T12:06:00Z">
        <w:r>
          <w:rPr>
            <w:rFonts w:eastAsia="宋体"/>
            <w:color w:val="FF0000"/>
            <w:lang w:eastAsia="zh-CN"/>
          </w:rPr>
          <w:t xml:space="preserve">data </w:t>
        </w:r>
      </w:ins>
      <w:ins w:id="370" w:author="QC - R2#123b" w:date="2023-10-16T12:05:00Z">
        <w:r>
          <w:rPr>
            <w:rFonts w:eastAsia="宋体"/>
            <w:color w:val="FF0000"/>
            <w:lang w:eastAsia="zh-CN"/>
          </w:rPr>
          <w:t>transmission on the target logical mIAB-DU’s cell terminates the RACH-less handover execution.</w:t>
        </w:r>
      </w:ins>
    </w:p>
    <w:p>
      <w:pPr>
        <w:ind w:left="360"/>
        <w:contextualSpacing w:val="0"/>
        <w:rPr>
          <w:ins w:id="372" w:author="QC - R2#123b" w:date="2023-10-16T11:53:00Z"/>
          <w:rFonts w:eastAsia="宋体"/>
          <w:color w:val="FF0000"/>
          <w:lang w:eastAsia="zh-CN"/>
          <w:rPrChange w:id="373" w:author="QC - R2#123b" w:date="2023-10-16T12:09:00Z">
            <w:rPr>
              <w:ins w:id="374" w:author="QC - R2#123b" w:date="2023-10-16T11:53:00Z"/>
              <w:lang w:eastAsia="zh-CN"/>
            </w:rPr>
          </w:rPrChange>
        </w:rPr>
        <w:pPrChange w:id="371" w:author="QC - R2#123b" w:date="2023-10-16T12:09:00Z">
          <w:pPr>
            <w:pStyle w:val="90"/>
            <w:numPr>
              <w:ilvl w:val="0"/>
              <w:numId w:val="5"/>
            </w:numPr>
            <w:ind w:hanging="360"/>
            <w:contextualSpacing w:val="0"/>
          </w:pPr>
        </w:pPrChange>
      </w:pPr>
      <w:ins w:id="375" w:author="QC - R2#123b" w:date="2023-10-16T12:09:00Z">
        <w:r>
          <w:rPr>
            <w:rFonts w:eastAsia="宋体"/>
            <w:color w:val="FF0000"/>
            <w:lang w:eastAsia="zh-CN"/>
          </w:rPr>
          <w:t>Editor’s NOTE: FFS further details to be added on stage 2.</w:t>
        </w:r>
      </w:ins>
    </w:p>
    <w:p>
      <w:pPr>
        <w:rPr>
          <w:ins w:id="376" w:author="QC - R2#123b" w:date="2023-10-16T11:47:00Z"/>
          <w:color w:val="000000" w:themeColor="text1"/>
          <w:rPrChange w:id="377" w:author="QC - R2#123b" w:date="2023-10-16T12:46:00Z">
            <w:rPr>
              <w:ins w:id="378" w:author="QC - R2#123b" w:date="2023-10-16T11:47:00Z"/>
              <w:color w:val="FF0000"/>
            </w:rPr>
          </w:rPrChange>
          <w14:textFill>
            <w14:solidFill>
              <w14:schemeClr w14:val="tx1"/>
            </w14:solidFill>
          </w14:textFill>
        </w:rPr>
      </w:pPr>
    </w:p>
    <w:p>
      <w:pPr>
        <w:pStyle w:val="5"/>
        <w:rPr>
          <w:ins w:id="379" w:author="QC - R2#123b" w:date="2023-10-16T11:47:00Z"/>
          <w:color w:val="000000" w:themeColor="text1"/>
          <w:rPrChange w:id="380" w:author="QC - R2#123b" w:date="2023-10-16T12:59:00Z">
            <w:rPr>
              <w:ins w:id="381" w:author="QC - R2#123b" w:date="2023-10-16T11:47:00Z"/>
            </w:rPr>
          </w:rPrChange>
          <w14:textFill>
            <w14:solidFill>
              <w14:schemeClr w14:val="tx1"/>
            </w14:solidFill>
          </w14:textFill>
        </w:rPr>
      </w:pPr>
      <w:ins w:id="382" w:author="QC - R2#123b" w:date="2023-10-16T11:47:00Z">
        <w:r>
          <w:rPr>
            <w:color w:val="000000" w:themeColor="text1"/>
            <w:rPrChange w:id="383" w:author="QC - R2#123b" w:date="2023-10-16T12:59:00Z">
              <w:rPr/>
            </w:rPrChange>
            <w14:textFill>
              <w14:solidFill>
                <w14:schemeClr w14:val="tx1"/>
              </w14:solidFill>
            </w14:textFill>
          </w:rPr>
          <w:t>4.</w:t>
        </w:r>
      </w:ins>
      <w:ins w:id="384" w:author="QC - R2#123b" w:date="2023-10-16T11:47:00Z">
        <w:r>
          <w:rPr>
            <w:color w:val="000000" w:themeColor="text1"/>
            <w:rPrChange w:id="385" w:author="QC - R2#123b" w:date="2023-10-16T12:59:00Z">
              <w:rPr/>
            </w:rPrChange>
            <w14:textFill>
              <w14:solidFill>
                <w14:schemeClr w14:val="tx1"/>
              </w14:solidFill>
            </w14:textFill>
          </w:rPr>
          <w:t>7.X.</w:t>
        </w:r>
      </w:ins>
      <w:ins w:id="386" w:author="QC - R2#123b" w:date="2023-10-16T11:47:00Z">
        <w:r>
          <w:rPr>
            <w:color w:val="000000" w:themeColor="text1"/>
            <w:rPrChange w:id="387" w:author="QC - R2#123b" w:date="2023-10-16T12:59:00Z">
              <w:rPr/>
            </w:rPrChange>
            <w14:textFill>
              <w14:solidFill>
                <w14:schemeClr w14:val="tx1"/>
              </w14:solidFill>
            </w14:textFill>
          </w:rPr>
          <w:t>3</w:t>
        </w:r>
      </w:ins>
      <w:ins w:id="388" w:author="QC - R2#123b" w:date="2023-10-16T11:47:00Z">
        <w:r>
          <w:rPr>
            <w:color w:val="000000" w:themeColor="text1"/>
            <w:rPrChange w:id="389" w:author="QC - R2#123b" w:date="2023-10-16T12:59:00Z">
              <w:rPr/>
            </w:rPrChange>
            <w14:textFill>
              <w14:solidFill>
                <w14:schemeClr w14:val="tx1"/>
              </w14:solidFill>
            </w14:textFill>
          </w:rPr>
          <w:tab/>
        </w:r>
      </w:ins>
      <w:ins w:id="390" w:author="QC - R2#123b" w:date="2023-10-16T13:08:00Z">
        <w:r>
          <w:rPr>
            <w:color w:val="000000" w:themeColor="text1"/>
            <w14:textFill>
              <w14:solidFill>
                <w14:schemeClr w14:val="tx1"/>
              </w14:solidFill>
            </w14:textFill>
          </w:rPr>
          <w:t>R</w:t>
        </w:r>
      </w:ins>
      <w:ins w:id="391" w:author="QC - R2#123b" w:date="2023-10-16T11:48:00Z">
        <w:r>
          <w:rPr>
            <w:color w:val="000000" w:themeColor="text1"/>
            <w:rPrChange w:id="392" w:author="QC - R2#123b" w:date="2023-10-16T12:59:00Z">
              <w:rPr/>
            </w:rPrChange>
            <w14:textFill>
              <w14:solidFill>
                <w14:schemeClr w14:val="tx1"/>
              </w14:solidFill>
            </w14:textFill>
          </w:rPr>
          <w:t>eselection</w:t>
        </w:r>
      </w:ins>
      <w:ins w:id="393" w:author="QC - R2#123b" w:date="2023-10-16T13:08:00Z">
        <w:r>
          <w:rPr>
            <w:color w:val="000000" w:themeColor="text1"/>
            <w14:textFill>
              <w14:solidFill>
                <w14:schemeClr w14:val="tx1"/>
              </w14:solidFill>
            </w14:textFill>
          </w:rPr>
          <w:t xml:space="preserve"> prioritization</w:t>
        </w:r>
      </w:ins>
      <w:ins w:id="394" w:author="QC - R2#123b" w:date="2023-10-16T11:48:00Z">
        <w:r>
          <w:rPr>
            <w:color w:val="000000" w:themeColor="text1"/>
            <w:rPrChange w:id="395" w:author="QC - R2#123b" w:date="2023-10-16T12:59:00Z">
              <w:rPr/>
            </w:rPrChange>
            <w14:textFill>
              <w14:solidFill>
                <w14:schemeClr w14:val="tx1"/>
              </w14:solidFill>
            </w14:textFill>
          </w:rPr>
          <w:t xml:space="preserve"> of a mobile IAB-cell</w:t>
        </w:r>
      </w:ins>
    </w:p>
    <w:p>
      <w:pPr>
        <w:rPr>
          <w:ins w:id="396" w:author="QC - R2#123b" w:date="2023-10-16T14:21:00Z"/>
          <w:color w:val="000000" w:themeColor="text1"/>
          <w14:textFill>
            <w14:solidFill>
              <w14:schemeClr w14:val="tx1"/>
            </w14:solidFill>
          </w14:textFill>
        </w:rPr>
      </w:pPr>
      <w:ins w:id="397" w:author="QC - R2#123b" w:date="2023-10-16T14:24:00Z">
        <w:r>
          <w:rPr>
            <w:color w:val="000000" w:themeColor="text1"/>
            <w14:textFill>
              <w14:solidFill>
                <w14:schemeClr w14:val="tx1"/>
              </w14:solidFill>
            </w14:textFill>
          </w:rPr>
          <w:t>A</w:t>
        </w:r>
      </w:ins>
      <w:ins w:id="398" w:author="QC - R2#123b" w:date="2023-10-16T14:21:00Z">
        <w:r>
          <w:rPr>
            <w:color w:val="000000" w:themeColor="text1"/>
            <w14:textFill>
              <w14:solidFill>
                <w14:schemeClr w14:val="tx1"/>
              </w14:solidFill>
            </w14:textFill>
          </w:rPr>
          <w:t xml:space="preserve"> mobile-IAB cell </w:t>
        </w:r>
      </w:ins>
      <w:ins w:id="399" w:author="QC - R2#123b" w:date="2023-10-16T14:24:00Z">
        <w:r>
          <w:rPr>
            <w:color w:val="000000" w:themeColor="text1"/>
            <w14:textFill>
              <w14:solidFill>
                <w14:schemeClr w14:val="tx1"/>
              </w14:solidFill>
            </w14:textFill>
          </w:rPr>
          <w:t>on</w:t>
        </w:r>
      </w:ins>
      <w:ins w:id="400" w:author="QC - R2#123b" w:date="2023-10-16T14:22:00Z">
        <w:r>
          <w:rPr>
            <w:color w:val="000000" w:themeColor="text1"/>
            <w14:textFill>
              <w14:solidFill>
                <w14:schemeClr w14:val="tx1"/>
              </w14:solidFill>
            </w14:textFill>
          </w:rPr>
          <w:t xml:space="preserve"> a vehicle </w:t>
        </w:r>
      </w:ins>
      <w:ins w:id="401" w:author="QC - R2#123b" w:date="2023-10-16T14:21:00Z">
        <w:r>
          <w:rPr>
            <w:color w:val="000000" w:themeColor="text1"/>
            <w14:textFill>
              <w14:solidFill>
                <w14:schemeClr w14:val="tx1"/>
              </w14:solidFill>
            </w14:textFill>
          </w:rPr>
          <w:t xml:space="preserve">may broadcast a </w:t>
        </w:r>
      </w:ins>
      <w:ins w:id="402" w:author="QC - R2#123b" w:date="2023-10-16T14:21:00Z">
        <w:r>
          <w:rPr>
            <w:i/>
            <w:iCs/>
            <w:color w:val="000000" w:themeColor="text1"/>
            <w14:textFill>
              <w14:solidFill>
                <w14:schemeClr w14:val="tx1"/>
              </w14:solidFill>
            </w14:textFill>
          </w:rPr>
          <w:t xml:space="preserve">mobile-IAB-cell </w:t>
        </w:r>
      </w:ins>
      <w:ins w:id="403" w:author="QC - R2#123b" w:date="2023-10-16T14:21:00Z">
        <w:r>
          <w:rPr>
            <w:color w:val="000000" w:themeColor="text1"/>
            <w14:textFill>
              <w14:solidFill>
                <w14:schemeClr w14:val="tx1"/>
              </w14:solidFill>
            </w14:textFill>
          </w:rPr>
          <w:t xml:space="preserve">indicator in SIB1 to assist </w:t>
        </w:r>
      </w:ins>
      <w:ins w:id="404" w:author="QC - R2#123b" w:date="2023-10-16T14:23:00Z">
        <w:r>
          <w:rPr>
            <w:color w:val="000000" w:themeColor="text1"/>
            <w14:textFill>
              <w14:solidFill>
                <w14:schemeClr w14:val="tx1"/>
              </w14:solidFill>
            </w14:textFill>
          </w:rPr>
          <w:t xml:space="preserve">a Rel-18 </w:t>
        </w:r>
      </w:ins>
      <w:ins w:id="405" w:author="QC - R2#123b" w:date="2023-10-16T14:21:00Z">
        <w:r>
          <w:rPr>
            <w:color w:val="000000" w:themeColor="text1"/>
            <w14:textFill>
              <w14:solidFill>
                <w14:schemeClr w14:val="tx1"/>
              </w14:solidFill>
            </w14:textFill>
          </w:rPr>
          <w:t xml:space="preserve">UE </w:t>
        </w:r>
      </w:ins>
      <w:ins w:id="406" w:author="QC - R2#123b" w:date="2023-10-16T14:27:00Z">
        <w:r>
          <w:rPr>
            <w:color w:val="000000" w:themeColor="text1"/>
            <w14:textFill>
              <w14:solidFill>
                <w14:schemeClr w14:val="tx1"/>
              </w14:solidFill>
            </w14:textFill>
          </w:rPr>
          <w:t>that resid</w:t>
        </w:r>
      </w:ins>
      <w:ins w:id="407" w:author="QC - R2#123b" w:date="2023-10-16T14:28:00Z">
        <w:r>
          <w:rPr>
            <w:color w:val="000000" w:themeColor="text1"/>
            <w14:textFill>
              <w14:solidFill>
                <w14:schemeClr w14:val="tx1"/>
              </w14:solidFill>
            </w14:textFill>
          </w:rPr>
          <w:t>es</w:t>
        </w:r>
      </w:ins>
      <w:ins w:id="408" w:author="QC - R2#123b" w:date="2023-10-16T14:27:00Z">
        <w:r>
          <w:rPr>
            <w:color w:val="000000" w:themeColor="text1"/>
            <w14:textFill>
              <w14:solidFill>
                <w14:schemeClr w14:val="tx1"/>
              </w14:solidFill>
            </w14:textFill>
          </w:rPr>
          <w:t xml:space="preserve"> </w:t>
        </w:r>
      </w:ins>
      <w:ins w:id="409" w:author="QC - R2#123b" w:date="2023-10-16T14:22:00Z">
        <w:r>
          <w:rPr>
            <w:color w:val="000000" w:themeColor="text1"/>
            <w14:textFill>
              <w14:solidFill>
                <w14:schemeClr w14:val="tx1"/>
              </w14:solidFill>
            </w14:textFill>
          </w:rPr>
          <w:t xml:space="preserve">onboard of </w:t>
        </w:r>
      </w:ins>
      <w:ins w:id="410" w:author="QC - R2#123b" w:date="2023-10-16T14:24:00Z">
        <w:r>
          <w:rPr>
            <w:color w:val="000000" w:themeColor="text1"/>
            <w14:textFill>
              <w14:solidFill>
                <w14:schemeClr w14:val="tx1"/>
              </w14:solidFill>
            </w14:textFill>
          </w:rPr>
          <w:t>the same</w:t>
        </w:r>
      </w:ins>
      <w:ins w:id="411" w:author="QC - R2#123b" w:date="2023-10-16T14:22:00Z">
        <w:r>
          <w:rPr>
            <w:color w:val="000000" w:themeColor="text1"/>
            <w14:textFill>
              <w14:solidFill>
                <w14:schemeClr w14:val="tx1"/>
              </w14:solidFill>
            </w14:textFill>
          </w:rPr>
          <w:t xml:space="preserve"> </w:t>
        </w:r>
      </w:ins>
      <w:ins w:id="412" w:author="QC - R2#123b" w:date="2023-10-16T14:23:00Z">
        <w:r>
          <w:rPr>
            <w:color w:val="000000" w:themeColor="text1"/>
            <w14:textFill>
              <w14:solidFill>
                <w14:schemeClr w14:val="tx1"/>
              </w14:solidFill>
            </w14:textFill>
          </w:rPr>
          <w:t xml:space="preserve">vehicle </w:t>
        </w:r>
      </w:ins>
      <w:ins w:id="413" w:author="QC - R2#123b" w:date="2023-10-16T14:25:00Z">
        <w:r>
          <w:rPr>
            <w:color w:val="000000" w:themeColor="text1"/>
            <w14:textFill>
              <w14:solidFill>
                <w14:schemeClr w14:val="tx1"/>
              </w14:solidFill>
            </w14:textFill>
          </w:rPr>
          <w:t>but</w:t>
        </w:r>
      </w:ins>
      <w:ins w:id="414" w:author="QC - R2#123b" w:date="2023-10-16T14:23:00Z">
        <w:r>
          <w:rPr>
            <w:color w:val="000000" w:themeColor="text1"/>
            <w14:textFill>
              <w14:solidFill>
                <w14:schemeClr w14:val="tx1"/>
              </w14:solidFill>
            </w14:textFill>
          </w:rPr>
          <w:t xml:space="preserve"> </w:t>
        </w:r>
      </w:ins>
      <w:ins w:id="415" w:author="QC - R2#123b" w:date="2023-10-16T14:28:00Z">
        <w:r>
          <w:rPr>
            <w:color w:val="000000" w:themeColor="text1"/>
            <w14:textFill>
              <w14:solidFill>
                <w14:schemeClr w14:val="tx1"/>
              </w14:solidFill>
            </w14:textFill>
          </w:rPr>
          <w:t>camps</w:t>
        </w:r>
      </w:ins>
      <w:ins w:id="416" w:author="QC - R2#123b" w:date="2023-10-16T14:23:00Z">
        <w:r>
          <w:rPr>
            <w:color w:val="000000" w:themeColor="text1"/>
            <w14:textFill>
              <w14:solidFill>
                <w14:schemeClr w14:val="tx1"/>
              </w14:solidFill>
            </w14:textFill>
          </w:rPr>
          <w:t xml:space="preserve"> on </w:t>
        </w:r>
      </w:ins>
      <w:ins w:id="417" w:author="QC - R2#123b" w:date="2023-10-16T14:25:00Z">
        <w:r>
          <w:rPr>
            <w:color w:val="000000" w:themeColor="text1"/>
            <w14:textFill>
              <w14:solidFill>
                <w14:schemeClr w14:val="tx1"/>
              </w14:solidFill>
            </w14:textFill>
          </w:rPr>
          <w:t xml:space="preserve">a </w:t>
        </w:r>
      </w:ins>
      <w:ins w:id="418" w:author="QC - R2#123b" w:date="2023-10-16T14:24:00Z">
        <w:r>
          <w:rPr>
            <w:color w:val="000000" w:themeColor="text1"/>
            <w14:textFill>
              <w14:solidFill>
                <w14:schemeClr w14:val="tx1"/>
              </w14:solidFill>
            </w14:textFill>
          </w:rPr>
          <w:t>different</w:t>
        </w:r>
      </w:ins>
      <w:ins w:id="419" w:author="QC - R2#123b" w:date="2023-10-16T14:23:00Z">
        <w:r>
          <w:rPr>
            <w:color w:val="000000" w:themeColor="text1"/>
            <w14:textFill>
              <w14:solidFill>
                <w14:schemeClr w14:val="tx1"/>
              </w14:solidFill>
            </w14:textFill>
          </w:rPr>
          <w:t xml:space="preserve"> cell to prioritize</w:t>
        </w:r>
      </w:ins>
      <w:ins w:id="420" w:author="QC - R2#123b" w:date="2023-10-16T14:21:00Z">
        <w:r>
          <w:rPr>
            <w:color w:val="000000" w:themeColor="text1"/>
            <w14:textFill>
              <w14:solidFill>
                <w14:schemeClr w14:val="tx1"/>
              </w14:solidFill>
            </w14:textFill>
          </w:rPr>
          <w:t xml:space="preserve"> inter-frequency reselection of this </w:t>
        </w:r>
      </w:ins>
      <w:ins w:id="421" w:author="QC - R2#123b" w:date="2023-10-16T14:23:00Z">
        <w:r>
          <w:rPr>
            <w:color w:val="000000" w:themeColor="text1"/>
            <w14:textFill>
              <w14:solidFill>
                <w14:schemeClr w14:val="tx1"/>
              </w14:solidFill>
            </w14:textFill>
          </w:rPr>
          <w:t xml:space="preserve">mobile-IAB </w:t>
        </w:r>
      </w:ins>
      <w:ins w:id="422" w:author="QC - R2#123b" w:date="2023-10-16T14:21:00Z">
        <w:r>
          <w:rPr>
            <w:color w:val="000000" w:themeColor="text1"/>
            <w14:textFill>
              <w14:solidFill>
                <w14:schemeClr w14:val="tx1"/>
              </w14:solidFill>
            </w14:textFill>
          </w:rPr>
          <w:t>cell.</w:t>
        </w:r>
      </w:ins>
    </w:p>
    <w:p>
      <w:pPr>
        <w:rPr>
          <w:ins w:id="423" w:author="QC - R2#123b" w:date="2023-10-16T14:26:00Z"/>
          <w:color w:val="000000" w:themeColor="text1"/>
          <w14:textFill>
            <w14:solidFill>
              <w14:schemeClr w14:val="tx1"/>
            </w14:solidFill>
          </w14:textFill>
        </w:rPr>
      </w:pPr>
      <w:ins w:id="424" w:author="QC - R2#123b" w:date="2023-10-16T14:19:00Z">
        <w:r>
          <w:rPr>
            <w:color w:val="000000" w:themeColor="text1"/>
            <w14:textFill>
              <w14:solidFill>
                <w14:schemeClr w14:val="tx1"/>
              </w14:solidFill>
            </w14:textFill>
          </w:rPr>
          <w:t xml:space="preserve">The cell, </w:t>
        </w:r>
      </w:ins>
      <w:ins w:id="425" w:author="QC - R2#123b" w:date="2023-10-16T14:25:00Z">
        <w:r>
          <w:rPr>
            <w:color w:val="000000" w:themeColor="text1"/>
            <w14:textFill>
              <w14:solidFill>
                <w14:schemeClr w14:val="tx1"/>
              </w14:solidFill>
            </w14:textFill>
          </w:rPr>
          <w:t>on which</w:t>
        </w:r>
      </w:ins>
      <w:ins w:id="426" w:author="QC - R2#123b" w:date="2023-10-16T14:19:00Z">
        <w:r>
          <w:rPr>
            <w:color w:val="000000" w:themeColor="text1"/>
            <w14:textFill>
              <w14:solidFill>
                <w14:schemeClr w14:val="tx1"/>
              </w14:solidFill>
            </w14:textFill>
          </w:rPr>
          <w:t xml:space="preserve"> the UE is camping, </w:t>
        </w:r>
      </w:ins>
      <w:ins w:id="427" w:author="QC - R2#123b" w:date="2023-10-16T12:17:00Z">
        <w:r>
          <w:rPr>
            <w:color w:val="000000" w:themeColor="text1"/>
            <w:rPrChange w:id="428" w:author="QC - R2#123b" w:date="2023-10-16T12:59:00Z">
              <w:rPr>
                <w:color w:val="FF0000"/>
              </w:rPr>
            </w:rPrChange>
            <w14:textFill>
              <w14:solidFill>
                <w14:schemeClr w14:val="tx1"/>
              </w14:solidFill>
            </w14:textFill>
          </w:rPr>
          <w:t>may</w:t>
        </w:r>
      </w:ins>
      <w:ins w:id="429" w:author="QC - R2#123b" w:date="2023-10-16T12:16:00Z">
        <w:r>
          <w:rPr>
            <w:color w:val="000000" w:themeColor="text1"/>
            <w:rPrChange w:id="430" w:author="QC - R2#123b" w:date="2023-10-16T12:59:00Z">
              <w:rPr>
                <w:color w:val="FF0000"/>
              </w:rPr>
            </w:rPrChange>
            <w14:textFill>
              <w14:solidFill>
                <w14:schemeClr w14:val="tx1"/>
              </w14:solidFill>
            </w14:textFill>
          </w:rPr>
          <w:t xml:space="preserve"> further </w:t>
        </w:r>
      </w:ins>
      <w:ins w:id="431" w:author="QC - R2#123b" w:date="2023-10-16T12:17:00Z">
        <w:r>
          <w:rPr>
            <w:color w:val="000000" w:themeColor="text1"/>
            <w:rPrChange w:id="432" w:author="QC - R2#123b" w:date="2023-10-16T12:59:00Z">
              <w:rPr>
                <w:color w:val="FF0000"/>
              </w:rPr>
            </w:rPrChange>
            <w14:textFill>
              <w14:solidFill>
                <w14:schemeClr w14:val="tx1"/>
              </w14:solidFill>
            </w14:textFill>
          </w:rPr>
          <w:t>broadcast</w:t>
        </w:r>
      </w:ins>
      <w:ins w:id="433" w:author="QC - R2#123b" w:date="2023-10-16T12:16:00Z">
        <w:r>
          <w:rPr>
            <w:color w:val="000000" w:themeColor="text1"/>
            <w:rPrChange w:id="434" w:author="QC - R2#123b" w:date="2023-10-16T12:59:00Z">
              <w:rPr>
                <w:color w:val="FF0000"/>
              </w:rPr>
            </w:rPrChange>
            <w14:textFill>
              <w14:solidFill>
                <w14:schemeClr w14:val="tx1"/>
              </w14:solidFill>
            </w14:textFill>
          </w:rPr>
          <w:t xml:space="preserve"> </w:t>
        </w:r>
      </w:ins>
      <w:ins w:id="435" w:author="QC - R2#123b" w:date="2023-10-16T12:16:00Z">
        <w:del w:id="436" w:author="Milos Tesanovic/5G Standards (CRT) /SRUK/Staff Engineer/Samsung Electronics" w:date="2023-10-19T10:21:00Z">
          <w:r>
            <w:rPr>
              <w:color w:val="000000" w:themeColor="text1"/>
              <w:rPrChange w:id="437" w:author="QC - R2#123b" w:date="2023-10-16T12:59:00Z">
                <w:rPr>
                  <w:color w:val="FF0000"/>
                </w:rPr>
              </w:rPrChange>
              <w14:textFill>
                <w14:solidFill>
                  <w14:schemeClr w14:val="tx1"/>
                </w14:solidFill>
              </w14:textFill>
            </w:rPr>
            <w:delText>assistence</w:delText>
          </w:r>
        </w:del>
      </w:ins>
      <w:ins w:id="438" w:author="Milos Tesanovic/5G Standards (CRT) /SRUK/Staff Engineer/Samsung Electronics" w:date="2023-10-19T10:21:00Z">
        <w:r>
          <w:rPr>
            <w:color w:val="000000" w:themeColor="text1"/>
            <w14:textFill>
              <w14:solidFill>
                <w14:schemeClr w14:val="tx1"/>
              </w14:solidFill>
            </w14:textFill>
          </w:rPr>
          <w:t>assistance</w:t>
        </w:r>
      </w:ins>
      <w:ins w:id="439" w:author="QC - R2#123b" w:date="2023-10-16T12:16:00Z">
        <w:r>
          <w:rPr>
            <w:color w:val="000000" w:themeColor="text1"/>
            <w:rPrChange w:id="440" w:author="QC - R2#123b" w:date="2023-10-16T12:59:00Z">
              <w:rPr>
                <w:color w:val="FF0000"/>
              </w:rPr>
            </w:rPrChange>
            <w14:textFill>
              <w14:solidFill>
                <w14:schemeClr w14:val="tx1"/>
              </w14:solidFill>
            </w14:textFill>
          </w:rPr>
          <w:t xml:space="preserve"> </w:t>
        </w:r>
      </w:ins>
      <w:ins w:id="441" w:author="QC - R2#123b" w:date="2023-10-16T12:17:00Z">
        <w:r>
          <w:rPr>
            <w:color w:val="000000" w:themeColor="text1"/>
            <w:rPrChange w:id="442" w:author="QC - R2#123b" w:date="2023-10-16T12:59:00Z">
              <w:rPr>
                <w:color w:val="FF0000"/>
              </w:rPr>
            </w:rPrChange>
            <w14:textFill>
              <w14:solidFill>
                <w14:schemeClr w14:val="tx1"/>
              </w14:solidFill>
            </w14:textFill>
          </w:rPr>
          <w:t>information</w:t>
        </w:r>
      </w:ins>
      <w:ins w:id="443" w:author="QC - R2#123b" w:date="2023-10-16T12:16:00Z">
        <w:r>
          <w:rPr>
            <w:color w:val="000000" w:themeColor="text1"/>
            <w:rPrChange w:id="444" w:author="QC - R2#123b" w:date="2023-10-16T12:59:00Z">
              <w:rPr>
                <w:color w:val="FF0000"/>
              </w:rPr>
            </w:rPrChange>
            <w14:textFill>
              <w14:solidFill>
                <w14:schemeClr w14:val="tx1"/>
              </w14:solidFill>
            </w14:textFill>
          </w:rPr>
          <w:t xml:space="preserve"> </w:t>
        </w:r>
      </w:ins>
      <w:ins w:id="445" w:author="QC - R2#123b" w:date="2023-10-16T14:25:00Z">
        <w:r>
          <w:rPr>
            <w:color w:val="000000" w:themeColor="text1"/>
            <w14:textFill>
              <w14:solidFill>
                <w14:schemeClr w14:val="tx1"/>
              </w14:solidFill>
            </w14:textFill>
          </w:rPr>
          <w:t xml:space="preserve">in SIB4 </w:t>
        </w:r>
      </w:ins>
      <w:ins w:id="446" w:author="QC - R2#123b" w:date="2023-10-16T12:18:00Z">
        <w:r>
          <w:rPr>
            <w:color w:val="000000" w:themeColor="text1"/>
            <w:rPrChange w:id="447" w:author="QC - R2#123b" w:date="2023-10-16T12:59:00Z">
              <w:rPr>
                <w:color w:val="FF0000"/>
              </w:rPr>
            </w:rPrChange>
            <w14:textFill>
              <w14:solidFill>
                <w14:schemeClr w14:val="tx1"/>
              </w14:solidFill>
            </w14:textFill>
          </w:rPr>
          <w:t>for the</w:t>
        </w:r>
      </w:ins>
      <w:ins w:id="448" w:author="QC - R2#123b" w:date="2023-10-16T12:16:00Z">
        <w:r>
          <w:rPr>
            <w:color w:val="000000" w:themeColor="text1"/>
            <w:rPrChange w:id="449" w:author="QC - R2#123b" w:date="2023-10-16T12:59:00Z">
              <w:rPr>
                <w:color w:val="FF0000"/>
              </w:rPr>
            </w:rPrChange>
            <w14:textFill>
              <w14:solidFill>
                <w14:schemeClr w14:val="tx1"/>
              </w14:solidFill>
            </w14:textFill>
          </w:rPr>
          <w:t xml:space="preserve"> prioritization of inter-frequency cell reselection</w:t>
        </w:r>
      </w:ins>
      <w:ins w:id="450" w:author="QC - R2#123b" w:date="2023-10-16T12:18:00Z">
        <w:r>
          <w:rPr>
            <w:color w:val="000000" w:themeColor="text1"/>
            <w:rPrChange w:id="451" w:author="QC - R2#123b" w:date="2023-10-16T12:59:00Z">
              <w:rPr>
                <w:color w:val="FF0000"/>
              </w:rPr>
            </w:rPrChange>
            <w14:textFill>
              <w14:solidFill>
                <w14:schemeClr w14:val="tx1"/>
              </w14:solidFill>
            </w14:textFill>
          </w:rPr>
          <w:t xml:space="preserve"> of mIAB cells.</w:t>
        </w:r>
      </w:ins>
      <w:ins w:id="452" w:author="QC - R2#123b" w:date="2023-10-16T12:19:00Z">
        <w:r>
          <w:rPr>
            <w:color w:val="000000" w:themeColor="text1"/>
            <w:rPrChange w:id="453" w:author="QC - R2#123b" w:date="2023-10-16T12:59:00Z">
              <w:rPr>
                <w:color w:val="FF0000"/>
              </w:rPr>
            </w:rPrChange>
            <w14:textFill>
              <w14:solidFill>
                <w14:schemeClr w14:val="tx1"/>
              </w14:solidFill>
            </w14:textFill>
          </w:rPr>
          <w:t xml:space="preserve"> </w:t>
        </w:r>
      </w:ins>
    </w:p>
    <w:p>
      <w:pPr>
        <w:rPr>
          <w:ins w:id="454" w:author="QC - R2#123b" w:date="2023-10-16T14:20:00Z"/>
          <w:rFonts w:eastAsia="宋体"/>
          <w:color w:val="000000" w:themeColor="text1"/>
          <w:lang w:eastAsia="zh-CN"/>
          <w14:textFill>
            <w14:solidFill>
              <w14:schemeClr w14:val="tx1"/>
            </w14:solidFill>
          </w14:textFill>
        </w:rPr>
      </w:pPr>
      <w:ins w:id="455" w:author="QC - R2#123b" w:date="2023-10-16T12:19:00Z">
        <w:r>
          <w:rPr>
            <w:color w:val="000000" w:themeColor="text1"/>
            <w:rPrChange w:id="456" w:author="QC - R2#123b" w:date="2023-10-16T12:59:00Z">
              <w:rPr>
                <w:color w:val="FF0000"/>
              </w:rPr>
            </w:rPrChange>
            <w14:textFill>
              <w14:solidFill>
                <w14:schemeClr w14:val="tx1"/>
              </w14:solidFill>
            </w14:textFill>
          </w:rPr>
          <w:t>Further details</w:t>
        </w:r>
      </w:ins>
      <w:ins w:id="457" w:author="QC - R2#123b" w:date="2023-10-16T12:19:00Z">
        <w:r>
          <w:rPr>
            <w:rFonts w:eastAsia="宋体"/>
            <w:color w:val="000000" w:themeColor="text1"/>
            <w:lang w:eastAsia="zh-CN"/>
            <w:rPrChange w:id="458" w:author="QC - R2#123b" w:date="2023-10-16T12:59:00Z">
              <w:rPr>
                <w:rFonts w:eastAsia="宋体"/>
                <w:lang w:eastAsia="zh-CN"/>
              </w:rPr>
            </w:rPrChange>
            <w14:textFill>
              <w14:solidFill>
                <w14:schemeClr w14:val="tx1"/>
              </w14:solidFill>
            </w14:textFill>
          </w:rPr>
          <w:t xml:space="preserve"> for </w:t>
        </w:r>
      </w:ins>
      <w:ins w:id="459" w:author="QC - R2#123b" w:date="2023-10-16T12:19:00Z">
        <w:r>
          <w:rPr>
            <w:rFonts w:eastAsia="宋体"/>
            <w:color w:val="000000" w:themeColor="text1"/>
            <w:lang w:eastAsia="zh-CN"/>
            <w:rPrChange w:id="460" w:author="QC - R2#123b" w:date="2023-10-16T12:59:00Z">
              <w:rPr>
                <w:rFonts w:eastAsia="宋体"/>
                <w:lang w:eastAsia="zh-CN"/>
              </w:rPr>
            </w:rPrChange>
            <w14:textFill>
              <w14:solidFill>
                <w14:schemeClr w14:val="tx1"/>
              </w14:solidFill>
            </w14:textFill>
          </w:rPr>
          <w:t>mIAB</w:t>
        </w:r>
      </w:ins>
      <w:ins w:id="461" w:author="QC - R2#123b" w:date="2023-10-16T12:19:00Z">
        <w:r>
          <w:rPr>
            <w:rFonts w:eastAsia="宋体"/>
            <w:color w:val="000000" w:themeColor="text1"/>
            <w:lang w:eastAsia="zh-CN"/>
            <w:rPrChange w:id="462" w:author="QC - R2#123b" w:date="2023-10-16T12:59:00Z">
              <w:rPr>
                <w:rFonts w:eastAsia="宋体"/>
                <w:lang w:eastAsia="zh-CN"/>
              </w:rPr>
            </w:rPrChange>
            <w14:textFill>
              <w14:solidFill>
                <w14:schemeClr w14:val="tx1"/>
              </w14:solidFill>
            </w14:textFill>
          </w:rPr>
          <w:t>-cell reselection are defined in TS 38.</w:t>
        </w:r>
      </w:ins>
      <w:ins w:id="463" w:author="QC - R2#123b" w:date="2023-10-16T12:20:00Z">
        <w:r>
          <w:rPr>
            <w:rFonts w:eastAsia="宋体"/>
            <w:color w:val="000000" w:themeColor="text1"/>
            <w:lang w:eastAsia="zh-CN"/>
            <w:rPrChange w:id="464" w:author="QC - R2#123b" w:date="2023-10-16T12:59:00Z">
              <w:rPr>
                <w:rFonts w:eastAsia="宋体"/>
                <w:lang w:eastAsia="zh-CN"/>
              </w:rPr>
            </w:rPrChange>
            <w14:textFill>
              <w14:solidFill>
                <w14:schemeClr w14:val="tx1"/>
              </w14:solidFill>
            </w14:textFill>
          </w:rPr>
          <w:t>304</w:t>
        </w:r>
      </w:ins>
      <w:ins w:id="465" w:author="QC - R2#123b" w:date="2023-10-16T12:19:00Z">
        <w:r>
          <w:rPr>
            <w:rFonts w:eastAsia="宋体"/>
            <w:color w:val="000000" w:themeColor="text1"/>
            <w:lang w:eastAsia="zh-CN"/>
            <w:rPrChange w:id="466" w:author="QC - R2#123b" w:date="2023-10-16T12:59:00Z">
              <w:rPr>
                <w:rFonts w:eastAsia="宋体"/>
                <w:lang w:eastAsia="zh-CN"/>
              </w:rPr>
            </w:rPrChange>
            <w14:textFill>
              <w14:solidFill>
                <w14:schemeClr w14:val="tx1"/>
              </w14:solidFill>
            </w14:textFill>
          </w:rPr>
          <w:t xml:space="preserve"> [</w:t>
        </w:r>
      </w:ins>
      <w:ins w:id="467" w:author="QC - R2#123b" w:date="2023-10-16T12:20:00Z">
        <w:r>
          <w:rPr>
            <w:rFonts w:eastAsia="宋体"/>
            <w:color w:val="000000" w:themeColor="text1"/>
            <w:lang w:eastAsia="zh-CN"/>
            <w:rPrChange w:id="468" w:author="QC - R2#123b" w:date="2023-10-16T12:59:00Z">
              <w:rPr>
                <w:rFonts w:eastAsia="宋体"/>
                <w:lang w:eastAsia="zh-CN"/>
              </w:rPr>
            </w:rPrChange>
            <w14:textFill>
              <w14:solidFill>
                <w14:schemeClr w14:val="tx1"/>
              </w14:solidFill>
            </w14:textFill>
          </w:rPr>
          <w:t>10</w:t>
        </w:r>
      </w:ins>
      <w:ins w:id="469" w:author="QC - R2#123b" w:date="2023-10-16T12:19:00Z">
        <w:r>
          <w:rPr>
            <w:rFonts w:eastAsia="宋体"/>
            <w:color w:val="000000" w:themeColor="text1"/>
            <w:lang w:eastAsia="zh-CN"/>
            <w:rPrChange w:id="470" w:author="QC - R2#123b" w:date="2023-10-16T12:59:00Z">
              <w:rPr>
                <w:rFonts w:eastAsia="宋体"/>
                <w:lang w:eastAsia="zh-CN"/>
              </w:rPr>
            </w:rPrChange>
            <w14:textFill>
              <w14:solidFill>
                <w14:schemeClr w14:val="tx1"/>
              </w14:solidFill>
            </w14:textFill>
          </w:rPr>
          <w:t>].</w:t>
        </w:r>
      </w:ins>
    </w:p>
    <w:p>
      <w:pPr>
        <w:rPr>
          <w:ins w:id="472" w:author="QC - R2#123b" w:date="2023-10-16T11:47:00Z"/>
          <w:color w:val="000000" w:themeColor="text1"/>
          <w:rPrChange w:id="473" w:author="QC - R2#123b" w:date="2023-10-16T12:59:00Z">
            <w:rPr>
              <w:ins w:id="474" w:author="QC - R2#123b" w:date="2023-10-16T11:47:00Z"/>
            </w:rPr>
          </w:rPrChange>
          <w14:textFill>
            <w14:solidFill>
              <w14:schemeClr w14:val="tx1"/>
            </w14:solidFill>
          </w14:textFill>
        </w:rPr>
        <w:pPrChange w:id="471" w:author="QC - R2#123b" w:date="2023-10-16T11:47:00Z">
          <w:pPr>
            <w:pStyle w:val="5"/>
          </w:pPr>
        </w:pPrChange>
      </w:pPr>
      <w:ins w:id="475" w:author="QC - R2#123b" w:date="2023-10-16T12:11:00Z">
        <w:r>
          <w:rPr>
            <w:color w:val="000000" w:themeColor="text1"/>
            <w:rPrChange w:id="476" w:author="QC - R2#123b" w:date="2023-10-16T12:59:00Z">
              <w:rPr/>
            </w:rPrChange>
            <w14:textFill>
              <w14:solidFill>
                <w14:schemeClr w14:val="tx1"/>
              </w14:solidFill>
            </w14:textFill>
          </w:rPr>
          <w:t xml:space="preserve">NOTE: The </w:t>
        </w:r>
      </w:ins>
      <w:ins w:id="477" w:author="QC - R2#123b" w:date="2023-10-16T12:12:00Z">
        <w:r>
          <w:rPr>
            <w:color w:val="000000" w:themeColor="text1"/>
            <w:rPrChange w:id="478" w:author="QC - R2#123b" w:date="2023-10-16T12:59:00Z">
              <w:rPr/>
            </w:rPrChange>
            <w14:textFill>
              <w14:solidFill>
                <w14:schemeClr w14:val="tx1"/>
              </w14:solidFill>
            </w14:textFill>
          </w:rPr>
          <w:t xml:space="preserve">UE’s awareness of being </w:t>
        </w:r>
      </w:ins>
      <w:ins w:id="479" w:author="QC - R2#123b" w:date="2023-10-16T12:12:00Z">
        <w:r>
          <w:rPr>
            <w:i/>
            <w:iCs/>
            <w:color w:val="000000" w:themeColor="text1"/>
            <w:rPrChange w:id="480" w:author="QC - R2#123b" w:date="2023-10-16T12:59:00Z">
              <w:rPr/>
            </w:rPrChange>
            <w14:textFill>
              <w14:solidFill>
                <w14:schemeClr w14:val="tx1"/>
              </w14:solidFill>
            </w14:textFill>
          </w:rPr>
          <w:t>onboard</w:t>
        </w:r>
      </w:ins>
      <w:ins w:id="481" w:author="QC - R2#123b" w:date="2023-10-16T12:12:00Z">
        <w:r>
          <w:rPr>
            <w:color w:val="000000" w:themeColor="text1"/>
            <w:rPrChange w:id="482" w:author="QC - R2#123b" w:date="2023-10-16T12:59:00Z">
              <w:rPr/>
            </w:rPrChange>
            <w14:textFill>
              <w14:solidFill>
                <w14:schemeClr w14:val="tx1"/>
              </w14:solidFill>
            </w14:textFill>
          </w:rPr>
          <w:t xml:space="preserve"> </w:t>
        </w:r>
      </w:ins>
      <w:ins w:id="483" w:author="QC - R2#123b" w:date="2023-10-16T14:26:00Z">
        <w:r>
          <w:rPr>
            <w:color w:val="000000" w:themeColor="text1"/>
            <w14:textFill>
              <w14:solidFill>
                <w14:schemeClr w14:val="tx1"/>
              </w14:solidFill>
            </w14:textFill>
          </w:rPr>
          <w:t xml:space="preserve">of a vehicle </w:t>
        </w:r>
      </w:ins>
      <w:ins w:id="484" w:author="QC - R2#123b" w:date="2023-10-16T14:27:00Z">
        <w:r>
          <w:rPr>
            <w:color w:val="000000" w:themeColor="text1"/>
            <w14:textFill>
              <w14:solidFill>
                <w14:schemeClr w14:val="tx1"/>
              </w14:solidFill>
            </w14:textFill>
          </w:rPr>
          <w:t>that hosts</w:t>
        </w:r>
      </w:ins>
      <w:ins w:id="485" w:author="QC - R2#123b" w:date="2023-10-16T14:26:00Z">
        <w:r>
          <w:rPr>
            <w:color w:val="000000" w:themeColor="text1"/>
            <w14:textFill>
              <w14:solidFill>
                <w14:schemeClr w14:val="tx1"/>
              </w14:solidFill>
            </w14:textFill>
          </w:rPr>
          <w:t xml:space="preserve"> </w:t>
        </w:r>
      </w:ins>
      <w:ins w:id="486" w:author="QC - R2#123b" w:date="2023-10-16T14:27:00Z">
        <w:r>
          <w:rPr>
            <w:color w:val="000000" w:themeColor="text1"/>
            <w14:textFill>
              <w14:solidFill>
                <w14:schemeClr w14:val="tx1"/>
              </w14:solidFill>
            </w14:textFill>
          </w:rPr>
          <w:t>a</w:t>
        </w:r>
      </w:ins>
      <w:ins w:id="487" w:author="QC - R2#123b" w:date="2023-10-16T14:26:00Z">
        <w:r>
          <w:rPr>
            <w:color w:val="000000" w:themeColor="text1"/>
            <w14:textFill>
              <w14:solidFill>
                <w14:schemeClr w14:val="tx1"/>
              </w14:solidFill>
            </w14:textFill>
          </w:rPr>
          <w:t xml:space="preserve"> mobile-IAB cell </w:t>
        </w:r>
      </w:ins>
      <w:ins w:id="488" w:author="QC - R2#123b" w:date="2023-10-16T12:12:00Z">
        <w:r>
          <w:rPr>
            <w:color w:val="000000" w:themeColor="text1"/>
            <w:rPrChange w:id="489" w:author="QC - R2#123b" w:date="2023-10-16T12:59:00Z">
              <w:rPr/>
            </w:rPrChange>
            <w14:textFill>
              <w14:solidFill>
                <w14:schemeClr w14:val="tx1"/>
              </w14:solidFill>
            </w14:textFill>
          </w:rPr>
          <w:t>is based on implementation.</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Next Change ---</w:t>
            </w:r>
          </w:p>
        </w:tc>
      </w:tr>
    </w:tbl>
    <w:p>
      <w:pPr>
        <w:pStyle w:val="3"/>
      </w:pPr>
      <w:r>
        <w:t>9.2</w:t>
      </w:r>
      <w:r>
        <w:tab/>
      </w:r>
      <w:r>
        <w:t>Intra-NR</w:t>
      </w:r>
      <w:bookmarkEnd w:id="9"/>
      <w:bookmarkEnd w:id="10"/>
      <w:bookmarkEnd w:id="11"/>
      <w:bookmarkEnd w:id="12"/>
    </w:p>
    <w:p>
      <w:pPr>
        <w:pStyle w:val="4"/>
      </w:pPr>
      <w:bookmarkStart w:id="13" w:name="_Toc20387968"/>
      <w:bookmarkStart w:id="14" w:name="_Toc29376048"/>
      <w:bookmarkStart w:id="15" w:name="_Toc37231939"/>
      <w:bookmarkStart w:id="16" w:name="_Toc46501994"/>
      <w:bookmarkStart w:id="17" w:name="_Toc51971342"/>
      <w:bookmarkStart w:id="18" w:name="_Toc52551325"/>
      <w:bookmarkStart w:id="19" w:name="_Toc139018057"/>
      <w:r>
        <w:t>9.2.1</w:t>
      </w:r>
      <w:r>
        <w:tab/>
      </w:r>
      <w:r>
        <w:t>Mobility in RRC_IDLE</w:t>
      </w:r>
      <w:bookmarkEnd w:id="13"/>
      <w:bookmarkEnd w:id="14"/>
      <w:bookmarkEnd w:id="15"/>
      <w:bookmarkEnd w:id="16"/>
      <w:bookmarkEnd w:id="17"/>
      <w:bookmarkEnd w:id="18"/>
      <w:bookmarkEnd w:id="19"/>
    </w:p>
    <w:p>
      <w:pPr>
        <w:pStyle w:val="5"/>
      </w:pPr>
      <w:bookmarkStart w:id="20" w:name="_Toc20387969"/>
      <w:bookmarkStart w:id="21" w:name="_Toc29376049"/>
      <w:bookmarkStart w:id="22" w:name="_Toc37231940"/>
      <w:bookmarkStart w:id="23" w:name="_Toc46501995"/>
      <w:bookmarkStart w:id="24" w:name="_Toc51971343"/>
      <w:bookmarkStart w:id="25" w:name="_Toc52551326"/>
      <w:bookmarkStart w:id="26" w:name="_Toc139018058"/>
      <w:r>
        <w:t>9.2.1.1</w:t>
      </w:r>
      <w:r>
        <w:tab/>
      </w:r>
      <w:r>
        <w:t>Cell Selection</w:t>
      </w:r>
      <w:bookmarkEnd w:id="20"/>
      <w:bookmarkEnd w:id="21"/>
      <w:bookmarkEnd w:id="22"/>
      <w:bookmarkEnd w:id="23"/>
      <w:bookmarkEnd w:id="24"/>
      <w:bookmarkEnd w:id="25"/>
      <w:bookmarkEnd w:id="26"/>
    </w:p>
    <w:p>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pPr>
        <w:pStyle w:val="77"/>
      </w:pPr>
      <w:r>
        <w:t>-</w:t>
      </w:r>
      <w:r>
        <w:tab/>
      </w:r>
      <w:r>
        <w:t>The UE NAS layer identifies a selected PLMN and equivalent PLMNs;</w:t>
      </w:r>
    </w:p>
    <w:p>
      <w:pPr>
        <w:pStyle w:val="77"/>
      </w:pPr>
      <w:r>
        <w:t>-</w:t>
      </w:r>
      <w:r>
        <w:tab/>
      </w:r>
      <w:r>
        <w:t>Cell selection is always based on CD-SSBs located on the synchronization raster (see clause 5.2.4):</w:t>
      </w:r>
    </w:p>
    <w:p>
      <w:pPr>
        <w:pStyle w:val="78"/>
      </w:pPr>
      <w:r>
        <w:t>-</w:t>
      </w:r>
      <w:r>
        <w:tab/>
      </w:r>
      <w:r>
        <w:t>The UE searches the NR frequency bands and for each carrier frequency identifies the strongest cell as per the CD-SSB. It then reads cell system information broadcast to identify its PLMN(s):</w:t>
      </w:r>
    </w:p>
    <w:p>
      <w:pPr>
        <w:pStyle w:val="79"/>
      </w:pPr>
      <w:r>
        <w:t>-</w:t>
      </w:r>
      <w:r>
        <w:tab/>
      </w:r>
      <w:r>
        <w:t>The UE may search each carrier in turn ("initial cell selection") or make use of stored information to shorten the search ("stored information cell selection").</w:t>
      </w:r>
    </w:p>
    <w:p>
      <w:pPr>
        <w:pStyle w:val="77"/>
      </w:pPr>
      <w:r>
        <w:t>-</w:t>
      </w:r>
      <w:r>
        <w:tab/>
      </w:r>
      <w:r>
        <w:t>The UE seeks to identify a suitable cell; if it is not able to identify a suitable cell it seeks to identify an acceptable cell. When a suitable cell is found or if only an acceptable cell is found it camps on that cell and commence the cell reselection procedure:</w:t>
      </w:r>
    </w:p>
    <w:p>
      <w:pPr>
        <w:pStyle w:val="78"/>
      </w:pPr>
      <w:r>
        <w:t>-</w:t>
      </w:r>
      <w:r>
        <w:tab/>
      </w:r>
      <w:r>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pPr>
        <w:pStyle w:val="78"/>
      </w:pPr>
      <w:r>
        <w:t>-</w:t>
      </w:r>
      <w:r>
        <w:tab/>
      </w:r>
      <w:r>
        <w:t>An acceptable cell is one for which the measured cell attributes satisfy the cell selection criteria and the cell is not barred.</w:t>
      </w:r>
    </w:p>
    <w:p>
      <w:pPr>
        <w:pStyle w:val="77"/>
      </w:pPr>
      <w:r>
        <w:t>-</w:t>
      </w:r>
      <w:r>
        <w:tab/>
      </w:r>
      <w:r>
        <w:t>The IAB-MT applies the cell selection procedure as described for the UE with the following differences:</w:t>
      </w:r>
    </w:p>
    <w:p>
      <w:pPr>
        <w:pStyle w:val="78"/>
        <w:ind w:left="864" w:hanging="288"/>
      </w:pPr>
      <w:r>
        <w:t>-</w:t>
      </w:r>
      <w:r>
        <w:tab/>
      </w:r>
      <w:r>
        <w:t>The IAB-MT ignores cell-barring or cell-reservation indications contained in cell system information broadcast;</w:t>
      </w:r>
    </w:p>
    <w:p>
      <w:pPr>
        <w:pStyle w:val="77"/>
        <w:ind w:left="852"/>
      </w:pPr>
      <w:r>
        <w:t>-</w:t>
      </w:r>
      <w:r>
        <w:tab/>
      </w:r>
      <w:r>
        <w:t>The IAB-MT only considers a cell as a candidate for cell selection if the cell system information broadcast indicates IAB support for the selected PLMN or the selected SNPN.</w:t>
      </w:r>
    </w:p>
    <w:p>
      <w:pPr>
        <w:ind w:left="568" w:hanging="284"/>
        <w:rPr>
          <w:ins w:id="490" w:author="R2#123" w:date="2023-09-26T11:06:00Z"/>
        </w:rPr>
      </w:pPr>
      <w:ins w:id="491" w:author="R2#123" w:date="2023-09-26T11:06:00Z">
        <w:r>
          <w:rPr/>
          <w:t>-</w:t>
        </w:r>
      </w:ins>
      <w:ins w:id="492" w:author="R2#123" w:date="2023-09-26T11:06:00Z">
        <w:r>
          <w:rPr/>
          <w:tab/>
        </w:r>
      </w:ins>
      <w:ins w:id="493" w:author="R2#123" w:date="2023-09-26T11:06:00Z">
        <w:r>
          <w:rPr/>
          <w:t>The mobile IAB-MT applies the cell selection procedure as described for the IAB-MT with the following differences:</w:t>
        </w:r>
      </w:ins>
    </w:p>
    <w:p>
      <w:pPr>
        <w:pStyle w:val="78"/>
        <w:ind w:left="864" w:hanging="288"/>
        <w:rPr>
          <w:ins w:id="494" w:author="R2#123" w:date="2023-09-26T11:06:00Z"/>
        </w:rPr>
      </w:pPr>
      <w:ins w:id="495" w:author="R2#123" w:date="2023-09-26T11:06:00Z">
        <w:r>
          <w:rPr/>
          <w:t>- The mobile IAB-MT</w:t>
        </w:r>
        <w:commentRangeStart w:id="29"/>
        <w:r>
          <w:rPr/>
          <w:t xml:space="preserve"> </w:t>
        </w:r>
      </w:ins>
      <w:ins w:id="496" w:author="R2#123" w:date="2023-09-26T11:06:00Z">
        <w:del w:id="497" w:author="QC - R2#123b" w:date="2023-10-16T13:00:00Z">
          <w:r>
            <w:rPr/>
            <w:delText>also</w:delText>
          </w:r>
        </w:del>
      </w:ins>
      <w:ins w:id="498" w:author="QC - R2#123b" w:date="2023-10-16T13:00:00Z">
        <w:r>
          <w:rPr/>
          <w:t>only</w:t>
        </w:r>
      </w:ins>
      <w:ins w:id="499" w:author="R2#123" w:date="2023-09-26T11:06:00Z">
        <w:r>
          <w:rPr/>
          <w:t xml:space="preserve"> </w:t>
        </w:r>
        <w:commentRangeEnd w:id="29"/>
      </w:ins>
      <w:r>
        <w:commentReference w:id="29"/>
      </w:r>
      <w:ins w:id="500" w:author="R2#123" w:date="2023-09-26T11:06:00Z">
        <w:r>
          <w:rPr/>
          <w:t>considers a cell as a candidate cell for cell selection if the cell system information broadcast indicates mobile IAB support.</w:t>
        </w:r>
      </w:ins>
    </w:p>
    <w:p>
      <w:pPr>
        <w:ind w:left="568"/>
        <w:rPr>
          <w:ins w:id="501" w:author="R2#123" w:date="2023-09-26T11:06:00Z"/>
          <w:del w:id="502" w:author="QC - R2#123b" w:date="2023-10-16T13:00:00Z"/>
        </w:rPr>
      </w:pPr>
      <w:ins w:id="503" w:author="R2#123" w:date="2023-09-26T11:06:00Z">
        <w:del w:id="504" w:author="QC - R2#123b" w:date="2023-10-16T13:00:00Z">
          <w:r>
            <w:rPr/>
            <w:delText xml:space="preserve">Editor’s NOTE: FFS on the functionality provided to the mobile IAB-node by a RAN that does not support mobile IAB. </w:delText>
          </w:r>
        </w:del>
      </w:ins>
    </w:p>
    <w:p>
      <w:pPr>
        <w:pStyle w:val="78"/>
        <w:ind w:left="864" w:hanging="288"/>
        <w:rPr>
          <w:ins w:id="505" w:author="Qualcomm" w:date="2023-07-28T15:25:00Z"/>
        </w:rPr>
      </w:pPr>
    </w:p>
    <w:p>
      <w:r>
        <w:t>Transition to RRC_IDLE:</w:t>
      </w:r>
    </w:p>
    <w:p>
      <w:pPr>
        <w:pStyle w:val="77"/>
      </w:pPr>
      <w:r>
        <w:tab/>
      </w:r>
      <w:r>
        <w:t>On transition from RRC_CONNECTED or RRC_INACTIVE to RRC_IDLE, a UE should camp on a cell as result of cell selection according to the frequency be assigned by RRC in the state transition message if any.</w:t>
      </w:r>
    </w:p>
    <w:p>
      <w:r>
        <w:t>Recovery from out of coverage:</w:t>
      </w:r>
    </w:p>
    <w:p>
      <w:pPr>
        <w:pStyle w:val="77"/>
      </w:pPr>
      <w:r>
        <w:tab/>
      </w:r>
      <w:r>
        <w:t>The UE should attempt to find a suitable cell in the manner described for stored information or initial cell selection above. If no suitable cell is found on any frequency or RAT, the UE should attempt to find an acceptable cell.</w:t>
      </w:r>
    </w:p>
    <w:p>
      <w:r>
        <w:t>In multi-beam operations, the cell quality is derived amongst the beams corresponding to the same cell (see clause 9.2.4).</w:t>
      </w:r>
    </w:p>
    <w:p>
      <w:pPr>
        <w:rPr>
          <w:b/>
          <w:bCs/>
        </w:rPr>
      </w:pPr>
      <w:r>
        <w:rPr>
          <w:b/>
          <w:bCs/>
          <w:highlight w:val="yellow"/>
        </w:rPr>
        <w:t>&gt;&gt;&gt;&gt; Skip</w:t>
      </w:r>
    </w:p>
    <w:p/>
    <w:p>
      <w:pPr>
        <w:pStyle w:val="4"/>
      </w:pPr>
      <w:bookmarkStart w:id="27" w:name="_Toc20387980"/>
      <w:bookmarkStart w:id="28" w:name="_Toc29376060"/>
      <w:bookmarkStart w:id="29" w:name="_Toc37231951"/>
      <w:bookmarkStart w:id="30" w:name="_Toc46502006"/>
      <w:bookmarkStart w:id="31" w:name="_Toc51971354"/>
      <w:bookmarkStart w:id="32" w:name="_Toc52551337"/>
      <w:bookmarkStart w:id="33" w:name="_Toc139018070"/>
      <w:r>
        <w:t>9.2.3</w:t>
      </w:r>
      <w:r>
        <w:tab/>
      </w:r>
      <w:r>
        <w:t>Mobility in RRC_CONNECTED</w:t>
      </w:r>
      <w:bookmarkEnd w:id="27"/>
      <w:bookmarkEnd w:id="28"/>
      <w:bookmarkEnd w:id="29"/>
      <w:bookmarkEnd w:id="30"/>
      <w:bookmarkEnd w:id="31"/>
      <w:bookmarkEnd w:id="32"/>
      <w:bookmarkEnd w:id="33"/>
    </w:p>
    <w:p>
      <w:pPr>
        <w:pStyle w:val="5"/>
      </w:pPr>
      <w:bookmarkStart w:id="34" w:name="_Toc20387981"/>
      <w:bookmarkStart w:id="35" w:name="_Toc29376061"/>
      <w:bookmarkStart w:id="36" w:name="_Toc37231952"/>
      <w:bookmarkStart w:id="37" w:name="_Toc46502007"/>
      <w:bookmarkStart w:id="38" w:name="_Toc51971355"/>
      <w:bookmarkStart w:id="39" w:name="_Toc52551338"/>
      <w:bookmarkStart w:id="40" w:name="_Toc139018071"/>
      <w:r>
        <w:t>9.2.3.1</w:t>
      </w:r>
      <w:r>
        <w:tab/>
      </w:r>
      <w:r>
        <w:t>Overview</w:t>
      </w:r>
      <w:bookmarkEnd w:id="34"/>
      <w:bookmarkEnd w:id="35"/>
      <w:bookmarkEnd w:id="36"/>
      <w:bookmarkEnd w:id="37"/>
      <w:bookmarkEnd w:id="38"/>
      <w:bookmarkEnd w:id="39"/>
      <w:bookmarkEnd w:id="40"/>
    </w:p>
    <w:p>
      <w:r>
        <w:t>Network controlled mobility applies to UEs in RRC_CONNECTED and is categorized into two types of mobility: cell level mobility and beam level mobility. Beam level mobility includes intra-cell beam level mobility and inter-cell beam level mobility.</w:t>
      </w:r>
    </w:p>
    <w:p>
      <w:r>
        <w:rPr>
          <w:b/>
        </w:rPr>
        <w:t>Cell Level Mobility</w:t>
      </w:r>
      <w:r>
        <w:t xml:space="preserve"> requires explicit RRC signalling to be triggered, i.e. handover. For inter-gNB handover, the signalling procedures consist of at least the following elemental components illustrated in Figure 9.2.3.1-1:</w:t>
      </w:r>
    </w:p>
    <w:p>
      <w:pPr>
        <w:pStyle w:val="57"/>
      </w:pPr>
      <w:r>
        <w:object>
          <v:shape id="_x0000_i1025" o:spt="75" type="#_x0000_t75" style="height:155.75pt;width:351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56"/>
      </w:pPr>
      <w:r>
        <w:t>Figure 9.2.3.1-1: Inter-gNB handover procedures</w:t>
      </w:r>
    </w:p>
    <w:p>
      <w:pPr>
        <w:pStyle w:val="77"/>
      </w:pPr>
      <w:r>
        <w:t>1.</w:t>
      </w:r>
      <w:r>
        <w:tab/>
      </w:r>
      <w:r>
        <w:t>The source gNB initiates handover and issues a HANDOVER REQUEST over the Xn interface.</w:t>
      </w:r>
    </w:p>
    <w:p>
      <w:pPr>
        <w:pStyle w:val="77"/>
      </w:pPr>
      <w:r>
        <w:t>2.</w:t>
      </w:r>
      <w:r>
        <w:tab/>
      </w:r>
      <w:r>
        <w:t>The target gNB performs admission control and provides the new RRC configuration as part of the HANDOVER REQUEST ACKNOWLEDGE.</w:t>
      </w:r>
    </w:p>
    <w:p>
      <w:pPr>
        <w:pStyle w:val="77"/>
      </w:pPr>
      <w:r>
        <w:t>3.</w:t>
      </w:r>
      <w:r>
        <w:tab/>
      </w:r>
      <w:r>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pPr>
        <w:pStyle w:val="77"/>
      </w:pPr>
      <w:r>
        <w:t>4.</w:t>
      </w:r>
      <w:r>
        <w:tab/>
      </w:r>
      <w:r>
        <w:t xml:space="preserve">The UE moves the RRC connection to the target gNB and replies with the </w:t>
      </w:r>
      <w:r>
        <w:rPr>
          <w:i/>
        </w:rPr>
        <w:t>RRCReconfigurationComplete</w:t>
      </w:r>
      <w:r>
        <w:t>.</w:t>
      </w:r>
    </w:p>
    <w:p>
      <w:pPr>
        <w:pStyle w:val="58"/>
      </w:pPr>
      <w:r>
        <w:t>NOTE 1:</w:t>
      </w:r>
      <w:r>
        <w:tab/>
      </w:r>
      <w:r>
        <w:t>User Data can also be sent in step 4 if the grant allows.</w:t>
      </w:r>
    </w:p>
    <w:p>
      <w:r>
        <w:t>In case of DAPS handover, the UE continues the downlink user data reception from the source gNB until releasing the source cell and continues the uplink user data transmission to the source gNB until successful random access procedure to the target gNB.</w:t>
      </w:r>
    </w:p>
    <w:p>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r>
        <w:t>The handover mechanism triggered by RRC requires the UE at least to reset the MAC entity and re-establish RLC, except for DAPS handover, where upon reception of the handover command, the UE:</w:t>
      </w:r>
    </w:p>
    <w:p>
      <w:pPr>
        <w:pStyle w:val="77"/>
      </w:pPr>
      <w:r>
        <w:t>-</w:t>
      </w:r>
      <w:r>
        <w:tab/>
      </w:r>
      <w:r>
        <w:t>Creates a MAC entity for target;</w:t>
      </w:r>
    </w:p>
    <w:p>
      <w:pPr>
        <w:pStyle w:val="77"/>
      </w:pPr>
      <w:r>
        <w:t>-</w:t>
      </w:r>
      <w:r>
        <w:tab/>
      </w:r>
      <w:r>
        <w:t>Establishes the RLC entity and an associated DTCH logical channel for target for each DRB configured with DAPS;</w:t>
      </w:r>
    </w:p>
    <w:p>
      <w:pPr>
        <w:pStyle w:val="77"/>
      </w:pPr>
      <w:bookmarkStart w:id="41" w:name="_Hlk22837273"/>
      <w:r>
        <w:t>-</w:t>
      </w:r>
      <w:r>
        <w:tab/>
      </w:r>
      <w:r>
        <w:t>For each DRB configured with DAPS, reconfigures the PDCP entity with separate security and ROHC functions for source and target and associates them with the RLC entities configured by source and target respectively;</w:t>
      </w:r>
    </w:p>
    <w:bookmarkEnd w:id="41"/>
    <w:p>
      <w:pPr>
        <w:pStyle w:val="77"/>
      </w:pPr>
      <w:r>
        <w:t>-</w:t>
      </w:r>
      <w:r>
        <w:tab/>
      </w:r>
      <w:r>
        <w:t>Retains the rest of the source configurations until release of the source.</w:t>
      </w:r>
    </w:p>
    <w:p>
      <w:pPr>
        <w:pStyle w:val="58"/>
        <w:rPr>
          <w:lang w:eastAsia="zh-CN"/>
        </w:rPr>
      </w:pPr>
      <w:r>
        <w:t>NOTE 2:</w:t>
      </w:r>
      <w:r>
        <w:tab/>
      </w:r>
      <w:r>
        <w:t>Void.</w:t>
      </w:r>
    </w:p>
    <w:p>
      <w:pPr>
        <w:pStyle w:val="58"/>
      </w:pPr>
      <w:r>
        <w:t>NOTE 3:</w:t>
      </w:r>
      <w:r>
        <w:tab/>
      </w:r>
      <w:r>
        <w:t>Void.</w:t>
      </w:r>
    </w:p>
    <w:p>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r>
        <w:t>Data forwarding, in-sequence delivery and duplication avoidance at handover can be guaranteed when the target gNB uses the same DRB configuration as the source gNB.</w:t>
      </w:r>
    </w:p>
    <w:p>
      <w:pPr>
        <w:rPr>
          <w:lang w:eastAsia="en-GB"/>
        </w:rPr>
      </w:pPr>
      <w:r>
        <w:t>Timer based handover failure procedure is supported in NR. RRC connection re-establishment procedure is used for recovering from handover failure except in certain CHO or DAPS handover scenarios:</w:t>
      </w:r>
    </w:p>
    <w:p>
      <w:pPr>
        <w:pStyle w:val="77"/>
      </w:pPr>
      <w:r>
        <w:t>-</w:t>
      </w:r>
      <w:r>
        <w:tab/>
      </w:r>
      <w:r>
        <w:t>When DAPS handover fails, the UE falls back to the source cell configuration, resumes the connection with the source cell, and reports DAPS handover failure via the source without triggering RRC connection re-establishment if the source link has not been released.</w:t>
      </w:r>
    </w:p>
    <w:p>
      <w:pPr>
        <w:pStyle w:val="77"/>
      </w:pPr>
      <w:r>
        <w:t>-</w:t>
      </w:r>
      <w:r>
        <w:tab/>
      </w:r>
      <w:r>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pPr>
        <w:rPr>
          <w:lang w:eastAsia="zh-CN"/>
        </w:rPr>
      </w:pPr>
      <w:r>
        <w:rPr>
          <w:lang w:eastAsia="zh-CN"/>
        </w:rPr>
        <w:t>DAPS handover for FR2 to FR2 case is not supported in this release of the specification.</w:t>
      </w:r>
    </w:p>
    <w:p>
      <w:pPr>
        <w:rPr>
          <w:ins w:id="506" w:author="Qualcomm" w:date="2023-07-28T16:39:00Z"/>
        </w:rPr>
      </w:pPr>
      <w:r>
        <w:t xml:space="preserve">The handover of the IAB-MT in SA mode follows the same procedure as described for the UE. After the backhaul has been established, the handover of the IAB-MT is part of the intra-CU </w:t>
      </w:r>
      <w:ins w:id="507" w:author="R2#123" w:date="2023-09-26T11:06:00Z">
        <w:r>
          <w:rPr/>
          <w:t xml:space="preserve">or inter-CU </w:t>
        </w:r>
      </w:ins>
      <w:r>
        <w:t>topology adaptation procedure</w:t>
      </w:r>
      <w:ins w:id="508" w:author="Qualcomm" w:date="2023-07-28T16:39:00Z">
        <w:r>
          <w:rPr/>
          <w:t>s</w:t>
        </w:r>
      </w:ins>
      <w:r>
        <w:t xml:space="preserve"> defined in TS 38.401 [4]. Modifications to the configuration of BAP sublayer and higher protocol layers above the BAP sublayer are described in TS 38.401 [4].</w:t>
      </w:r>
    </w:p>
    <w:p>
      <w:pPr>
        <w:rPr>
          <w:ins w:id="509" w:author="R2#123" w:date="2023-09-26T11:06:00Z"/>
        </w:rPr>
      </w:pPr>
      <w:ins w:id="510" w:author="R2#123" w:date="2023-09-26T11:06:00Z">
        <w:r>
          <w:rPr/>
          <w:t>The handover of the mobile IAB-MT follows the same procedure as described for the UE. After the backhaul has been established, the handover of the mobile IAB-MT is part of the mobile IAB-MT migration procedure defined in TS 38.401 [4].</w:t>
        </w:r>
      </w:ins>
    </w:p>
    <w:p>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End of Changes ---</w:t>
            </w:r>
          </w:p>
        </w:tc>
      </w:tr>
    </w:tbl>
    <w:p/>
    <w:p/>
    <w:p>
      <w:pPr>
        <w:pStyle w:val="2"/>
      </w:pPr>
      <w:bookmarkStart w:id="42" w:name="_Toc20388082"/>
      <w:bookmarkStart w:id="43" w:name="_Toc29376164"/>
      <w:bookmarkStart w:id="44" w:name="_Toc37232087"/>
      <w:bookmarkStart w:id="45" w:name="_Toc46502173"/>
      <w:bookmarkStart w:id="46" w:name="_Toc51971521"/>
      <w:bookmarkStart w:id="47" w:name="_Toc52551504"/>
      <w:bookmarkStart w:id="48" w:name="_Toc124536383"/>
      <w:r>
        <w:t>Running CR Annex:</w:t>
      </w:r>
      <w:bookmarkEnd w:id="42"/>
      <w:bookmarkEnd w:id="43"/>
      <w:bookmarkEnd w:id="44"/>
      <w:bookmarkEnd w:id="45"/>
      <w:bookmarkEnd w:id="46"/>
      <w:bookmarkEnd w:id="47"/>
      <w:bookmarkEnd w:id="48"/>
      <w:r>
        <w:t xml:space="preserve"> Meeting Agreements</w:t>
      </w:r>
    </w:p>
    <w:p>
      <w:pPr>
        <w:pStyle w:val="30"/>
      </w:pPr>
      <w:r>
        <w:rPr>
          <w:highlight w:val="yellow"/>
        </w:rPr>
        <w:t>Highlighted</w:t>
      </w:r>
      <w:r>
        <w:t xml:space="preserve"> below are the meeting agreements that have been considered for the CR. </w:t>
      </w:r>
    </w:p>
    <w:p>
      <w:pPr>
        <w:pStyle w:val="30"/>
        <w:rPr>
          <w:i/>
          <w:iCs/>
        </w:rPr>
      </w:pPr>
      <w:r>
        <w:rPr>
          <w:i/>
          <w:iCs/>
        </w:rPr>
        <w:t>RAN2#119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0"/>
              <w:spacing w:before="60" w:after="60"/>
              <w:rPr>
                <w:b/>
                <w:bCs/>
              </w:rPr>
            </w:pPr>
            <w:r>
              <w:rPr>
                <w:b/>
                <w:bCs/>
              </w:rPr>
              <w:t>8.12.1</w:t>
            </w:r>
            <w:r>
              <w:rPr>
                <w:b/>
                <w:bCs/>
              </w:rPr>
              <w:tab/>
            </w:r>
            <w:r>
              <w:rPr>
                <w:b/>
                <w:bCs/>
              </w:rPr>
              <w:t>Organizational</w:t>
            </w:r>
          </w:p>
          <w:p>
            <w:pPr>
              <w:pStyle w:val="94"/>
              <w:spacing w:after="60"/>
              <w:ind w:left="644"/>
              <w:rPr>
                <w:b w:val="0"/>
                <w:bCs/>
                <w:sz w:val="18"/>
                <w:szCs w:val="22"/>
              </w:rPr>
            </w:pPr>
            <w:r>
              <w:rPr>
                <w:b w:val="0"/>
                <w:bCs/>
                <w:sz w:val="18"/>
                <w:szCs w:val="22"/>
              </w:rPr>
              <w:t xml:space="preserve">The following Points are Endorsed, i.e. for the plan for next meeting (after one round of discussion at R2 119-e): </w:t>
            </w:r>
          </w:p>
          <w:p>
            <w:pPr>
              <w:pStyle w:val="94"/>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pPr>
              <w:pStyle w:val="94"/>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pPr>
              <w:pStyle w:val="94"/>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pPr>
              <w:pStyle w:val="94"/>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pPr>
              <w:pStyle w:val="94"/>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pPr>
              <w:pStyle w:val="30"/>
              <w:spacing w:before="60" w:after="60"/>
              <w:rPr>
                <w:b/>
                <w:bCs/>
              </w:rPr>
            </w:pPr>
          </w:p>
          <w:p>
            <w:pPr>
              <w:pStyle w:val="30"/>
              <w:spacing w:before="60" w:after="60"/>
              <w:rPr>
                <w:b/>
                <w:bCs/>
              </w:rPr>
            </w:pPr>
            <w:r>
              <w:rPr>
                <w:b/>
                <w:bCs/>
              </w:rPr>
              <w:t>8.12.2</w:t>
            </w:r>
            <w:r>
              <w:rPr>
                <w:b/>
                <w:bCs/>
              </w:rPr>
              <w:tab/>
            </w:r>
            <w:r>
              <w:rPr>
                <w:b/>
                <w:bCs/>
              </w:rPr>
              <w:t>Mobility Enhancements</w:t>
            </w:r>
          </w:p>
          <w:p>
            <w:pPr>
              <w:pStyle w:val="96"/>
              <w:spacing w:before="60"/>
              <w:rPr>
                <w:b w:val="0"/>
                <w:bCs/>
                <w:i/>
                <w:iCs/>
                <w:sz w:val="18"/>
                <w:szCs w:val="22"/>
                <w:lang w:val="en-GB"/>
              </w:rPr>
            </w:pPr>
            <w:r>
              <w:rPr>
                <w:b w:val="0"/>
                <w:bCs/>
                <w:i/>
                <w:iCs/>
                <w:sz w:val="18"/>
                <w:szCs w:val="22"/>
                <w:lang w:val="en-GB"/>
              </w:rPr>
              <w:t>Basic Aspects</w:t>
            </w:r>
          </w:p>
          <w:p>
            <w:pPr>
              <w:pStyle w:val="94"/>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pPr>
              <w:pStyle w:val="94"/>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pPr>
              <w:spacing w:before="60" w:after="60"/>
              <w:rPr>
                <w:bCs/>
                <w:color w:val="FF0000"/>
                <w:sz w:val="16"/>
                <w:szCs w:val="16"/>
              </w:rPr>
            </w:pPr>
          </w:p>
          <w:p>
            <w:pPr>
              <w:pStyle w:val="96"/>
              <w:spacing w:before="60"/>
              <w:rPr>
                <w:b w:val="0"/>
                <w:bCs/>
                <w:i/>
                <w:iCs/>
                <w:sz w:val="18"/>
                <w:szCs w:val="22"/>
              </w:rPr>
            </w:pPr>
            <w:r>
              <w:rPr>
                <w:b w:val="0"/>
                <w:bCs/>
                <w:i/>
                <w:iCs/>
                <w:sz w:val="18"/>
                <w:szCs w:val="22"/>
              </w:rPr>
              <w:t>Group Mobility</w:t>
            </w:r>
          </w:p>
          <w:p>
            <w:pPr>
              <w:pStyle w:val="94"/>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pPr>
              <w:pStyle w:val="30"/>
              <w:rPr>
                <w:i/>
                <w:iCs/>
              </w:rPr>
            </w:pPr>
          </w:p>
        </w:tc>
      </w:tr>
    </w:tbl>
    <w:p>
      <w:pPr>
        <w:pStyle w:val="30"/>
        <w:rPr>
          <w:i/>
          <w:iCs/>
        </w:rPr>
      </w:pPr>
    </w:p>
    <w:p>
      <w:pPr>
        <w:pStyle w:val="30"/>
        <w:rPr>
          <w:i/>
          <w:iCs/>
        </w:rPr>
      </w:pPr>
      <w:r>
        <w:rPr>
          <w:i/>
          <w:iCs/>
        </w:rPr>
        <w:t>RAN2#119-bis-e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0"/>
              <w:spacing w:before="60" w:after="60"/>
              <w:rPr>
                <w:b/>
                <w:bCs/>
              </w:rPr>
            </w:pPr>
            <w:r>
              <w:rPr>
                <w:b/>
                <w:bCs/>
              </w:rPr>
              <w:t>8.12.2</w:t>
            </w:r>
            <w:r>
              <w:rPr>
                <w:b/>
                <w:bCs/>
              </w:rPr>
              <w:tab/>
            </w:r>
            <w:r>
              <w:rPr>
                <w:b/>
                <w:bCs/>
              </w:rPr>
              <w:t>Mobility Enhancements</w:t>
            </w:r>
          </w:p>
          <w:p>
            <w:pPr>
              <w:pStyle w:val="94"/>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pPr>
              <w:pStyle w:val="94"/>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pPr>
              <w:pStyle w:val="94"/>
              <w:spacing w:after="60"/>
              <w:ind w:left="644"/>
              <w:rPr>
                <w:b w:val="0"/>
                <w:bCs/>
                <w:sz w:val="18"/>
                <w:szCs w:val="22"/>
              </w:rPr>
            </w:pPr>
            <w:r>
              <w:rPr>
                <w:b w:val="0"/>
                <w:bCs/>
                <w:sz w:val="18"/>
                <w:szCs w:val="22"/>
              </w:rPr>
              <w:t>FFS if to Introduce that stationary network broadcasts indication of “supporting mobile-IAB” (into intended for the Mobile IAB MT)</w:t>
            </w:r>
          </w:p>
          <w:p>
            <w:pPr>
              <w:pStyle w:val="94"/>
              <w:spacing w:after="60"/>
              <w:ind w:left="644"/>
              <w:rPr>
                <w:b w:val="0"/>
                <w:bCs/>
                <w:sz w:val="18"/>
                <w:szCs w:val="22"/>
              </w:rPr>
            </w:pPr>
            <w:r>
              <w:rPr>
                <w:b w:val="0"/>
                <w:bCs/>
                <w:sz w:val="18"/>
                <w:szCs w:val="22"/>
              </w:rPr>
              <w:t xml:space="preserve">RAN2 confirms that Mobile IAB need to work with legacy UEs. </w:t>
            </w:r>
          </w:p>
          <w:p>
            <w:pPr>
              <w:pStyle w:val="94"/>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pStyle w:val="94"/>
              <w:spacing w:after="60"/>
              <w:ind w:left="644"/>
              <w:rPr>
                <w:b w:val="0"/>
                <w:bCs/>
                <w:sz w:val="18"/>
                <w:szCs w:val="22"/>
              </w:rPr>
            </w:pPr>
            <w:bookmarkStart w:id="49" w:name="_Hlk116404109"/>
            <w:r>
              <w:rPr>
                <w:b w:val="0"/>
                <w:bCs/>
                <w:sz w:val="18"/>
                <w:szCs w:val="22"/>
              </w:rPr>
              <w:t>RAN2 assume below for the UEs working in the mobile IAB cell (may be obvious):</w:t>
            </w:r>
          </w:p>
          <w:p>
            <w:pPr>
              <w:pStyle w:val="94"/>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pPr>
              <w:pStyle w:val="94"/>
              <w:numPr>
                <w:ilvl w:val="0"/>
                <w:numId w:val="0"/>
              </w:numPr>
              <w:spacing w:after="60"/>
              <w:ind w:left="852"/>
              <w:rPr>
                <w:b w:val="0"/>
                <w:bCs/>
                <w:sz w:val="18"/>
                <w:szCs w:val="22"/>
              </w:rPr>
            </w:pPr>
            <w:r>
              <w:rPr>
                <w:b w:val="0"/>
                <w:bCs/>
                <w:sz w:val="18"/>
                <w:szCs w:val="22"/>
              </w:rPr>
              <w:t>Assumption 2: No spec impact to legacy UEs behaviors.</w:t>
            </w:r>
          </w:p>
          <w:p>
            <w:pPr>
              <w:pStyle w:val="94"/>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pPr>
              <w:pStyle w:val="94"/>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pPr>
              <w:pStyle w:val="94"/>
              <w:spacing w:after="60"/>
              <w:ind w:left="644"/>
              <w:rPr>
                <w:b w:val="0"/>
                <w:bCs/>
                <w:sz w:val="18"/>
                <w:szCs w:val="22"/>
              </w:rPr>
            </w:pPr>
            <w:r>
              <w:rPr>
                <w:b w:val="0"/>
                <w:bCs/>
                <w:sz w:val="18"/>
                <w:szCs w:val="22"/>
              </w:rPr>
              <w:t>RAN2 assumption: For the mobile IAB cell broadcasting info:</w:t>
            </w:r>
          </w:p>
          <w:p>
            <w:pPr>
              <w:pStyle w:val="94"/>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pPr>
              <w:pStyle w:val="94"/>
              <w:numPr>
                <w:ilvl w:val="0"/>
                <w:numId w:val="0"/>
              </w:numPr>
              <w:spacing w:after="60"/>
              <w:ind w:left="852"/>
              <w:rPr>
                <w:b w:val="0"/>
                <w:bCs/>
                <w:sz w:val="18"/>
                <w:szCs w:val="22"/>
              </w:rPr>
            </w:pPr>
            <w:r>
              <w:rPr>
                <w:b w:val="0"/>
                <w:bCs/>
                <w:sz w:val="18"/>
                <w:szCs w:val="22"/>
              </w:rPr>
              <w:t>FFS how this is used (might be implementation specific).</w:t>
            </w:r>
          </w:p>
          <w:p>
            <w:pPr>
              <w:pStyle w:val="94"/>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9"/>
          </w:p>
          <w:p>
            <w:pPr>
              <w:pStyle w:val="96"/>
              <w:spacing w:before="60"/>
              <w:rPr>
                <w:b w:val="0"/>
                <w:bCs/>
                <w:i/>
                <w:iCs/>
                <w:sz w:val="18"/>
                <w:szCs w:val="22"/>
                <w:lang w:val="en-GB"/>
              </w:rPr>
            </w:pPr>
            <w:r>
              <w:rPr>
                <w:b w:val="0"/>
                <w:bCs/>
                <w:i/>
                <w:iCs/>
                <w:sz w:val="18"/>
                <w:szCs w:val="22"/>
                <w:lang w:val="en-GB"/>
              </w:rPr>
              <w:t>Group Handover</w:t>
            </w:r>
          </w:p>
          <w:p>
            <w:pPr>
              <w:pStyle w:val="94"/>
              <w:spacing w:after="60"/>
              <w:ind w:left="644"/>
              <w:rPr>
                <w:b w:val="0"/>
                <w:bCs/>
                <w:sz w:val="18"/>
                <w:szCs w:val="22"/>
              </w:rPr>
            </w:pPr>
            <w:r>
              <w:rPr>
                <w:b w:val="0"/>
                <w:bCs/>
                <w:sz w:val="18"/>
                <w:szCs w:val="22"/>
              </w:rPr>
              <w:t xml:space="preserve">RAN2 assumes that O1 and O3 above could work, and FFS if O2 above (new trigger etc) is needed. </w:t>
            </w:r>
          </w:p>
          <w:p>
            <w:pPr>
              <w:pStyle w:val="30"/>
              <w:spacing w:before="60" w:after="60"/>
              <w:rPr>
                <w:b/>
                <w:bCs/>
              </w:rPr>
            </w:pPr>
          </w:p>
          <w:p>
            <w:pPr>
              <w:pStyle w:val="30"/>
              <w:spacing w:before="60" w:after="60"/>
              <w:rPr>
                <w:b/>
                <w:bCs/>
              </w:rPr>
            </w:pPr>
            <w:r>
              <w:rPr>
                <w:b/>
                <w:bCs/>
              </w:rPr>
              <w:t>8.12.3</w:t>
            </w:r>
            <w:r>
              <w:rPr>
                <w:b/>
                <w:bCs/>
              </w:rPr>
              <w:tab/>
            </w:r>
            <w:r>
              <w:rPr>
                <w:b/>
                <w:bCs/>
              </w:rPr>
              <w:t xml:space="preserve">Other </w:t>
            </w:r>
          </w:p>
          <w:p>
            <w:pPr>
              <w:pStyle w:val="94"/>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pPr>
              <w:pStyle w:val="94"/>
              <w:spacing w:after="60"/>
              <w:ind w:left="644"/>
              <w:rPr>
                <w:b w:val="0"/>
                <w:bCs/>
                <w:sz w:val="18"/>
                <w:szCs w:val="22"/>
              </w:rPr>
            </w:pPr>
            <w:r>
              <w:rPr>
                <w:b w:val="0"/>
                <w:bCs/>
                <w:sz w:val="18"/>
                <w:szCs w:val="22"/>
              </w:rPr>
              <w:t>No LS is needed</w:t>
            </w:r>
          </w:p>
        </w:tc>
      </w:tr>
    </w:tbl>
    <w:p>
      <w:pPr>
        <w:sectPr>
          <w:headerReference r:id="rId6" w:type="even"/>
          <w:footnotePr>
            <w:numRestart w:val="eachSect"/>
          </w:footnotePr>
          <w:pgSz w:w="11907" w:h="16840"/>
          <w:pgMar w:top="1418" w:right="1134" w:bottom="1134" w:left="1134" w:header="680" w:footer="567" w:gutter="0"/>
          <w:cols w:space="720" w:num="1"/>
        </w:sectPr>
      </w:pPr>
    </w:p>
    <w:p>
      <w:pPr>
        <w:pStyle w:val="30"/>
        <w:rPr>
          <w:i/>
          <w:iCs/>
        </w:rPr>
      </w:pPr>
      <w:r>
        <w:rPr>
          <w:i/>
          <w:iCs/>
        </w:rPr>
        <w:t>RAN2#120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8.12.2</w:t>
            </w:r>
            <w:r>
              <w:rPr>
                <w:b/>
                <w:bCs/>
              </w:rPr>
              <w:tab/>
            </w:r>
            <w:r>
              <w:rPr>
                <w:b/>
                <w:bCs/>
              </w:rPr>
              <w:t>Mobility Enhancements</w:t>
            </w:r>
          </w:p>
          <w:p>
            <w:pPr>
              <w:pStyle w:val="101"/>
              <w:spacing w:before="60" w:after="60"/>
            </w:pPr>
            <w:r>
              <w:t>Mobile IAB Node to Network Indication</w:t>
            </w:r>
          </w:p>
          <w:p>
            <w:pPr>
              <w:pStyle w:val="101"/>
              <w:spacing w:before="60" w:after="60"/>
            </w:pPr>
            <w:r>
              <w:t>Mobile IAB Node Camping</w:t>
            </w:r>
          </w:p>
          <w:p>
            <w:pPr>
              <w:pStyle w:val="101"/>
              <w:spacing w:before="60" w:after="60"/>
            </w:pPr>
            <w:r>
              <w:t>UE usage of the Mobile IAB indication</w:t>
            </w:r>
          </w:p>
          <w:p>
            <w:pPr>
              <w:pStyle w:val="94"/>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pPr>
              <w:pStyle w:val="94"/>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pPr>
              <w:pStyle w:val="94"/>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pPr>
              <w:pStyle w:val="94"/>
              <w:spacing w:after="60"/>
              <w:ind w:left="644"/>
              <w:rPr>
                <w:b w:val="0"/>
                <w:bCs/>
                <w:sz w:val="18"/>
                <w:szCs w:val="22"/>
              </w:rPr>
            </w:pPr>
            <w:r>
              <w:rPr>
                <w:b w:val="0"/>
                <w:bCs/>
                <w:sz w:val="18"/>
                <w:szCs w:val="22"/>
              </w:rPr>
              <w:t>R2 assumes "supporting mobile-IAB" indication is provided by Rel-18 Mobile IAB capable parent cell.</w:t>
            </w:r>
          </w:p>
          <w:p>
            <w:pPr>
              <w:pStyle w:val="94"/>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pPr>
              <w:pStyle w:val="95"/>
              <w:spacing w:before="60" w:after="60"/>
              <w:ind w:left="0" w:firstLine="0"/>
              <w:rPr>
                <w:lang w:val="en-US"/>
              </w:rPr>
            </w:pPr>
          </w:p>
          <w:p>
            <w:pPr>
              <w:pStyle w:val="30"/>
              <w:spacing w:before="60" w:after="60"/>
              <w:rPr>
                <w:b/>
                <w:bCs/>
              </w:rPr>
            </w:pPr>
            <w:r>
              <w:rPr>
                <w:b/>
                <w:bCs/>
              </w:rPr>
              <w:t>8.12.3</w:t>
            </w:r>
            <w:r>
              <w:rPr>
                <w:b/>
                <w:bCs/>
              </w:rPr>
              <w:tab/>
            </w:r>
            <w:r>
              <w:rPr>
                <w:b/>
                <w:bCs/>
              </w:rPr>
              <w:t xml:space="preserve">Other </w:t>
            </w:r>
          </w:p>
          <w:p>
            <w:pPr>
              <w:pStyle w:val="101"/>
              <w:spacing w:before="60" w:after="60"/>
            </w:pPr>
            <w:r>
              <w:t>RACH</w:t>
            </w:r>
          </w:p>
          <w:p>
            <w:pPr>
              <w:pStyle w:val="94"/>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pPr>
              <w:pStyle w:val="101"/>
              <w:spacing w:before="60" w:after="60"/>
            </w:pPr>
          </w:p>
          <w:p>
            <w:pPr>
              <w:pStyle w:val="101"/>
              <w:spacing w:before="60" w:after="60"/>
            </w:pPr>
            <w:r>
              <w:t>PCI collision</w:t>
            </w:r>
          </w:p>
          <w:p>
            <w:pPr>
              <w:pStyle w:val="94"/>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p>
      <w:pPr>
        <w:pStyle w:val="30"/>
        <w:rPr>
          <w:i/>
          <w:iCs/>
        </w:rPr>
      </w:pPr>
      <w:r>
        <w:rPr>
          <w:i/>
          <w:iCs/>
        </w:rPr>
        <w:t>RAN2#121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8.12.2</w:t>
            </w:r>
            <w:r>
              <w:rPr>
                <w:b/>
                <w:bCs/>
              </w:rPr>
              <w:tab/>
            </w:r>
            <w:r>
              <w:rPr>
                <w:b/>
                <w:bCs/>
              </w:rPr>
              <w:t>Mobility Enhancements</w:t>
            </w:r>
          </w:p>
          <w:p>
            <w:pPr>
              <w:pStyle w:val="101"/>
              <w:spacing w:before="60" w:after="60"/>
            </w:pPr>
            <w:r>
              <w:t>mIAB indicator UE to Network</w:t>
            </w:r>
          </w:p>
          <w:p>
            <w:pPr>
              <w:pStyle w:val="94"/>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pPr>
              <w:pStyle w:val="101"/>
              <w:spacing w:before="60" w:after="60"/>
            </w:pPr>
          </w:p>
          <w:p>
            <w:pPr>
              <w:pStyle w:val="101"/>
              <w:spacing w:before="60" w:after="60"/>
            </w:pPr>
            <w:r>
              <w:t xml:space="preserve">mIAB cell type ind </w:t>
            </w:r>
          </w:p>
          <w:p>
            <w:pPr>
              <w:pStyle w:val="94"/>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pPr>
              <w:pStyle w:val="94"/>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pPr>
        <w:pStyle w:val="30"/>
        <w:rPr>
          <w:i/>
          <w:iCs/>
        </w:rPr>
      </w:pPr>
    </w:p>
    <w:p>
      <w:pPr>
        <w:pStyle w:val="30"/>
        <w:rPr>
          <w:i/>
          <w:iCs/>
        </w:rPr>
      </w:pPr>
    </w:p>
    <w:p>
      <w:pPr>
        <w:pStyle w:val="30"/>
        <w:rPr>
          <w:i/>
          <w:iCs/>
        </w:rPr>
      </w:pPr>
      <w:r>
        <w:rPr>
          <w:i/>
          <w:iCs/>
        </w:rPr>
        <w:t>RAN2#121bis-e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96"/>
              <w:spacing w:before="60"/>
              <w:rPr>
                <w:b w:val="0"/>
                <w:i/>
                <w:sz w:val="18"/>
                <w:lang w:val="en-GB" w:eastAsia="en-GB"/>
              </w:rPr>
            </w:pPr>
            <w:r>
              <w:rPr>
                <w:b w:val="0"/>
                <w:i/>
                <w:sz w:val="18"/>
                <w:lang w:val="en-GB" w:eastAsia="en-GB"/>
              </w:rPr>
              <w:t>General</w:t>
            </w:r>
          </w:p>
          <w:p>
            <w:pPr>
              <w:pStyle w:val="94"/>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pPr>
              <w:pStyle w:val="94"/>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pPr>
              <w:pStyle w:val="94"/>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pPr>
              <w:pStyle w:val="94"/>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pPr>
              <w:pStyle w:val="94"/>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pPr>
              <w:pStyle w:val="94"/>
              <w:spacing w:after="60"/>
              <w:ind w:left="644"/>
              <w:rPr>
                <w:b w:val="0"/>
                <w:bCs/>
                <w:sz w:val="18"/>
                <w:szCs w:val="22"/>
              </w:rPr>
            </w:pPr>
            <w:r>
              <w:rPr>
                <w:b w:val="0"/>
                <w:bCs/>
                <w:sz w:val="18"/>
                <w:szCs w:val="22"/>
              </w:rPr>
              <w:t>RACH-less HO with same TA with security key change is in scope for served UEs during mIAB DU migration. FFS UL grant and HO completion procedure in mIAB RACH-less HO.</w:t>
            </w:r>
          </w:p>
          <w:p>
            <w:pPr>
              <w:pStyle w:val="101"/>
              <w:spacing w:before="60" w:after="60"/>
            </w:pPr>
          </w:p>
          <w:p>
            <w:pPr>
              <w:pStyle w:val="101"/>
              <w:spacing w:before="60" w:after="60"/>
            </w:pPr>
            <w:r>
              <w:t>Barring</w:t>
            </w:r>
          </w:p>
          <w:p>
            <w:pPr>
              <w:pStyle w:val="94"/>
              <w:spacing w:after="60"/>
              <w:ind w:left="644"/>
              <w:rPr>
                <w:b w:val="0"/>
                <w:bCs/>
                <w:sz w:val="18"/>
                <w:szCs w:val="22"/>
              </w:rPr>
            </w:pPr>
            <w:r>
              <w:rPr>
                <w:b w:val="0"/>
                <w:bCs/>
                <w:sz w:val="18"/>
                <w:szCs w:val="22"/>
              </w:rPr>
              <w:t>noted, Barring or similar issue postponed</w:t>
            </w:r>
          </w:p>
          <w:p>
            <w:pPr>
              <w:pStyle w:val="101"/>
              <w:spacing w:before="60" w:after="60"/>
            </w:pPr>
          </w:p>
          <w:p>
            <w:pPr>
              <w:pStyle w:val="101"/>
              <w:spacing w:before="60" w:after="60"/>
            </w:pPr>
            <w:r>
              <w:t>Group handover</w:t>
            </w:r>
          </w:p>
          <w:p>
            <w:pPr>
              <w:pStyle w:val="94"/>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pPr>
              <w:pStyle w:val="101"/>
              <w:spacing w:before="60" w:after="60"/>
            </w:pPr>
          </w:p>
          <w:p>
            <w:pPr>
              <w:pStyle w:val="101"/>
              <w:spacing w:before="60" w:after="60"/>
            </w:pPr>
            <w:r>
              <w:t>Signaling</w:t>
            </w:r>
          </w:p>
          <w:p>
            <w:pPr>
              <w:pStyle w:val="94"/>
              <w:spacing w:after="60"/>
              <w:ind w:left="644"/>
              <w:rPr>
                <w:b w:val="0"/>
                <w:bCs/>
                <w:sz w:val="18"/>
                <w:szCs w:val="22"/>
                <w:highlight w:val="yellow"/>
              </w:rPr>
            </w:pPr>
            <w:r>
              <w:rPr>
                <w:b w:val="0"/>
                <w:bCs/>
                <w:sz w:val="18"/>
                <w:szCs w:val="22"/>
                <w:highlight w:val="yellow"/>
              </w:rPr>
              <w:t>The mobile IAB-MT to include a mobile-IAB indication in Msg. 5.</w:t>
            </w:r>
          </w:p>
          <w:p>
            <w:pPr>
              <w:pStyle w:val="94"/>
              <w:numPr>
                <w:ilvl w:val="0"/>
                <w:numId w:val="0"/>
              </w:numPr>
              <w:spacing w:after="60"/>
              <w:ind w:left="644"/>
              <w:rPr>
                <w:b w:val="0"/>
                <w:bCs/>
                <w:sz w:val="18"/>
                <w:szCs w:val="22"/>
              </w:rPr>
            </w:pPr>
          </w:p>
          <w:p>
            <w:pPr>
              <w:pStyle w:val="101"/>
              <w:spacing w:before="60" w:after="60"/>
            </w:pPr>
            <w:r>
              <w:t>BAP</w:t>
            </w:r>
          </w:p>
          <w:p>
            <w:pPr>
              <w:pStyle w:val="94"/>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pPr>
              <w:pStyle w:val="94"/>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p>
      <w:pPr>
        <w:pStyle w:val="30"/>
        <w:rPr>
          <w:i/>
          <w:iCs/>
        </w:rPr>
      </w:pPr>
      <w:r>
        <w:rPr>
          <w:i/>
          <w:iCs/>
        </w:rPr>
        <w:t>RAN2#122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pPr>
              <w:pStyle w:val="94"/>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pPr>
              <w:pStyle w:val="94"/>
              <w:spacing w:after="60"/>
              <w:ind w:left="644"/>
              <w:rPr>
                <w:b w:val="0"/>
                <w:bCs/>
                <w:sz w:val="18"/>
                <w:szCs w:val="22"/>
                <w:highlight w:val="yellow"/>
              </w:rPr>
            </w:pPr>
            <w:r>
              <w:rPr>
                <w:b w:val="0"/>
                <w:bCs/>
                <w:sz w:val="18"/>
                <w:szCs w:val="22"/>
                <w:highlight w:val="yellow"/>
              </w:rPr>
              <w:t>for the UL grant and HO completion in RACH-less HO:</w:t>
            </w:r>
          </w:p>
          <w:p>
            <w:pPr>
              <w:pStyle w:val="94"/>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pPr>
              <w:pStyle w:val="94"/>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pPr>
              <w:pStyle w:val="94"/>
              <w:spacing w:after="60"/>
              <w:ind w:left="644"/>
              <w:rPr>
                <w:b w:val="0"/>
                <w:bCs/>
                <w:sz w:val="18"/>
                <w:szCs w:val="22"/>
              </w:rPr>
            </w:pPr>
            <w:r>
              <w:rPr>
                <w:b w:val="0"/>
                <w:bCs/>
                <w:sz w:val="18"/>
                <w:szCs w:val="22"/>
              </w:rPr>
              <w:t>Send LS to RAN3 to check whether there are issues / feasibility concerns</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pPr>
              <w:pStyle w:val="101"/>
              <w:spacing w:before="60" w:after="60"/>
            </w:pPr>
          </w:p>
          <w:p>
            <w:pPr>
              <w:pStyle w:val="101"/>
              <w:spacing w:before="60" w:after="60"/>
            </w:pPr>
            <w:r>
              <w:t>General</w:t>
            </w:r>
          </w:p>
          <w:p>
            <w:pPr>
              <w:pStyle w:val="94"/>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pPr>
              <w:pStyle w:val="94"/>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pPr>
              <w:pStyle w:val="94"/>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pPr>
              <w:pStyle w:val="94"/>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pPr>
              <w:pStyle w:val="94"/>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pPr>
              <w:pStyle w:val="94"/>
              <w:numPr>
                <w:ilvl w:val="0"/>
                <w:numId w:val="0"/>
              </w:numPr>
              <w:spacing w:after="60"/>
              <w:ind w:left="644"/>
              <w:rPr>
                <w:b w:val="0"/>
                <w:bCs/>
                <w:sz w:val="18"/>
                <w:szCs w:val="22"/>
              </w:rPr>
            </w:pPr>
            <w:r>
              <w:rPr>
                <w:b w:val="0"/>
                <w:bCs/>
                <w:sz w:val="18"/>
                <w:szCs w:val="22"/>
                <w:highlight w:val="yellow"/>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pPr>
              <w:pStyle w:val="101"/>
              <w:spacing w:before="60" w:after="60"/>
            </w:pPr>
          </w:p>
          <w:p>
            <w:pPr>
              <w:pStyle w:val="30"/>
              <w:spacing w:before="60" w:after="60"/>
              <w:rPr>
                <w:b/>
                <w:bCs/>
              </w:rPr>
            </w:pPr>
            <w:r>
              <w:rPr>
                <w:b/>
                <w:bCs/>
              </w:rPr>
              <w:t>7.12.3</w:t>
            </w:r>
            <w:r>
              <w:rPr>
                <w:b/>
                <w:bCs/>
              </w:rPr>
              <w:tab/>
            </w:r>
            <w:r>
              <w:rPr>
                <w:b/>
                <w:bCs/>
              </w:rPr>
              <w:t xml:space="preserve">Other </w:t>
            </w:r>
          </w:p>
          <w:p>
            <w:pPr>
              <w:pStyle w:val="101"/>
              <w:spacing w:before="60" w:after="60"/>
            </w:pPr>
            <w:r>
              <w:t>BAP</w:t>
            </w:r>
          </w:p>
          <w:p>
            <w:pPr>
              <w:pStyle w:val="94"/>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pPr>
              <w:pStyle w:val="94"/>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pPr>
              <w:pStyle w:val="94"/>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pPr>
              <w:pStyle w:val="95"/>
              <w:ind w:left="0" w:firstLine="0"/>
              <w:rPr>
                <w:i/>
                <w:iCs/>
              </w:rPr>
            </w:pPr>
          </w:p>
        </w:tc>
      </w:tr>
    </w:tbl>
    <w:p>
      <w:pPr>
        <w:pStyle w:val="30"/>
        <w:rPr>
          <w:i/>
          <w:iCs/>
        </w:rPr>
      </w:pPr>
    </w:p>
    <w:p>
      <w:pPr>
        <w:pStyle w:val="30"/>
        <w:rPr>
          <w:i/>
          <w:iCs/>
        </w:rPr>
      </w:pPr>
      <w:r>
        <w:rPr>
          <w:i/>
          <w:iCs/>
        </w:rPr>
        <w:t>RAN2#123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pPr>
              <w:pStyle w:val="94"/>
              <w:spacing w:after="60"/>
              <w:ind w:left="644"/>
              <w:rPr>
                <w:b w:val="0"/>
                <w:bCs/>
                <w:sz w:val="18"/>
                <w:szCs w:val="22"/>
              </w:rPr>
            </w:pPr>
            <w:r>
              <w:rPr>
                <w:b w:val="0"/>
                <w:bCs/>
                <w:sz w:val="18"/>
                <w:szCs w:val="22"/>
              </w:rPr>
              <w:t xml:space="preserve">RACH-less HO for mIAB is expected to reuse most parts from other WI, such as NTN. </w:t>
            </w:r>
          </w:p>
          <w:p>
            <w:pPr>
              <w:pStyle w:val="94"/>
              <w:spacing w:after="60"/>
              <w:ind w:left="644"/>
              <w:rPr>
                <w:b w:val="0"/>
                <w:bCs/>
                <w:sz w:val="18"/>
                <w:szCs w:val="22"/>
              </w:rPr>
            </w:pPr>
            <w:r>
              <w:rPr>
                <w:b w:val="0"/>
                <w:bCs/>
                <w:sz w:val="18"/>
                <w:szCs w:val="22"/>
              </w:rPr>
              <w:t>R2 assumes that RACH-less HO for mIAB can largely adopt the steps of the agreed NTN RACH-less HO procedure:</w:t>
            </w:r>
          </w:p>
          <w:p>
            <w:pPr>
              <w:pStyle w:val="94"/>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pPr>
              <w:pStyle w:val="94"/>
              <w:numPr>
                <w:ilvl w:val="0"/>
                <w:numId w:val="0"/>
              </w:numPr>
              <w:ind w:left="568"/>
              <w:rPr>
                <w:b w:val="0"/>
                <w:bCs/>
                <w:sz w:val="18"/>
                <w:szCs w:val="22"/>
              </w:rPr>
            </w:pPr>
            <w:r>
              <w:rPr>
                <w:b w:val="0"/>
                <w:bCs/>
                <w:sz w:val="18"/>
                <w:szCs w:val="22"/>
              </w:rPr>
              <w:t>2. Start time T304 for the target cell (RRC)</w:t>
            </w:r>
          </w:p>
          <w:p>
            <w:pPr>
              <w:pStyle w:val="94"/>
              <w:numPr>
                <w:ilvl w:val="0"/>
                <w:numId w:val="0"/>
              </w:numPr>
              <w:ind w:left="568"/>
              <w:rPr>
                <w:b w:val="0"/>
                <w:bCs/>
                <w:sz w:val="18"/>
                <w:szCs w:val="22"/>
              </w:rPr>
            </w:pPr>
            <w:r>
              <w:rPr>
                <w:b w:val="0"/>
                <w:bCs/>
                <w:sz w:val="18"/>
                <w:szCs w:val="22"/>
              </w:rPr>
              <w:t>3. Perform DL and UL synchronization.</w:t>
            </w:r>
          </w:p>
          <w:p>
            <w:pPr>
              <w:pStyle w:val="94"/>
              <w:numPr>
                <w:ilvl w:val="0"/>
                <w:numId w:val="0"/>
              </w:numPr>
              <w:ind w:left="568"/>
              <w:rPr>
                <w:b w:val="0"/>
                <w:bCs/>
                <w:sz w:val="18"/>
                <w:szCs w:val="22"/>
              </w:rPr>
            </w:pPr>
            <w:r>
              <w:rPr>
                <w:b w:val="0"/>
                <w:bCs/>
                <w:sz w:val="18"/>
                <w:szCs w:val="22"/>
              </w:rPr>
              <w:t>4. Start time alignment timer (MAC)</w:t>
            </w:r>
          </w:p>
          <w:p>
            <w:pPr>
              <w:pStyle w:val="94"/>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pPr>
              <w:pStyle w:val="94"/>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pPr>
              <w:pStyle w:val="94"/>
              <w:numPr>
                <w:ilvl w:val="0"/>
                <w:numId w:val="0"/>
              </w:numPr>
              <w:ind w:left="568"/>
              <w:rPr>
                <w:b w:val="0"/>
                <w:bCs/>
                <w:sz w:val="18"/>
                <w:szCs w:val="22"/>
              </w:rPr>
            </w:pPr>
            <w:r>
              <w:rPr>
                <w:b w:val="0"/>
                <w:bCs/>
                <w:sz w:val="18"/>
                <w:szCs w:val="22"/>
              </w:rPr>
              <w:t>7. Consider RACH-less HO is completed upon receiving NW configuration.</w:t>
            </w:r>
          </w:p>
          <w:p>
            <w:pPr>
              <w:pStyle w:val="94"/>
              <w:numPr>
                <w:ilvl w:val="0"/>
                <w:numId w:val="0"/>
              </w:numPr>
              <w:ind w:left="568"/>
              <w:rPr>
                <w:b w:val="0"/>
                <w:bCs/>
                <w:sz w:val="18"/>
                <w:szCs w:val="22"/>
              </w:rPr>
            </w:pPr>
            <w:r>
              <w:rPr>
                <w:b w:val="0"/>
                <w:bCs/>
                <w:sz w:val="18"/>
                <w:szCs w:val="22"/>
              </w:rPr>
              <w:t>8. Stop timer T304 for the target cell (RRC).</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highlight w:val="yellow"/>
              </w:rPr>
            </w:pPr>
            <w:r>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pPr>
              <w:pStyle w:val="94"/>
              <w:spacing w:after="60"/>
              <w:ind w:left="644"/>
              <w:rPr>
                <w:b w:val="0"/>
                <w:bCs/>
                <w:sz w:val="18"/>
                <w:szCs w:val="22"/>
              </w:rPr>
            </w:pPr>
            <w:r>
              <w:rPr>
                <w:b w:val="0"/>
                <w:bCs/>
                <w:sz w:val="18"/>
                <w:szCs w:val="22"/>
              </w:rPr>
              <w:t xml:space="preserve">No enhancement is needed for intra-frequency and equal-priority cell reselection. </w:t>
            </w:r>
          </w:p>
          <w:p>
            <w:pPr>
              <w:pStyle w:val="94"/>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pPr>
              <w:pStyle w:val="94"/>
              <w:spacing w:after="60"/>
              <w:ind w:left="644"/>
              <w:rPr>
                <w:b w:val="0"/>
                <w:bCs/>
                <w:sz w:val="18"/>
                <w:szCs w:val="22"/>
                <w:highlight w:val="yellow"/>
              </w:rPr>
            </w:pPr>
            <w:r>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p>
            <w:pPr>
              <w:pStyle w:val="30"/>
              <w:spacing w:before="60" w:after="60"/>
              <w:rPr>
                <w:b/>
                <w:bCs/>
              </w:rPr>
            </w:pPr>
            <w:r>
              <w:rPr>
                <w:b/>
                <w:bCs/>
              </w:rPr>
              <w:t>7.12.3</w:t>
            </w:r>
            <w:r>
              <w:rPr>
                <w:b/>
                <w:bCs/>
              </w:rPr>
              <w:tab/>
            </w:r>
            <w:r>
              <w:rPr>
                <w:b/>
                <w:bCs/>
              </w:rPr>
              <w:t xml:space="preserve">Other </w:t>
            </w:r>
          </w:p>
          <w:p>
            <w:pPr>
              <w:pStyle w:val="101"/>
              <w:spacing w:before="60" w:after="60"/>
            </w:pPr>
            <w:r>
              <w:t>BAP</w:t>
            </w:r>
          </w:p>
          <w:p>
            <w:pPr>
              <w:pStyle w:val="94"/>
              <w:spacing w:after="60"/>
              <w:ind w:left="644"/>
            </w:pPr>
            <w:r>
              <w:rPr>
                <w:b w:val="0"/>
                <w:bCs/>
                <w:sz w:val="18"/>
                <w:szCs w:val="22"/>
              </w:rPr>
              <w:t>1a: When both donor-CUs configure the F1AP BAP configuration (i.e., the BH RLC) for BAP control PDU, it’s up to mobile IAB-node’s implementation which configuration is used.</w:t>
            </w:r>
          </w:p>
        </w:tc>
      </w:tr>
    </w:tbl>
    <w:p/>
    <w:p>
      <w:pPr>
        <w:pStyle w:val="30"/>
        <w:rPr>
          <w:i/>
          <w:iCs/>
        </w:rPr>
      </w:pPr>
      <w:r>
        <w:rPr>
          <w:i/>
          <w:iCs/>
        </w:rPr>
        <w:t>RAN2#123bis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rPr>
            </w:pPr>
            <w:r>
              <w:rPr>
                <w:b w:val="0"/>
                <w:bCs/>
                <w:sz w:val="18"/>
                <w:szCs w:val="22"/>
              </w:rPr>
              <w:t xml:space="preserve">R2 assumes that for MAC we will work on a joint NTN mIAB CR, FFS if we split into separate CRs in the end. </w:t>
            </w:r>
          </w:p>
          <w:p>
            <w:pPr>
              <w:pStyle w:val="94"/>
              <w:spacing w:after="60"/>
              <w:ind w:left="644"/>
              <w:rPr>
                <w:b w:val="0"/>
                <w:bCs/>
                <w:sz w:val="18"/>
                <w:szCs w:val="22"/>
              </w:rPr>
            </w:pPr>
            <w:r>
              <w:rPr>
                <w:b w:val="0"/>
                <w:bCs/>
                <w:sz w:val="18"/>
                <w:szCs w:val="22"/>
              </w:rPr>
              <w:t xml:space="preserve">R2 assumes that for RRC there will be separate NTN and mIAB CRs that need to be kept consistent. </w:t>
            </w:r>
          </w:p>
          <w:p>
            <w:pPr>
              <w:pStyle w:val="94"/>
              <w:spacing w:after="60"/>
              <w:ind w:left="644"/>
              <w:rPr>
                <w:b w:val="0"/>
                <w:bCs/>
                <w:sz w:val="18"/>
                <w:szCs w:val="22"/>
              </w:rPr>
            </w:pPr>
            <w:r>
              <w:rPr>
                <w:b w:val="0"/>
                <w:bCs/>
                <w:sz w:val="18"/>
                <w:szCs w:val="22"/>
              </w:rPr>
              <w:t>UE caps FFS (can discuss next meeting)</w:t>
            </w:r>
          </w:p>
          <w:p>
            <w:pPr>
              <w:pStyle w:val="94"/>
              <w:spacing w:after="60"/>
              <w:ind w:left="644"/>
              <w:rPr>
                <w:b w:val="0"/>
                <w:bCs/>
                <w:sz w:val="18"/>
                <w:szCs w:val="22"/>
              </w:rPr>
            </w:pPr>
            <w:r>
              <w:rPr>
                <w:b w:val="0"/>
                <w:bCs/>
                <w:sz w:val="18"/>
                <w:szCs w:val="22"/>
              </w:rPr>
              <w:t>P1a. timeAlignmentTimer is restarted at every reception of HO command containing the RACH-less configuration (confirms existing mIAB agreement; excludes any further NTN-specific changes such as TA value range).</w:t>
            </w:r>
          </w:p>
          <w:p>
            <w:pPr>
              <w:pStyle w:val="94"/>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pPr>
              <w:pStyle w:val="94"/>
              <w:spacing w:after="60"/>
              <w:ind w:left="644"/>
              <w:rPr>
                <w:b w:val="0"/>
                <w:bCs/>
                <w:sz w:val="18"/>
                <w:szCs w:val="22"/>
              </w:rPr>
            </w:pPr>
            <w:r>
              <w:rPr>
                <w:b w:val="0"/>
                <w:bCs/>
                <w:sz w:val="18"/>
                <w:szCs w:val="22"/>
              </w:rPr>
              <w:t>P1c. Unchanged PCI scenario (as discussed for NTN) is not applicable to mIAB.</w:t>
            </w:r>
          </w:p>
          <w:p>
            <w:pPr>
              <w:pStyle w:val="94"/>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pPr>
              <w:pStyle w:val="94"/>
              <w:spacing w:after="60"/>
              <w:ind w:left="644"/>
              <w:rPr>
                <w:b w:val="0"/>
                <w:bCs/>
                <w:sz w:val="18"/>
                <w:szCs w:val="22"/>
              </w:rPr>
            </w:pPr>
            <w:r>
              <w:rPr>
                <w:b w:val="0"/>
                <w:bCs/>
                <w:sz w:val="18"/>
                <w:szCs w:val="22"/>
              </w:rPr>
              <w:t>P3d. When rach-LessHO is configured, and if configured grant is not configured, the UE will monitor the PDCCH.</w:t>
            </w:r>
          </w:p>
          <w:p>
            <w:pPr>
              <w:pStyle w:val="94"/>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pPr>
              <w:pStyle w:val="94"/>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pPr>
              <w:pStyle w:val="94"/>
              <w:spacing w:after="60"/>
              <w:ind w:left="644"/>
              <w:rPr>
                <w:b w:val="0"/>
                <w:bCs/>
                <w:sz w:val="18"/>
                <w:szCs w:val="22"/>
              </w:rPr>
            </w:pPr>
            <w:r>
              <w:rPr>
                <w:b w:val="0"/>
                <w:bCs/>
                <w:sz w:val="18"/>
                <w:szCs w:val="22"/>
              </w:rPr>
              <w:t>P1b-2 The case where NTA explicitly provided by the network is 0 is not applicable to mIAB.</w:t>
            </w:r>
          </w:p>
          <w:p>
            <w:pPr>
              <w:pStyle w:val="94"/>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pPr>
              <w:pStyle w:val="94"/>
              <w:spacing w:after="60"/>
              <w:ind w:left="644"/>
              <w:rPr>
                <w:b w:val="0"/>
                <w:bCs/>
                <w:sz w:val="18"/>
                <w:szCs w:val="22"/>
                <w:highlight w:val="yellow"/>
              </w:rPr>
            </w:pPr>
            <w:r>
              <w:rPr>
                <w:b w:val="0"/>
                <w:bCs/>
                <w:sz w:val="18"/>
                <w:szCs w:val="22"/>
                <w:highlight w:val="yellow"/>
              </w:rPr>
              <w:t>Observation: for mIAB, the network can always provide a beam indication</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rPr>
            </w:pPr>
            <w:r>
              <w:rPr>
                <w:b w:val="0"/>
                <w:bCs/>
                <w:sz w:val="18"/>
                <w:szCs w:val="22"/>
              </w:rPr>
              <w:t>P1: mIAB PCI list is optional present (i.e., not mandatory) for indicated mIAB frequency (confirming that mIAB PCI list is introduced)</w:t>
            </w:r>
          </w:p>
          <w:p>
            <w:pPr>
              <w:pStyle w:val="94"/>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pPr>
              <w:pStyle w:val="94"/>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pPr>
              <w:pStyle w:val="94"/>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pPr>
              <w:pStyle w:val="30"/>
              <w:spacing w:before="60" w:after="60"/>
              <w:rPr>
                <w:b/>
                <w:bCs/>
              </w:rPr>
            </w:pPr>
          </w:p>
          <w:p>
            <w:pPr>
              <w:pStyle w:val="30"/>
              <w:spacing w:before="60" w:after="60"/>
              <w:rPr>
                <w:b/>
                <w:bCs/>
              </w:rPr>
            </w:pPr>
            <w:r>
              <w:rPr>
                <w:b/>
                <w:bCs/>
              </w:rPr>
              <w:t>7.12.3</w:t>
            </w:r>
            <w:r>
              <w:rPr>
                <w:b/>
                <w:bCs/>
              </w:rPr>
              <w:tab/>
            </w:r>
            <w:r>
              <w:rPr>
                <w:b/>
                <w:bCs/>
              </w:rPr>
              <w:t>Other</w:t>
            </w:r>
          </w:p>
          <w:p>
            <w:pPr>
              <w:pStyle w:val="101"/>
              <w:spacing w:before="60" w:after="60"/>
            </w:pPr>
            <w:r>
              <w:t>General</w:t>
            </w:r>
          </w:p>
          <w:p>
            <w:pPr>
              <w:pStyle w:val="94"/>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pPr>
              <w:pStyle w:val="94"/>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pPr>
              <w:pStyle w:val="94"/>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pPr>
              <w:pStyle w:val="101"/>
              <w:spacing w:before="60" w:after="60"/>
            </w:pPr>
          </w:p>
          <w:p>
            <w:pPr>
              <w:pStyle w:val="101"/>
              <w:spacing w:before="60" w:after="60"/>
            </w:pPr>
            <w:r>
              <w:t>UE capabilities</w:t>
            </w:r>
          </w:p>
          <w:p>
            <w:pPr>
              <w:pStyle w:val="94"/>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pPr>
              <w:pStyle w:val="94"/>
              <w:spacing w:after="60"/>
              <w:ind w:left="644"/>
              <w:rPr>
                <w:b w:val="0"/>
                <w:bCs/>
                <w:sz w:val="18"/>
                <w:szCs w:val="22"/>
              </w:rPr>
            </w:pPr>
            <w:r>
              <w:rPr>
                <w:b w:val="0"/>
                <w:bCs/>
                <w:sz w:val="18"/>
                <w:szCs w:val="22"/>
              </w:rPr>
              <w:t>RAN2 assumes that the MT Idle mode behaviours is reflected by a Cap wo signalling in 38306.</w:t>
            </w:r>
          </w:p>
          <w:p>
            <w:pPr>
              <w:pStyle w:val="94"/>
              <w:spacing w:after="60"/>
              <w:ind w:left="644"/>
              <w:rPr>
                <w:b w:val="0"/>
                <w:bCs/>
                <w:sz w:val="18"/>
                <w:szCs w:val="22"/>
              </w:rPr>
            </w:pPr>
            <w:r>
              <w:rPr>
                <w:b w:val="0"/>
                <w:bCs/>
                <w:sz w:val="18"/>
                <w:szCs w:val="22"/>
              </w:rPr>
              <w:t xml:space="preserve">FFS if a separate mobile-IAB capability (signalled) is introduced in Rel-18. </w:t>
            </w:r>
          </w:p>
          <w:p>
            <w:pPr>
              <w:pStyle w:val="94"/>
              <w:numPr>
                <w:ilvl w:val="0"/>
                <w:numId w:val="0"/>
              </w:numPr>
              <w:spacing w:after="60"/>
            </w:pPr>
          </w:p>
        </w:tc>
      </w:tr>
    </w:tbl>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10-20T12:05:22Z" w:initials="ZTE">
    <w:p w14:paraId="0A755F47">
      <w:pPr>
        <w:pStyle w:val="29"/>
        <w:rPr>
          <w:rFonts w:hint="default" w:eastAsiaTheme="minorEastAsia"/>
          <w:lang w:val="en-US" w:eastAsia="zh-CN"/>
        </w:rPr>
      </w:pPr>
      <w:r>
        <w:rPr>
          <w:rFonts w:hint="eastAsia"/>
          <w:lang w:val="en-US" w:eastAsia="zh-CN"/>
        </w:rPr>
        <w:t xml:space="preserve">Suggest to replace </w:t>
      </w:r>
      <w:r>
        <w:rPr>
          <w:rFonts w:hint="default"/>
          <w:lang w:val="en-US" w:eastAsia="zh-CN"/>
        </w:rPr>
        <w:t>“</w:t>
      </w:r>
      <w:r>
        <w:rPr>
          <w:rFonts w:hint="eastAsia"/>
          <w:lang w:val="en-US" w:eastAsia="zh-CN"/>
        </w:rPr>
        <w:t>IAB-DU</w:t>
      </w:r>
      <w:r>
        <w:rPr>
          <w:rFonts w:hint="default"/>
          <w:lang w:val="en-US" w:eastAsia="zh-CN"/>
        </w:rPr>
        <w:t>”</w:t>
      </w:r>
      <w:r>
        <w:rPr>
          <w:rFonts w:hint="eastAsia"/>
          <w:lang w:val="en-US" w:eastAsia="zh-CN"/>
        </w:rPr>
        <w:t xml:space="preserve"> with </w:t>
      </w:r>
      <w:r>
        <w:rPr>
          <w:rFonts w:hint="default"/>
          <w:lang w:val="en-US" w:eastAsia="zh-CN"/>
        </w:rPr>
        <w:t>“</w:t>
      </w:r>
      <w:r>
        <w:rPr>
          <w:rFonts w:hint="eastAsia"/>
          <w:lang w:val="en-US" w:eastAsia="zh-CN"/>
        </w:rPr>
        <w:t>gNB-DU</w:t>
      </w:r>
      <w:r>
        <w:rPr>
          <w:rFonts w:hint="default"/>
          <w:lang w:val="en-US" w:eastAsia="zh-CN"/>
        </w:rPr>
        <w:t>”</w:t>
      </w:r>
      <w:r>
        <w:rPr>
          <w:rFonts w:hint="eastAsia"/>
          <w:lang w:val="en-US" w:eastAsia="zh-CN"/>
        </w:rPr>
        <w:t xml:space="preserve"> so that it can be distinguished from legacy IAB-DU, considering that the mobile IAB node is not defined as a kind of IAB-node. </w:t>
      </w:r>
    </w:p>
  </w:comment>
  <w:comment w:id="1" w:author="ZTE" w:date="2023-10-20T12:06:07Z" w:initials="ZTE">
    <w:p w14:paraId="0AC045DC">
      <w:pPr>
        <w:pStyle w:val="29"/>
        <w:rPr>
          <w:rFonts w:hint="default" w:eastAsiaTheme="minorEastAsia"/>
          <w:lang w:val="en-US" w:eastAsia="zh-CN"/>
        </w:rPr>
      </w:pPr>
      <w:r>
        <w:rPr>
          <w:rFonts w:hint="eastAsia"/>
          <w:lang w:val="en-US" w:eastAsia="zh-CN"/>
        </w:rPr>
        <w:t xml:space="preserve">Suggest to replace </w:t>
      </w:r>
      <w:r>
        <w:rPr>
          <w:rFonts w:hint="default"/>
          <w:lang w:val="en-US" w:eastAsia="zh-CN"/>
        </w:rPr>
        <w:t>“</w:t>
      </w:r>
      <w:r>
        <w:rPr>
          <w:rFonts w:hint="eastAsia"/>
          <w:lang w:val="en-US" w:eastAsia="zh-CN"/>
        </w:rPr>
        <w:t>IAB-MT</w:t>
      </w:r>
      <w:r>
        <w:rPr>
          <w:rFonts w:hint="default"/>
          <w:lang w:val="en-US" w:eastAsia="zh-CN"/>
        </w:rPr>
        <w:t>”</w:t>
      </w:r>
      <w:r>
        <w:rPr>
          <w:rFonts w:hint="eastAsia"/>
          <w:lang w:val="en-US" w:eastAsia="zh-CN"/>
        </w:rPr>
        <w:t xml:space="preserve"> with </w:t>
      </w:r>
      <w:r>
        <w:rPr>
          <w:rFonts w:hint="default"/>
          <w:lang w:val="en-US" w:eastAsia="zh-CN"/>
        </w:rPr>
        <w:t>“</w:t>
      </w:r>
      <w:r>
        <w:rPr>
          <w:rFonts w:hint="eastAsia"/>
          <w:lang w:val="en-US" w:eastAsia="zh-CN"/>
        </w:rPr>
        <w:t>MT</w:t>
      </w:r>
      <w:r>
        <w:rPr>
          <w:rFonts w:hint="default"/>
          <w:lang w:val="en-US" w:eastAsia="zh-CN"/>
        </w:rPr>
        <w:t>”</w:t>
      </w:r>
      <w:r>
        <w:rPr>
          <w:rFonts w:hint="eastAsia"/>
          <w:lang w:val="en-US" w:eastAsia="zh-CN"/>
        </w:rPr>
        <w:t xml:space="preserve"> so that it can be distinguished from legacy IAB-MT, considering that the mobile IAB node is not defined as a kind of IAB-node. </w:t>
      </w:r>
    </w:p>
  </w:comment>
  <w:comment w:id="2" w:author="Milos Tesanovic/5G Standards (CRT) /SRUK/Staff Engineer/Samsung Electronics" w:date="2023-10-19T10:15:00Z" w:initials="MTS(/EE">
    <w:p w14:paraId="31000CFB">
      <w:pPr>
        <w:pStyle w:val="29"/>
      </w:pPr>
      <w:r>
        <w:t>Following agreements made in Xiamen, and the text added below (the somewhat changed definition of mIAB), it may be better to define a mobile IAB-node as a RAN node rather than an IAB-node, e.g.</w:t>
      </w:r>
    </w:p>
    <w:p w14:paraId="0C4C2C7E">
      <w:pPr>
        <w:pStyle w:val="29"/>
      </w:pPr>
    </w:p>
    <w:p w14:paraId="33CF1B3C">
      <w:pPr>
        <w:pStyle w:val="29"/>
      </w:pPr>
      <w:r>
        <w:rPr>
          <w:b/>
          <w:bCs/>
        </w:rPr>
        <w:t>Mobile IAB-node</w:t>
      </w:r>
      <w:r>
        <w:t>: RAN node that supports NR access links to UEs and NR backhaul links to the parent nodes while allowing physical mobility of the node across the RAN area.</w:t>
      </w:r>
    </w:p>
  </w:comment>
  <w:comment w:id="3" w:author="QC R3#122v2" w:date="2023-10-19T10:32:00Z" w:initials="">
    <w:p w14:paraId="229C689B">
      <w:pPr>
        <w:pStyle w:val="29"/>
      </w:pPr>
      <w:r>
        <w:t>Indeed, it  would be more correct to define the mIAB-node as a unique RAN-node than as some sort of IAB-node. Reworded definition.</w:t>
      </w:r>
    </w:p>
  </w:comment>
  <w:comment w:id="4" w:author="QC - R2#123b" w:date="2023-09-26T11:24:00Z" w:initials="">
    <w:p w14:paraId="4AF62F9E">
      <w:pPr>
        <w:pStyle w:val="29"/>
      </w:pPr>
      <w:r>
        <w:t>Restriction to single-connectivity is captured below. RAN2 has further not converged if the mIAB-node can be NR dual-connected. The WID solely prohibits node-mobility in case it is dual-connected.</w:t>
      </w:r>
    </w:p>
  </w:comment>
  <w:comment w:id="5" w:author="QC - R2#123b" w:date="2023-10-16T11:42:00Z" w:initials="">
    <w:p w14:paraId="65061784">
      <w:pPr>
        <w:pStyle w:val="29"/>
      </w:pPr>
      <w:r>
        <w:rPr>
          <w:color w:val="3F3F3F"/>
        </w:rPr>
        <w:t xml:space="preserve">Captured in RAN3 BL CR to 38401 in R3-235776. </w:t>
      </w:r>
    </w:p>
  </w:comment>
  <w:comment w:id="6" w:author="Huawei-Yulong" w:date="2023-10-18T10:32:00Z" w:initials="HW">
    <w:p w14:paraId="5C157630">
      <w:pPr>
        <w:pStyle w:val="29"/>
        <w:rPr>
          <w:lang w:eastAsia="zh-CN"/>
        </w:rPr>
      </w:pPr>
      <w:r>
        <w:rPr>
          <w:rFonts w:hint="eastAsia"/>
          <w:lang w:eastAsia="zh-CN"/>
        </w:rPr>
        <w:t>N</w:t>
      </w:r>
      <w:r>
        <w:rPr>
          <w:lang w:eastAsia="zh-CN"/>
        </w:rPr>
        <w:t>o agreement on this. We should remove it.</w:t>
      </w:r>
    </w:p>
    <w:p w14:paraId="16C30AED">
      <w:pPr>
        <w:pStyle w:val="90"/>
        <w:widowControl w:val="0"/>
        <w:numPr>
          <w:ilvl w:val="0"/>
          <w:numId w:val="3"/>
        </w:numPr>
        <w:overflowPunct/>
        <w:autoSpaceDE/>
        <w:autoSpaceDN/>
        <w:adjustRightInd/>
        <w:spacing w:after="0"/>
        <w:contextualSpacing w:val="0"/>
        <w:jc w:val="both"/>
        <w:textAlignment w:val="auto"/>
      </w:pPr>
      <w:r>
        <w:t xml:space="preserve">From R2 perspective It is not supported that Rel-18 mobile IAB-node concurrently operate as a Rel-16/17 IAB-node, as e.g. mobile-IAB doesn’t support child IAB nodes. </w:t>
      </w:r>
    </w:p>
    <w:p w14:paraId="79D93C53">
      <w:pPr>
        <w:pStyle w:val="90"/>
        <w:widowControl w:val="0"/>
        <w:numPr>
          <w:ilvl w:val="0"/>
          <w:numId w:val="3"/>
        </w:numPr>
        <w:overflowPunct/>
        <w:autoSpaceDE/>
        <w:autoSpaceDN/>
        <w:adjustRightInd/>
        <w:spacing w:after="0"/>
        <w:contextualSpacing w:val="0"/>
        <w:jc w:val="both"/>
        <w:textAlignment w:val="auto"/>
      </w:pPr>
      <w:r>
        <w:t xml:space="preserve">This means that there are restrictions for the network in configuring concurrent use of R-18 mIAB feature(s) and rel-16/17 IAB features (details FFS). </w:t>
      </w:r>
    </w:p>
    <w:p w14:paraId="42985A58">
      <w:pPr>
        <w:pStyle w:val="29"/>
        <w:rPr>
          <w:lang w:eastAsia="zh-CN"/>
        </w:rPr>
      </w:pPr>
    </w:p>
  </w:comment>
  <w:comment w:id="7" w:author="QC R3#122v2" w:date="2023-10-19T10:34:00Z" w:initials="">
    <w:p w14:paraId="7CC52DCC">
      <w:pPr>
        <w:pStyle w:val="29"/>
      </w:pPr>
      <w:r>
        <w:t>RAN2/3, SA2 agreed that mIAB authorization is based in mIAB indicator in MSG5 which is not supported by non-mIAB-capable RAN.</w:t>
      </w:r>
    </w:p>
    <w:p w14:paraId="39B628D1">
      <w:pPr>
        <w:pStyle w:val="29"/>
      </w:pPr>
    </w:p>
    <w:p w14:paraId="19326817">
      <w:pPr>
        <w:pStyle w:val="29"/>
      </w:pPr>
      <w:r>
        <w:t>Please also see RAN3 chairman notes from Xiamen meeting:</w:t>
      </w:r>
    </w:p>
    <w:p w14:paraId="79E072DC">
      <w:pPr>
        <w:pStyle w:val="29"/>
      </w:pPr>
      <w:r>
        <w:rPr>
          <w:b/>
          <w:bCs/>
          <w:color w:val="FF0000"/>
        </w:rPr>
        <w:t>It is common understanding that a mIAB node cannot be supported by a non mIAB capable gNB.</w:t>
      </w:r>
    </w:p>
  </w:comment>
  <w:comment w:id="8" w:author="ZTE" w:date="2023-10-20T14:59:08Z" w:initials="ZTE">
    <w:p w14:paraId="169457FE">
      <w:pPr>
        <w:pStyle w:val="29"/>
        <w:rPr>
          <w:rFonts w:hint="default"/>
          <w:lang w:val="en-US" w:eastAsia="zh-CN"/>
        </w:rPr>
      </w:pPr>
      <w:r>
        <w:rPr>
          <w:rFonts w:hint="eastAsia"/>
          <w:lang w:val="en-US" w:eastAsia="zh-CN"/>
        </w:rPr>
        <w:t>Agree with Huawei. The read text captured in RAN3 chair</w:t>
      </w:r>
      <w:r>
        <w:rPr>
          <w:rFonts w:hint="default"/>
          <w:lang w:val="en-US" w:eastAsia="zh-CN"/>
        </w:rPr>
        <w:t>’</w:t>
      </w:r>
      <w:r>
        <w:rPr>
          <w:rFonts w:hint="eastAsia"/>
          <w:lang w:val="en-US" w:eastAsia="zh-CN"/>
        </w:rPr>
        <w:t xml:space="preserve">s note contradicts with previous RAN2 agreement. So we prefer to keep it as an FFS regarding whether a mobile IAB-node can connect to a RAN that supports IAB, which can be discussed in next RAN2 meeting. </w:t>
      </w:r>
    </w:p>
  </w:comment>
  <w:comment w:id="9" w:author="Andrew Lappalainen (Nokia)" w:date="2023-10-18T15:26:00Z" w:initials="AL(">
    <w:p w14:paraId="3ECB78AC">
      <w:pPr>
        <w:pStyle w:val="29"/>
      </w:pPr>
      <w:r>
        <w:rPr>
          <w:rStyle w:val="48"/>
        </w:rPr>
        <w:t>It may not be</w:t>
      </w:r>
      <w:r>
        <w:t xml:space="preserve"> necessary to capture this at all (at least it seems unnecessary to capture it here), since the other restrictions listed here make it clear that a mobile IAB node cannot operate concurrently as a Rel-16/17 IAB node.</w:t>
      </w:r>
    </w:p>
    <w:p w14:paraId="0C00156B">
      <w:pPr>
        <w:pStyle w:val="29"/>
      </w:pPr>
    </w:p>
    <w:p w14:paraId="42CA1895">
      <w:pPr>
        <w:pStyle w:val="29"/>
      </w:pPr>
      <w:r>
        <w:t>Even if we do capture this, the way it is currently phrased almost sounds contradictory. We are saying here that a mobile IAB-node cannot concurrently operate as an IAB-node; meanwhile a mobile IAB-node is defined in 3.2 as a type of IAB-node (with certain enhancements). So, if we do capture this we may need to phrase it more like the agreement from R2#123b: a mobile IAB-node cannot concurrently operate as a Rel-16 or Rel-17 IAB-node.</w:t>
      </w:r>
    </w:p>
  </w:comment>
  <w:comment w:id="10" w:author="Milos Tesanovic/5G Standards (CRT) /SRUK/Staff Engineer/Samsung Electronics" w:date="2023-10-19T10:17:00Z" w:initials="MTS(/EE">
    <w:p w14:paraId="45EB317B">
      <w:pPr>
        <w:pStyle w:val="29"/>
      </w:pPr>
      <w:r>
        <w:t>We agree with Nokia.</w:t>
      </w:r>
    </w:p>
    <w:p w14:paraId="72AB2DC4">
      <w:pPr>
        <w:pStyle w:val="29"/>
      </w:pPr>
    </w:p>
    <w:p w14:paraId="39352AD3">
      <w:pPr>
        <w:pStyle w:val="29"/>
      </w:pPr>
      <w:r>
        <w:t>We further believe this is a problematic statement for other reasons, despite the Xiamen agreements. And this is not what SA2 intended in our understanding.</w:t>
      </w:r>
    </w:p>
    <w:p w14:paraId="18DB472E">
      <w:pPr>
        <w:pStyle w:val="29"/>
      </w:pPr>
    </w:p>
    <w:p w14:paraId="27667C37">
      <w:pPr>
        <w:pStyle w:val="29"/>
      </w:pPr>
      <w:r>
        <w:t>It seems to us that what we (RAN2) ruled out is an mIAB-MT concurrently operating as an IAB-MT. The ‘node’ is a wider term. And as Nokia points out, we define an mIAB node as an IAB node (see also our comment on the definition), which causes issues when statements such as these are made.</w:t>
      </w:r>
    </w:p>
  </w:comment>
  <w:comment w:id="11" w:author="Apple - Peng Cheng" w:date="2023-10-19T22:13:00Z" w:initials="PC">
    <w:p w14:paraId="43D14AC6">
      <w:r>
        <w:rPr>
          <w:color w:val="000000"/>
        </w:rPr>
        <w:t xml:space="preserve">Same view as Nokia and Samsung. </w:t>
      </w:r>
    </w:p>
  </w:comment>
  <w:comment w:id="12" w:author="QC R3#122v2" w:date="2023-10-19T10:36:00Z" w:initials="">
    <w:p w14:paraId="58377959">
      <w:pPr>
        <w:pStyle w:val="29"/>
      </w:pPr>
      <w:r>
        <w:t>The intention here is to state that a RAN-node should not be both at the same time, i.e., mIAB-node + IAB-node. Propose rewording that captures this aspect more properly, and which hopefully addresses the concerns above.</w:t>
      </w:r>
    </w:p>
  </w:comment>
  <w:comment w:id="13" w:author="Milos Tesanovic/5G Standards (CRT) /SRUK/Staff Engineer/Samsung Electronics" w:date="2023-10-19T10:19:00Z" w:initials="MTS(/EE">
    <w:p w14:paraId="6BAA58F3">
      <w:pPr>
        <w:pStyle w:val="29"/>
      </w:pPr>
      <w:r>
        <w:t>This is a network restriction (affects the DU), is it necessary to capture it?</w:t>
      </w:r>
    </w:p>
  </w:comment>
  <w:comment w:id="14" w:author="Apple - Peng Cheng" w:date="2023-10-19T22:15:00Z" w:initials="PC">
    <w:p w14:paraId="0C546DEE">
      <w:r>
        <w:rPr>
          <w:color w:val="000000"/>
        </w:rPr>
        <w:t>We also think it doesn’t need to capture 2nd sentence. The 1st sentence is sufficient in stage 2 level.</w:t>
      </w:r>
    </w:p>
  </w:comment>
  <w:comment w:id="15" w:author="QC - R2#123b" w:date="2023-10-16T11:15:00Z" w:initials="">
    <w:p w14:paraId="1B110441">
      <w:pPr>
        <w:pStyle w:val="29"/>
      </w:pPr>
      <w:r>
        <w:rPr>
          <w:color w:val="3F3F3F"/>
        </w:rPr>
        <w:t>Captured in RAN3 BL CR to 38401 in R3-235776. The information related to the Editor notes are captured in this CR.</w:t>
      </w:r>
    </w:p>
  </w:comment>
  <w:comment w:id="16" w:author="QC - R2#123b" w:date="2023-10-16T11:20:00Z" w:initials="">
    <w:p w14:paraId="0D603307">
      <w:pPr>
        <w:pStyle w:val="29"/>
      </w:pPr>
      <w:r>
        <w:rPr>
          <w:color w:val="3F3F3F"/>
        </w:rPr>
        <w:t>Captured in RAN3 BL CR to 38401 in R3-235776.</w:t>
      </w:r>
    </w:p>
  </w:comment>
  <w:comment w:id="17" w:author="ZTE" w:date="2023-10-20T14:19:11Z" w:initials="ZTE">
    <w:p w14:paraId="1F623157">
      <w:pPr>
        <w:pStyle w:val="29"/>
        <w:rPr>
          <w:rFonts w:hint="eastAsia"/>
          <w:lang w:val="en-US" w:eastAsia="zh-CN"/>
        </w:rPr>
      </w:pPr>
      <w:r>
        <w:rPr>
          <w:rFonts w:hint="eastAsia"/>
          <w:lang w:val="en-US" w:eastAsia="zh-CN"/>
        </w:rPr>
        <w:t xml:space="preserve">It reads like the initial logical DU needs to be released after the new logical DU is established. Actually the kty point to be captured is that the two logical DU will coexist during the DU migration as agreed in RAN3#117. </w:t>
      </w:r>
    </w:p>
    <w:p w14:paraId="7F392E9F">
      <w:pPr>
        <w:pStyle w:val="29"/>
        <w:rPr>
          <w:rFonts w:hint="eastAsia"/>
          <w:lang w:val="en-US" w:eastAsia="zh-CN"/>
        </w:rPr>
      </w:pPr>
    </w:p>
    <w:p w14:paraId="040F3329">
      <w:pPr>
        <w:pStyle w:val="29"/>
        <w:rPr>
          <w:rFonts w:hint="default"/>
          <w:lang w:val="en-US" w:eastAsia="zh-CN"/>
        </w:rPr>
      </w:pPr>
      <w:r>
        <w:rPr>
          <w:rFonts w:hint="eastAsia"/>
          <w:lang w:val="en-US" w:eastAsia="zh-CN"/>
        </w:rPr>
        <w:t xml:space="preserve">Suggest to reword like </w:t>
      </w:r>
      <w:r>
        <w:rPr>
          <w:rFonts w:hint="default"/>
          <w:lang w:val="en-US" w:eastAsia="zh-CN"/>
        </w:rPr>
        <w:t>“</w:t>
      </w:r>
      <w:ins w:id="0" w:author="R2#123" w:date="2023-09-26T11:06:00Z">
        <w:r>
          <w:rPr>
            <w:rFonts w:eastAsia="宋体"/>
            <w:lang w:eastAsia="zh-CN"/>
          </w:rPr>
          <w:t xml:space="preserve"> a new logical mobile IAB-DU is established on the mobile IAB-node</w:t>
        </w:r>
      </w:ins>
      <w:r>
        <w:rPr>
          <w:rFonts w:hint="eastAsia" w:eastAsia="宋体"/>
          <w:lang w:val="en-US" w:eastAsia="zh-CN"/>
        </w:rPr>
        <w:t xml:space="preserve"> after DU migration is initiated</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two logical mobile IAB-DUs are supported concurrently in the mobile IAB-node</w:t>
      </w:r>
      <w:r>
        <w:rPr>
          <w:rFonts w:hint="default"/>
          <w:lang w:val="en-US" w:eastAsia="zh-CN"/>
        </w:rPr>
        <w:t>”</w:t>
      </w:r>
      <w:r>
        <w:rPr>
          <w:rFonts w:hint="eastAsia"/>
          <w:lang w:val="en-US" w:eastAsia="zh-CN"/>
        </w:rPr>
        <w:t xml:space="preserve">. </w:t>
      </w:r>
    </w:p>
    <w:p w14:paraId="567E7170">
      <w:pPr>
        <w:pStyle w:val="29"/>
        <w:rPr>
          <w:rFonts w:hint="default"/>
          <w:lang w:val="en-US" w:eastAsia="zh-CN"/>
        </w:rPr>
      </w:pPr>
    </w:p>
    <w:p w14:paraId="5D42776E">
      <w:pPr>
        <w:pStyle w:val="29"/>
        <w:rPr>
          <w:rFonts w:hint="default"/>
          <w:lang w:val="en-US" w:eastAsia="zh-CN"/>
        </w:rPr>
      </w:pPr>
      <w:r>
        <w:rPr>
          <w:rFonts w:hint="eastAsia"/>
          <w:lang w:val="en-US" w:eastAsia="zh-CN"/>
        </w:rPr>
        <w:t>RAN3#117 agreement:</w:t>
      </w:r>
    </w:p>
    <w:p w14:paraId="184F670C">
      <w:pPr>
        <w:widowControl w:val="0"/>
        <w:ind w:left="144" w:hanging="144"/>
        <w:rPr>
          <w:rFonts w:ascii="Calibri" w:hAnsi="Calibri" w:cs="Calibri"/>
          <w:b/>
          <w:color w:val="008000"/>
          <w:sz w:val="18"/>
          <w:szCs w:val="18"/>
          <w:lang w:eastAsia="en-US"/>
        </w:rPr>
      </w:pPr>
      <w:r>
        <w:rPr>
          <w:rFonts w:ascii="Calibri" w:hAnsi="Calibri" w:cs="Calibri"/>
          <w:b/>
          <w:iCs/>
          <w:color w:val="008000"/>
          <w:sz w:val="18"/>
          <w:szCs w:val="18"/>
          <w:lang w:eastAsia="en-US"/>
        </w:rPr>
        <w:t>For DU migration cases</w:t>
      </w:r>
      <w:r>
        <w:rPr>
          <w:rFonts w:ascii="Calibri" w:hAnsi="Calibri" w:cs="Calibri"/>
          <w:b/>
          <w:color w:val="008000"/>
          <w:sz w:val="18"/>
          <w:szCs w:val="18"/>
          <w:lang w:eastAsia="en-US"/>
        </w:rPr>
        <w:t>, to execute the handover of the served UEs, the mobile IAB-node concurrently supports two logical mobile IAB-DUs, which have F1AP associations with the source CU and the target CU, respectively.</w:t>
      </w:r>
    </w:p>
    <w:p w14:paraId="25C45755">
      <w:pPr>
        <w:pStyle w:val="29"/>
        <w:rPr>
          <w:rFonts w:hint="default"/>
          <w:lang w:val="en-US" w:eastAsia="zh-CN"/>
        </w:rPr>
      </w:pPr>
    </w:p>
    <w:p w14:paraId="47544C28">
      <w:pPr>
        <w:pStyle w:val="29"/>
      </w:pPr>
    </w:p>
  </w:comment>
  <w:comment w:id="18" w:author="QC - R2#123b" w:date="2023-10-16T12:56:00Z" w:initials="">
    <w:p w14:paraId="341D6073">
      <w:pPr>
        <w:pStyle w:val="29"/>
      </w:pPr>
      <w:r>
        <w:t>Included in a separate sub-section on RACH-less handover.</w:t>
      </w:r>
    </w:p>
  </w:comment>
  <w:comment w:id="19" w:author="QC - R2#123b" w:date="2023-10-16T12:56:00Z" w:initials="">
    <w:p w14:paraId="22015F3B">
      <w:pPr>
        <w:pStyle w:val="29"/>
      </w:pPr>
      <w:r>
        <w:t>BAP-related aspects can be handled in 38.340.</w:t>
      </w:r>
    </w:p>
  </w:comment>
  <w:comment w:id="20" w:author="QC - R2#123b" w:date="2023-10-16T11:24:00Z" w:initials="">
    <w:p w14:paraId="0AFD2A00">
      <w:pPr>
        <w:pStyle w:val="29"/>
      </w:pPr>
      <w:r>
        <w:t>This matches the terminology in the mobile IAB WID.</w:t>
      </w:r>
    </w:p>
  </w:comment>
  <w:comment w:id="21" w:author="Milos Tesanovic/5G Standards (CRT) /SRUK/Staff Engineer/Samsung Electronics" w:date="2023-10-19T10:20:00Z" w:initials="MTS(/EE">
    <w:p w14:paraId="16187F48">
      <w:pPr>
        <w:pStyle w:val="29"/>
      </w:pPr>
      <w:r>
        <w:t>Is this still an FFS? We agreed an mIAB node is a single connected node.</w:t>
      </w:r>
    </w:p>
  </w:comment>
  <w:comment w:id="22" w:author="QC R3#122v2" w:date="2023-10-19T10:38:00Z" w:initials="">
    <w:p w14:paraId="08DA0A44">
      <w:pPr>
        <w:pStyle w:val="29"/>
      </w:pPr>
      <w:r>
        <w:t>WID states: "The mobility of dual-connected IAB-nodes is down-prioritized". Let's assume that at this stage of the WI, down-prioritized = non supported. However, the WID does not state that DC is not supported. It solely states that node mobility is not supported in case the node is dual-connected. It might be up to the donor to decide to dual-connect the node and prohibit mobility in this case. We need to discuss in R2#124.</w:t>
      </w:r>
    </w:p>
  </w:comment>
  <w:comment w:id="23" w:author="Milos Tesanovic/5G Standards (CRT) /SRUK/Staff Engineer/Samsung Electronics" w:date="2023-10-19T10:20:00Z" w:initials="MTS(/EE">
    <w:p w14:paraId="0D6F2CF7">
      <w:pPr>
        <w:pStyle w:val="29"/>
      </w:pPr>
      <w:r>
        <w:t>Is this still an FFS? We agreed an mIAB node is a single connected node.</w:t>
      </w:r>
    </w:p>
  </w:comment>
  <w:comment w:id="24" w:author="QC R3#122v2" w:date="2023-10-19T10:24:00Z" w:initials="">
    <w:p w14:paraId="3ADB404C">
      <w:pPr>
        <w:pStyle w:val="29"/>
      </w:pPr>
      <w:r>
        <w:t>WID states: "The mobility of dual-connected IAB-nodes is down-prioritized". Let's assume that at this stage of the WI&lt; down-prioritized = non suppported. However, the WID does not state that DC is not supported. It solely states that the mobility is not supported in case it is dual-connected. It might be up to the donor to decide to dual-connect the node and prohibit mobility in this case. We need to discuss in R2#124.</w:t>
      </w:r>
    </w:p>
  </w:comment>
  <w:comment w:id="25" w:author="Andrew Lappalainen (Nokia)" w:date="2023-10-18T15:37:00Z" w:initials="AL(">
    <w:p w14:paraId="77F321EB">
      <w:pPr>
        <w:pStyle w:val="29"/>
      </w:pPr>
      <w:r>
        <w:t>to</w:t>
      </w:r>
    </w:p>
  </w:comment>
  <w:comment w:id="26" w:author="QC R3#122v2" w:date="2023-10-19T10:39:00Z" w:initials="">
    <w:p w14:paraId="56F565E1">
      <w:pPr>
        <w:pStyle w:val="29"/>
      </w:pPr>
      <w:r>
        <w:t>Thanks!</w:t>
      </w:r>
    </w:p>
  </w:comment>
  <w:comment w:id="27" w:author="Andrew Lappalainen (Nokia)" w:date="2023-10-18T15:38:00Z" w:initials="AL(">
    <w:p w14:paraId="36ED7250">
      <w:pPr>
        <w:pStyle w:val="29"/>
      </w:pPr>
      <w:r>
        <w:t>logical</w:t>
      </w:r>
    </w:p>
  </w:comment>
  <w:comment w:id="28" w:author="QC R3#122v2" w:date="2023-10-19T10:39:00Z" w:initials="">
    <w:p w14:paraId="21543DBB">
      <w:pPr>
        <w:pStyle w:val="29"/>
      </w:pPr>
      <w:r>
        <w:t>Thanks!</w:t>
      </w:r>
    </w:p>
  </w:comment>
  <w:comment w:id="29" w:author="ZTE" w:date="2023-10-20T14:53:19Z" w:initials="ZTE">
    <w:p w14:paraId="4D846CB3">
      <w:pPr>
        <w:bidi w:val="0"/>
        <w:rPr>
          <w:rFonts w:hint="default"/>
          <w:lang w:val="en-US" w:eastAsia="zh-CN"/>
        </w:rPr>
      </w:pPr>
      <w:r>
        <w:rPr>
          <w:rFonts w:hint="eastAsia"/>
          <w:lang w:val="en-US" w:eastAsia="zh-CN"/>
        </w:rPr>
        <w:t xml:space="preserve">It is RAN2 agreement that </w:t>
      </w:r>
      <w:r>
        <w:rPr>
          <w:rFonts w:hint="default"/>
          <w:lang w:val="en-US" w:eastAsia="zh-CN"/>
        </w:rPr>
        <w:t>“</w:t>
      </w:r>
      <w:r>
        <w:t xml:space="preserve">A mobile IAB node may camp on and connect to legacy Rel-16/Rel-17 IAB capable cell. </w:t>
      </w:r>
      <w:r>
        <w:rPr>
          <w:rFonts w:hint="default"/>
          <w:lang w:val="en-US" w:eastAsia="zh-CN"/>
        </w:rPr>
        <w:t>”</w:t>
      </w:r>
      <w:r>
        <w:rPr>
          <w:rFonts w:hint="eastAsia"/>
          <w:lang w:val="en-US" w:eastAsia="zh-CN"/>
        </w:rPr>
        <w:t xml:space="preserve">. So suggest to leave it as an FFS regarding whether a mobile IAB-MT considers a cell as a candidate cell if the cell system information indicates IAB support.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755F47" w15:done="0"/>
  <w15:commentEx w15:paraId="0AC045DC" w15:done="0"/>
  <w15:commentEx w15:paraId="33CF1B3C" w15:done="0"/>
  <w15:commentEx w15:paraId="229C689B" w15:done="0" w15:paraIdParent="33CF1B3C"/>
  <w15:commentEx w15:paraId="4AF62F9E" w15:done="0"/>
  <w15:commentEx w15:paraId="65061784" w15:done="0"/>
  <w15:commentEx w15:paraId="42985A58" w15:done="0"/>
  <w15:commentEx w15:paraId="79E072DC" w15:done="0" w15:paraIdParent="42985A58"/>
  <w15:commentEx w15:paraId="169457FE" w15:done="0" w15:paraIdParent="42985A58"/>
  <w15:commentEx w15:paraId="42CA1895" w15:done="0"/>
  <w15:commentEx w15:paraId="27667C37" w15:done="0" w15:paraIdParent="42CA1895"/>
  <w15:commentEx w15:paraId="43D14AC6" w15:done="0" w15:paraIdParent="42CA1895"/>
  <w15:commentEx w15:paraId="58377959" w15:done="0" w15:paraIdParent="42CA1895"/>
  <w15:commentEx w15:paraId="6BAA58F3" w15:done="0"/>
  <w15:commentEx w15:paraId="0C546DEE" w15:done="0" w15:paraIdParent="6BAA58F3"/>
  <w15:commentEx w15:paraId="1B110441" w15:done="0"/>
  <w15:commentEx w15:paraId="0D603307" w15:done="0"/>
  <w15:commentEx w15:paraId="47544C28" w15:done="0"/>
  <w15:commentEx w15:paraId="341D6073" w15:done="0"/>
  <w15:commentEx w15:paraId="22015F3B" w15:done="0"/>
  <w15:commentEx w15:paraId="0AFD2A00" w15:done="0"/>
  <w15:commentEx w15:paraId="16187F48" w15:done="0"/>
  <w15:commentEx w15:paraId="08DA0A44" w15:done="0" w15:paraIdParent="16187F48"/>
  <w15:commentEx w15:paraId="0D6F2CF7" w15:done="0"/>
  <w15:commentEx w15:paraId="3ADB404C" w15:done="0" w15:paraIdParent="0D6F2CF7"/>
  <w15:commentEx w15:paraId="77F321EB" w15:done="0"/>
  <w15:commentEx w15:paraId="56F565E1" w15:done="0" w15:paraIdParent="77F321EB"/>
  <w15:commentEx w15:paraId="36ED7250" w15:done="0"/>
  <w15:commentEx w15:paraId="21543DBB" w15:done="0" w15:paraIdParent="36ED7250"/>
  <w15:commentEx w15:paraId="4D846CB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微软雅黑"/>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62A6F"/>
    <w:multiLevelType w:val="multilevel"/>
    <w:tmpl w:val="45662A6F"/>
    <w:lvl w:ilvl="0" w:tentative="0">
      <w:start w:val="22"/>
      <w:numFmt w:val="bullet"/>
      <w:lvlText w:val="-"/>
      <w:lvlJc w:val="left"/>
      <w:pPr>
        <w:ind w:left="820" w:hanging="360"/>
      </w:pPr>
      <w:rPr>
        <w:rFonts w:hint="default" w:ascii="Times New Roman" w:hAnsi="Times New Roman" w:eastAsia="MS Mincho" w:cs="Times New Roman"/>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62D3AA1"/>
    <w:multiLevelType w:val="multilevel"/>
    <w:tmpl w:val="562D3A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3"/>
      <w:numFmt w:val="bullet"/>
      <w:lvlText w:val="-"/>
      <w:lvlJc w:val="left"/>
      <w:pPr>
        <w:ind w:left="1260" w:hanging="420"/>
      </w:pPr>
      <w:rPr>
        <w:rFonts w:hint="default" w:ascii="Times New Roman" w:hAnsi="Times New Roman" w:eastAsia="宋体"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0B66B84"/>
    <w:multiLevelType w:val="multilevel"/>
    <w:tmpl w:val="60B66B84"/>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2#123">
    <w15:presenceInfo w15:providerId="None" w15:userId="R2#123"/>
  </w15:person>
  <w15:person w15:author="QC - R2#123b">
    <w15:presenceInfo w15:providerId="None" w15:userId="QC - R2#123b"/>
  </w15:person>
  <w15:person w15:author="QC R3#122v2">
    <w15:presenceInfo w15:providerId="None" w15:userId="QC R3#122v2"/>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22147"/>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1331"/>
    <w:rsid w:val="003B5925"/>
    <w:rsid w:val="003C2751"/>
    <w:rsid w:val="003C401D"/>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6215"/>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A2560"/>
    <w:rsid w:val="005B232A"/>
    <w:rsid w:val="005B7946"/>
    <w:rsid w:val="005C0729"/>
    <w:rsid w:val="005C7712"/>
    <w:rsid w:val="005D5C65"/>
    <w:rsid w:val="005D78F9"/>
    <w:rsid w:val="005E007B"/>
    <w:rsid w:val="005E2C44"/>
    <w:rsid w:val="005E313B"/>
    <w:rsid w:val="005E7062"/>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05EF9"/>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04C01"/>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C0AB7"/>
    <w:rsid w:val="00ED1D2B"/>
    <w:rsid w:val="00EE7D7C"/>
    <w:rsid w:val="00F06256"/>
    <w:rsid w:val="00F07F2C"/>
    <w:rsid w:val="00F15E3E"/>
    <w:rsid w:val="00F25D98"/>
    <w:rsid w:val="00F300FB"/>
    <w:rsid w:val="00F54365"/>
    <w:rsid w:val="00F76B39"/>
    <w:rsid w:val="00FA36E5"/>
    <w:rsid w:val="00FB6386"/>
    <w:rsid w:val="00FE247A"/>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93"/>
    <w:qFormat/>
    <w:uiPriority w:val="0"/>
    <w:pPr>
      <w:overflowPunct w:val="0"/>
      <w:autoSpaceDE w:val="0"/>
      <w:autoSpaceDN w:val="0"/>
      <w:adjustRightInd w:val="0"/>
      <w:spacing w:after="120"/>
      <w:textAlignment w:val="baseline"/>
    </w:pPr>
    <w:rPr>
      <w:lang w:eastAsia="ja-JP"/>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table" w:styleId="44">
    <w:name w:val="Table Grid"/>
    <w:basedOn w:val="4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2"/>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1"/>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CR Cover Page Zchn"/>
    <w:link w:val="83"/>
    <w:qFormat/>
    <w:locked/>
    <w:uiPriority w:val="0"/>
    <w:rPr>
      <w:rFonts w:ascii="Arial" w:hAnsi="Arial"/>
      <w:lang w:val="en-GB" w:eastAsia="en-US"/>
    </w:rPr>
  </w:style>
  <w:style w:type="character" w:customStyle="1" w:styleId="86">
    <w:name w:val="Heading 3 Char"/>
    <w:basedOn w:val="45"/>
    <w:link w:val="4"/>
    <w:qFormat/>
    <w:uiPriority w:val="0"/>
    <w:rPr>
      <w:rFonts w:ascii="Arial" w:hAnsi="Arial"/>
      <w:sz w:val="28"/>
      <w:lang w:val="en-GB" w:eastAsia="en-US"/>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paragraph" w:styleId="90">
    <w:name w:val="List Paragraph"/>
    <w:basedOn w:val="1"/>
    <w:link w:val="107"/>
    <w:qFormat/>
    <w:uiPriority w:val="34"/>
    <w:pPr>
      <w:overflowPunct w:val="0"/>
      <w:autoSpaceDE w:val="0"/>
      <w:autoSpaceDN w:val="0"/>
      <w:adjustRightInd w:val="0"/>
      <w:ind w:left="720"/>
      <w:contextualSpacing/>
      <w:textAlignment w:val="baseline"/>
    </w:pPr>
    <w:rPr>
      <w:lang w:eastAsia="ja-JP"/>
    </w:rPr>
  </w:style>
  <w:style w:type="character" w:customStyle="1" w:styleId="91">
    <w:name w:val="B2 Char"/>
    <w:link w:val="78"/>
    <w:qFormat/>
    <w:uiPriority w:val="0"/>
    <w:rPr>
      <w:rFonts w:ascii="Times New Roman" w:hAnsi="Times New Roman"/>
      <w:lang w:val="en-GB" w:eastAsia="en-US"/>
    </w:rPr>
  </w:style>
  <w:style w:type="character" w:customStyle="1" w:styleId="92">
    <w:name w:val="NO Zchn"/>
    <w:link w:val="58"/>
    <w:uiPriority w:val="0"/>
    <w:rPr>
      <w:rFonts w:ascii="Times New Roman" w:hAnsi="Times New Roman"/>
      <w:lang w:val="en-GB" w:eastAsia="en-US"/>
    </w:rPr>
  </w:style>
  <w:style w:type="character" w:customStyle="1" w:styleId="93">
    <w:name w:val="Body Text Char"/>
    <w:basedOn w:val="45"/>
    <w:link w:val="30"/>
    <w:uiPriority w:val="0"/>
    <w:rPr>
      <w:rFonts w:ascii="Times New Roman" w:hAnsi="Times New Roman"/>
      <w:lang w:val="en-GB" w:eastAsia="ja-JP"/>
    </w:rPr>
  </w:style>
  <w:style w:type="paragraph" w:customStyle="1" w:styleId="94">
    <w:name w:val="Agreement"/>
    <w:basedOn w:val="1"/>
    <w:next w:val="95"/>
    <w:qFormat/>
    <w:uiPriority w:val="99"/>
    <w:pPr>
      <w:numPr>
        <w:ilvl w:val="0"/>
        <w:numId w:val="1"/>
      </w:numPr>
      <w:spacing w:before="60" w:after="0"/>
    </w:pPr>
    <w:rPr>
      <w:rFonts w:ascii="Arial" w:hAnsi="Arial" w:eastAsia="MS Mincho"/>
      <w:b/>
      <w:szCs w:val="24"/>
      <w:lang w:eastAsia="en-GB"/>
    </w:rPr>
  </w:style>
  <w:style w:type="paragraph" w:customStyle="1" w:styleId="95">
    <w:name w:val="Doc-text2"/>
    <w:basedOn w:val="1"/>
    <w:link w:val="98"/>
    <w:qFormat/>
    <w:uiPriority w:val="0"/>
    <w:pPr>
      <w:tabs>
        <w:tab w:val="left" w:pos="1622"/>
      </w:tabs>
      <w:spacing w:after="0"/>
      <w:ind w:left="1622" w:hanging="363"/>
    </w:pPr>
    <w:rPr>
      <w:rFonts w:ascii="Arial" w:hAnsi="Arial" w:eastAsia="MS Mincho"/>
      <w:szCs w:val="24"/>
      <w:lang w:eastAsia="en-GB"/>
    </w:rPr>
  </w:style>
  <w:style w:type="paragraph" w:customStyle="1" w:styleId="96">
    <w:name w:val="Bold Comments"/>
    <w:basedOn w:val="1"/>
    <w:link w:val="97"/>
    <w:qFormat/>
    <w:uiPriority w:val="0"/>
    <w:pPr>
      <w:spacing w:before="240" w:after="60"/>
      <w:outlineLvl w:val="8"/>
    </w:pPr>
    <w:rPr>
      <w:rFonts w:ascii="Arial" w:hAnsi="Arial" w:eastAsia="MS Mincho"/>
      <w:b/>
      <w:szCs w:val="24"/>
      <w:lang w:val="zh-CN" w:eastAsia="zh-CN"/>
    </w:rPr>
  </w:style>
  <w:style w:type="character" w:customStyle="1" w:styleId="97">
    <w:name w:val="Bold Comments Char"/>
    <w:link w:val="96"/>
    <w:qFormat/>
    <w:uiPriority w:val="0"/>
    <w:rPr>
      <w:rFonts w:ascii="Arial" w:hAnsi="Arial" w:eastAsia="MS Mincho"/>
      <w:b/>
      <w:szCs w:val="24"/>
      <w:lang w:val="zh-CN" w:eastAsia="zh-CN"/>
    </w:rPr>
  </w:style>
  <w:style w:type="character" w:customStyle="1" w:styleId="98">
    <w:name w:val="Doc-text2 Char"/>
    <w:link w:val="95"/>
    <w:qFormat/>
    <w:uiPriority w:val="0"/>
    <w:rPr>
      <w:rFonts w:ascii="Arial" w:hAnsi="Arial" w:eastAsia="MS Mincho"/>
      <w:szCs w:val="24"/>
      <w:lang w:val="en-GB" w:eastAsia="en-GB"/>
    </w:rPr>
  </w:style>
  <w:style w:type="paragraph" w:customStyle="1" w:styleId="99">
    <w:name w:val="Doc-title"/>
    <w:basedOn w:val="1"/>
    <w:next w:val="95"/>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paragraph" w:customStyle="1" w:styleId="101">
    <w:name w:val="Comments"/>
    <w:basedOn w:val="1"/>
    <w:link w:val="102"/>
    <w:qFormat/>
    <w:uiPriority w:val="0"/>
    <w:pPr>
      <w:spacing w:before="40" w:after="0"/>
    </w:pPr>
    <w:rPr>
      <w:rFonts w:ascii="Arial" w:hAnsi="Arial" w:eastAsia="MS Mincho"/>
      <w:i/>
      <w:sz w:val="18"/>
      <w:szCs w:val="24"/>
      <w:lang w:eastAsia="en-GB"/>
    </w:rPr>
  </w:style>
  <w:style w:type="character" w:customStyle="1" w:styleId="102">
    <w:name w:val="Comments Char"/>
    <w:link w:val="101"/>
    <w:qFormat/>
    <w:uiPriority w:val="0"/>
    <w:rPr>
      <w:rFonts w:ascii="Arial" w:hAnsi="Arial" w:eastAsia="MS Mincho"/>
      <w:i/>
      <w:sz w:val="18"/>
      <w:szCs w:val="24"/>
      <w:lang w:val="en-GB" w:eastAsia="en-GB"/>
    </w:rPr>
  </w:style>
  <w:style w:type="paragraph" w:customStyle="1" w:styleId="103">
    <w:name w:val="Doc-comment"/>
    <w:basedOn w:val="1"/>
    <w:next w:val="95"/>
    <w:qFormat/>
    <w:uiPriority w:val="99"/>
    <w:pPr>
      <w:tabs>
        <w:tab w:val="left" w:pos="1622"/>
      </w:tabs>
      <w:spacing w:after="0"/>
      <w:ind w:left="1622" w:hanging="363"/>
    </w:pPr>
    <w:rPr>
      <w:rFonts w:ascii="Arial" w:hAnsi="Arial" w:eastAsia="MS Mincho"/>
      <w:i/>
      <w:szCs w:val="24"/>
      <w:lang w:eastAsia="en-GB"/>
    </w:rPr>
  </w:style>
  <w:style w:type="paragraph" w:customStyle="1" w:styleId="104">
    <w:name w:val="EmailDiscussion"/>
    <w:basedOn w:val="1"/>
    <w:next w:val="1"/>
    <w:link w:val="105"/>
    <w:qFormat/>
    <w:uiPriority w:val="99"/>
    <w:pPr>
      <w:numPr>
        <w:ilvl w:val="0"/>
        <w:numId w:val="2"/>
      </w:numPr>
      <w:spacing w:before="40" w:after="0"/>
    </w:pPr>
    <w:rPr>
      <w:rFonts w:ascii="Arial" w:hAnsi="Arial" w:eastAsia="MS Mincho"/>
      <w:b/>
      <w:szCs w:val="24"/>
      <w:lang w:eastAsia="en-GB"/>
    </w:rPr>
  </w:style>
  <w:style w:type="character" w:customStyle="1" w:styleId="105">
    <w:name w:val="EmailDiscussion Char"/>
    <w:link w:val="104"/>
    <w:qFormat/>
    <w:uiPriority w:val="99"/>
    <w:rPr>
      <w:rFonts w:ascii="Arial" w:hAnsi="Arial" w:eastAsia="MS Mincho"/>
      <w:b/>
      <w:szCs w:val="24"/>
      <w:lang w:val="en-GB" w:eastAsia="en-GB"/>
    </w:rPr>
  </w:style>
  <w:style w:type="paragraph" w:customStyle="1" w:styleId="106">
    <w:name w:val="Revision"/>
    <w:hidden/>
    <w:semiHidden/>
    <w:qFormat/>
    <w:uiPriority w:val="99"/>
    <w:rPr>
      <w:rFonts w:ascii="Times New Roman" w:hAnsi="Times New Roman" w:cs="Times New Roman" w:eastAsiaTheme="minorEastAsia"/>
      <w:lang w:val="en-GB" w:eastAsia="en-US" w:bidi="ar-SA"/>
    </w:rPr>
  </w:style>
  <w:style w:type="character" w:customStyle="1" w:styleId="107">
    <w:name w:val="List Paragraph Char"/>
    <w:link w:val="90"/>
    <w:qFormat/>
    <w:locked/>
    <w:uiPriority w:val="34"/>
    <w:rPr>
      <w:rFonts w:ascii="Times New Roman" w:hAnsi="Times New Roman"/>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F6D8-45DD-4662-AA8D-F014AEB67E61}">
  <ds:schemaRefs/>
</ds:datastoreItem>
</file>

<file path=customXml/itemProps2.xml><?xml version="1.0" encoding="utf-8"?>
<ds:datastoreItem xmlns:ds="http://schemas.openxmlformats.org/officeDocument/2006/customXml" ds:itemID="{CA88EB99-7AA5-48A0-9876-5D543DE9B488}">
  <ds:schemaRefs/>
</ds:datastoreItem>
</file>

<file path=customXml/itemProps3.xml><?xml version="1.0" encoding="utf-8"?>
<ds:datastoreItem xmlns:ds="http://schemas.openxmlformats.org/officeDocument/2006/customXml" ds:itemID="{7681BE5D-A223-4011-9D50-BA88FB3D653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16</Pages>
  <Words>6481</Words>
  <Characters>36946</Characters>
  <Lines>307</Lines>
  <Paragraphs>86</Paragraphs>
  <TotalTime>1</TotalTime>
  <ScaleCrop>false</ScaleCrop>
  <LinksUpToDate>false</LinksUpToDate>
  <CharactersWithSpaces>43341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2023-10-19T14:31:00Z</dcterms:created>
  <dc:creator>Michael Sanders, John M Meredith</dc:creator>
  <cp:lastModifiedBy>ZTE</cp:lastModifiedBy>
  <cp:lastPrinted>1899-12-31T05:00:00Z</cp:lastPrinted>
  <dcterms:modified xsi:type="dcterms:W3CDTF">2023-10-20T07:02:10Z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