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[Post123bis][310][NR-NTN Enh]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B66F6F6"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[Post123bis][310][NR-NTN Enh]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Endorsed running CRs</w:t>
      </w:r>
    </w:p>
    <w:p w14:paraId="14FA7073" w14:textId="77777777" w:rsidR="00DE766C" w:rsidRDefault="00DE766C" w:rsidP="00DE766C">
      <w:pPr>
        <w:pStyle w:val="EmailDiscussion2"/>
        <w:numPr>
          <w:ilvl w:val="4"/>
          <w:numId w:val="18"/>
        </w:numPr>
      </w:pPr>
      <w:r>
        <w:t>List of open issues to be addressed by company Tdocs</w:t>
      </w:r>
    </w:p>
    <w:p w14:paraId="66B8B7FA" w14:textId="77777777" w:rsidR="00DE766C" w:rsidRDefault="00DE766C" w:rsidP="00DE766C">
      <w:pPr>
        <w:pStyle w:val="EmailDiscussion2"/>
      </w:pPr>
      <w:r>
        <w:tab/>
        <w:t>Deadline: Long</w:t>
      </w:r>
    </w:p>
    <w:p w14:paraId="1D0F3332" w14:textId="673D6741" w:rsidR="00524D62" w:rsidRDefault="003A7043" w:rsidP="00D4461E">
      <w:pPr>
        <w:spacing w:before="240"/>
        <w:jc w:val="both"/>
        <w:rPr>
          <w:lang w:val="en-GB"/>
        </w:rPr>
      </w:pPr>
      <w:r>
        <w:rPr>
          <w:lang w:val="en-GB"/>
        </w:rPr>
        <w:t>For reference,</w:t>
      </w:r>
      <w:r w:rsidR="00F2448B">
        <w:rPr>
          <w:lang w:val="en-GB"/>
        </w:rPr>
        <w:t xml:space="preserve"> </w:t>
      </w:r>
      <w:r w:rsidR="00F2448B">
        <w:rPr>
          <w:lang w:val="en-GB"/>
        </w:rPr>
        <w:fldChar w:fldCharType="begin"/>
      </w:r>
      <w:r w:rsidR="00F2448B">
        <w:rPr>
          <w:lang w:val="en-GB"/>
        </w:rPr>
        <w:instrText xml:space="preserve"> REF _Ref148527898 \h </w:instrText>
      </w:r>
      <w:r w:rsidR="00F2448B">
        <w:rPr>
          <w:lang w:val="en-GB"/>
        </w:rPr>
      </w:r>
      <w:r w:rsidR="00F2448B">
        <w:rPr>
          <w:lang w:val="en-GB"/>
        </w:rPr>
        <w:fldChar w:fldCharType="separate"/>
      </w:r>
      <w:r w:rsidR="00F2448B">
        <w:t>Annex</w:t>
      </w:r>
      <w:r w:rsidR="00F2448B">
        <w:rPr>
          <w:lang w:val="en-GB"/>
        </w:rPr>
        <w:fldChar w:fldCharType="end"/>
      </w:r>
      <w:r>
        <w:rPr>
          <w:lang w:val="en-GB"/>
        </w:rPr>
        <w:t xml:space="preserve"> includes RAN2#123bis agreements on this topic.  </w:t>
      </w:r>
      <w:r w:rsidR="00E32488">
        <w:rPr>
          <w:lang w:val="en-GB"/>
        </w:rPr>
        <w:t xml:space="preserve">Please provide your inputs </w:t>
      </w:r>
      <w:r w:rsidR="00E32488" w:rsidRPr="00D4461E">
        <w:rPr>
          <w:b/>
          <w:bCs/>
          <w:u w:val="single"/>
          <w:lang w:val="en-GB"/>
        </w:rPr>
        <w:t xml:space="preserve">before/by </w:t>
      </w:r>
      <w:r w:rsidR="00CE4D2A">
        <w:rPr>
          <w:b/>
          <w:bCs/>
          <w:u w:val="single"/>
          <w:lang w:val="en-GB"/>
        </w:rPr>
        <w:t>Monday</w:t>
      </w:r>
      <w:r w:rsidR="00CE4D2A" w:rsidRPr="00D4461E">
        <w:rPr>
          <w:b/>
          <w:bCs/>
          <w:u w:val="single"/>
          <w:lang w:val="en-GB"/>
        </w:rPr>
        <w:t xml:space="preserve"> </w:t>
      </w:r>
      <w:r w:rsidR="00E4467D">
        <w:rPr>
          <w:b/>
          <w:bCs/>
          <w:u w:val="single"/>
          <w:lang w:val="en-GB"/>
        </w:rPr>
        <w:t>October</w:t>
      </w:r>
      <w:r w:rsidR="00E4467D" w:rsidRPr="00D4461E">
        <w:rPr>
          <w:b/>
          <w:bCs/>
          <w:u w:val="single"/>
          <w:lang w:val="en-GB"/>
        </w:rPr>
        <w:t xml:space="preserve"> </w:t>
      </w:r>
      <w:r w:rsidR="00E4467D">
        <w:rPr>
          <w:b/>
          <w:bCs/>
          <w:u w:val="single"/>
          <w:lang w:val="en-GB"/>
        </w:rPr>
        <w:t>23</w:t>
      </w:r>
      <w:r w:rsidR="00E4467D" w:rsidRPr="00F12188">
        <w:rPr>
          <w:b/>
          <w:bCs/>
          <w:u w:val="single"/>
          <w:vertAlign w:val="superscript"/>
          <w:lang w:val="en-GB"/>
        </w:rPr>
        <w:t>rd</w:t>
      </w:r>
      <w:r w:rsidR="00E4467D">
        <w:rPr>
          <w:b/>
          <w:bCs/>
          <w:u w:val="single"/>
          <w:lang w:val="en-GB"/>
        </w:rPr>
        <w:t xml:space="preserve"> </w:t>
      </w:r>
      <w:r w:rsidR="00C7195F">
        <w:rPr>
          <w:b/>
          <w:bCs/>
          <w:u w:val="single"/>
          <w:lang w:val="en-GB"/>
        </w:rPr>
        <w:t xml:space="preserve">5pm UCT (10am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 1000 UTC</w:t>
      </w:r>
      <w:r w:rsidR="00E32488">
        <w:rPr>
          <w:lang w:val="en-GB"/>
        </w:rPr>
        <w:t>, 2023).</w:t>
      </w:r>
      <w:r w:rsidR="009C36BE">
        <w:rPr>
          <w:lang w:val="en-GB"/>
        </w:rPr>
        <w:t xml:space="preserve">  </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1E031B6C" w:rsidR="00853483" w:rsidRPr="007274C5" w:rsidRDefault="00853483" w:rsidP="001952A8">
            <w:pPr>
              <w:spacing w:after="0"/>
              <w:rPr>
                <w:lang w:eastAsia="zh-CN"/>
              </w:rPr>
            </w:pPr>
          </w:p>
        </w:tc>
        <w:tc>
          <w:tcPr>
            <w:tcW w:w="2687" w:type="dxa"/>
          </w:tcPr>
          <w:p w14:paraId="4FBB733D" w14:textId="3E2149D5" w:rsidR="00853483" w:rsidRPr="007274C5" w:rsidRDefault="00853483" w:rsidP="001952A8">
            <w:pPr>
              <w:spacing w:after="0"/>
              <w:rPr>
                <w:lang w:eastAsia="zh-CN"/>
              </w:rPr>
            </w:pPr>
          </w:p>
        </w:tc>
        <w:tc>
          <w:tcPr>
            <w:tcW w:w="4903" w:type="dxa"/>
          </w:tcPr>
          <w:p w14:paraId="6540CFF0" w14:textId="1E1A511D" w:rsidR="00853483" w:rsidRPr="007274C5" w:rsidRDefault="00853483" w:rsidP="001952A8">
            <w:pPr>
              <w:spacing w:after="0"/>
              <w:rPr>
                <w:lang w:eastAsia="zh-CN"/>
              </w:rPr>
            </w:pPr>
          </w:p>
        </w:tc>
      </w:tr>
      <w:tr w:rsidR="005E4432" w14:paraId="3E66D3EE" w14:textId="77777777" w:rsidTr="00F12188">
        <w:tc>
          <w:tcPr>
            <w:tcW w:w="1760" w:type="dxa"/>
          </w:tcPr>
          <w:p w14:paraId="2D531376" w14:textId="72A68C1D" w:rsidR="005E4432" w:rsidRDefault="005E4432">
            <w:pPr>
              <w:spacing w:after="0"/>
            </w:pPr>
          </w:p>
        </w:tc>
        <w:tc>
          <w:tcPr>
            <w:tcW w:w="2687" w:type="dxa"/>
          </w:tcPr>
          <w:p w14:paraId="671E5A80" w14:textId="7A5A38C8" w:rsidR="005E4432" w:rsidRDefault="005E4432">
            <w:pPr>
              <w:spacing w:after="0"/>
            </w:pPr>
          </w:p>
        </w:tc>
        <w:tc>
          <w:tcPr>
            <w:tcW w:w="4903" w:type="dxa"/>
          </w:tcPr>
          <w:p w14:paraId="1282C907" w14:textId="7241416C" w:rsidR="005E4432" w:rsidRDefault="005E4432">
            <w:pPr>
              <w:spacing w:after="0"/>
            </w:pP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ListParagraph"/>
        <w:numPr>
          <w:ilvl w:val="0"/>
          <w:numId w:val="8"/>
        </w:numPr>
        <w:ind w:left="360"/>
        <w:jc w:val="both"/>
      </w:pPr>
      <w:bookmarkStart w:id="3" w:name="_Ref148519897"/>
      <w:r>
        <w:lastRenderedPageBreak/>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
      <w:r>
        <w:t xml:space="preserve"> </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63FD162E" w:rsidR="002B4343" w:rsidRPr="004F40AB" w:rsidRDefault="002B4343" w:rsidP="00200D01">
            <w:pPr>
              <w:spacing w:after="0"/>
              <w:rPr>
                <w:lang w:eastAsia="zh-CN"/>
              </w:rPr>
            </w:pPr>
          </w:p>
        </w:tc>
        <w:tc>
          <w:tcPr>
            <w:tcW w:w="1005" w:type="dxa"/>
          </w:tcPr>
          <w:p w14:paraId="64E8116F" w14:textId="4A66C76A" w:rsidR="002B4343" w:rsidRPr="004F40AB" w:rsidRDefault="002B4343" w:rsidP="00200D01">
            <w:pPr>
              <w:spacing w:after="0"/>
              <w:rPr>
                <w:lang w:eastAsia="zh-CN"/>
              </w:rPr>
            </w:pPr>
          </w:p>
        </w:tc>
        <w:tc>
          <w:tcPr>
            <w:tcW w:w="6637" w:type="dxa"/>
          </w:tcPr>
          <w:p w14:paraId="35F1C0D7" w14:textId="00EB468E" w:rsidR="00190B7C" w:rsidRPr="004F40AB" w:rsidRDefault="00190B7C" w:rsidP="00F523A8">
            <w:pPr>
              <w:pStyle w:val="ListParagraph"/>
              <w:spacing w:after="0"/>
              <w:ind w:left="420"/>
            </w:pPr>
          </w:p>
        </w:tc>
      </w:tr>
      <w:tr w:rsidR="005E4432" w14:paraId="5CD4DBD7" w14:textId="77777777" w:rsidTr="00F12188">
        <w:tc>
          <w:tcPr>
            <w:tcW w:w="1713" w:type="dxa"/>
          </w:tcPr>
          <w:p w14:paraId="1B9FE42A" w14:textId="4ADF2287" w:rsidR="005E4432" w:rsidRDefault="005E4432">
            <w:pPr>
              <w:spacing w:after="0"/>
            </w:pPr>
          </w:p>
        </w:tc>
        <w:tc>
          <w:tcPr>
            <w:tcW w:w="1005" w:type="dxa"/>
          </w:tcPr>
          <w:p w14:paraId="6000CE16" w14:textId="7972F99E" w:rsidR="005E4432" w:rsidRDefault="005E4432">
            <w:pPr>
              <w:spacing w:after="0"/>
            </w:pPr>
          </w:p>
        </w:tc>
        <w:tc>
          <w:tcPr>
            <w:tcW w:w="6637" w:type="dxa"/>
          </w:tcPr>
          <w:p w14:paraId="465F9B47" w14:textId="77777777" w:rsidR="005E4432" w:rsidRDefault="005E4432">
            <w:pPr>
              <w:spacing w:after="0"/>
            </w:pP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22728886" w:rsidR="00B87BBD" w:rsidRDefault="00FB3E77" w:rsidP="00CA175C">
      <w:pPr>
        <w:pStyle w:val="ListParagraph"/>
        <w:numPr>
          <w:ilvl w:val="0"/>
          <w:numId w:val="8"/>
        </w:numPr>
        <w:ind w:left="360"/>
        <w:jc w:val="both"/>
      </w:pPr>
      <w:r>
        <w:t xml:space="preserve">If your response to previous </w:t>
      </w:r>
      <w:r>
        <w:fldChar w:fldCharType="begin"/>
      </w:r>
      <w:r>
        <w:instrText xml:space="preserve"> REF _Ref148519897 \r \h </w:instrText>
      </w:r>
      <w:r>
        <w:fldChar w:fldCharType="separate"/>
      </w:r>
      <w:r>
        <w:t>Discussion point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TableGrid"/>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ListParagraph"/>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ListParagraph"/>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r w:rsidR="001F4A46">
        <w:t>draft</w:t>
      </w:r>
      <w:r>
        <w:t>CRs to TS 38.306 and 38.331.</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 w14:paraId="68D751C6" w14:textId="3AF6E3FA" w:rsidR="00822E71" w:rsidRDefault="005C10EE" w:rsidP="00822E71">
      <w:pPr>
        <w:pStyle w:val="ListParagraph"/>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TableGrid"/>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ListParagraph"/>
              <w:numPr>
                <w:ilvl w:val="0"/>
                <w:numId w:val="31"/>
              </w:numPr>
              <w:spacing w:after="0"/>
            </w:pPr>
            <w:r>
              <w:t>In moving cells, location-based CHO involves the calculation of the present reference location from ephemeris and one reference location at epoch time. Thus, a new capability is needed.</w:t>
            </w:r>
          </w:p>
          <w:p w14:paraId="59212A86" w14:textId="403C652C" w:rsidR="008A6315" w:rsidRPr="004F40AB" w:rsidRDefault="008A6315" w:rsidP="008A6315">
            <w:pPr>
              <w:pStyle w:val="ListParagraph"/>
              <w:numPr>
                <w:ilvl w:val="0"/>
                <w:numId w:val="31"/>
              </w:numPr>
              <w:spacing w:after="0"/>
            </w:pPr>
            <w:r>
              <w:t>Unchanged PCI. Separate capabilities for hard and soft switch.</w:t>
            </w:r>
          </w:p>
        </w:tc>
      </w:tr>
      <w:tr w:rsidR="005C10EE" w:rsidRPr="004F40AB" w14:paraId="029F3AAC" w14:textId="77777777" w:rsidTr="005C10EE">
        <w:tc>
          <w:tcPr>
            <w:tcW w:w="1713" w:type="dxa"/>
          </w:tcPr>
          <w:p w14:paraId="29F247E6" w14:textId="77777777" w:rsidR="005C10EE" w:rsidRPr="004F40AB" w:rsidRDefault="005C10EE" w:rsidP="00B72430">
            <w:pPr>
              <w:spacing w:after="0"/>
              <w:rPr>
                <w:lang w:eastAsia="zh-CN"/>
              </w:rPr>
            </w:pPr>
          </w:p>
        </w:tc>
        <w:tc>
          <w:tcPr>
            <w:tcW w:w="7642" w:type="dxa"/>
          </w:tcPr>
          <w:p w14:paraId="462B350E" w14:textId="77777777" w:rsidR="005C10EE" w:rsidRPr="004F40AB" w:rsidRDefault="005C10EE" w:rsidP="00B72430">
            <w:pPr>
              <w:pStyle w:val="ListParagraph"/>
              <w:spacing w:after="0"/>
              <w:ind w:left="420"/>
            </w:pP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4" w:name="_Toc148450480"/>
      <w:bookmarkStart w:id="5" w:name="_Toc148526847"/>
      <w:bookmarkStart w:id="6" w:name="_Toc146154136"/>
      <w:bookmarkStart w:id="7" w:name="_Toc146154343"/>
      <w:bookmarkStart w:id="8" w:name="_Toc146197798"/>
      <w:bookmarkStart w:id="9" w:name="_Toc146199387"/>
      <w:bookmarkStart w:id="10" w:name="_Toc146200399"/>
      <w:bookmarkStart w:id="11" w:name="_Toc146550077"/>
      <w:bookmarkStart w:id="12" w:name="_Toc146572269"/>
      <w:bookmarkStart w:id="13" w:name="_Toc146572573"/>
      <w:bookmarkStart w:id="14" w:name="_Toc146574419"/>
      <w:bookmarkStart w:id="15"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4"/>
      <w:r w:rsidR="0015624E">
        <w:rPr>
          <w:highlight w:val="yellow"/>
        </w:rPr>
        <w:t>]</w:t>
      </w:r>
      <w:bookmarkEnd w:id="5"/>
    </w:p>
    <w:bookmarkEnd w:id="6"/>
    <w:bookmarkEnd w:id="7"/>
    <w:bookmarkEnd w:id="8"/>
    <w:bookmarkEnd w:id="9"/>
    <w:bookmarkEnd w:id="10"/>
    <w:bookmarkEnd w:id="11"/>
    <w:bookmarkEnd w:id="12"/>
    <w:bookmarkEnd w:id="13"/>
    <w:bookmarkEnd w:id="14"/>
    <w:bookmarkEnd w:id="15"/>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7F2FE419" w:rsidR="00C42340" w:rsidRDefault="00F43834" w:rsidP="005A19A5">
      <w:pPr>
        <w:pStyle w:val="Heading1"/>
        <w:numPr>
          <w:ilvl w:val="0"/>
          <w:numId w:val="2"/>
        </w:numPr>
      </w:pPr>
      <w:bookmarkStart w:id="16" w:name="_Ref148527898"/>
      <w:r>
        <w:t>Annex</w:t>
      </w:r>
      <w:bookmarkEnd w:id="16"/>
    </w:p>
    <w:p w14:paraId="3262FFD4" w14:textId="77777777" w:rsidR="003A7043" w:rsidRPr="003A7043" w:rsidRDefault="003A7043" w:rsidP="003A7043">
      <w:pPr>
        <w:pStyle w:val="Heading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14:paraId="22AB7B48" w14:textId="77777777" w:rsidR="003A7043" w:rsidRPr="003A7043" w:rsidRDefault="003A7043" w:rsidP="003A7043">
      <w:pPr>
        <w:pStyle w:val="Heading2"/>
      </w:pPr>
      <w:bookmarkStart w:id="17" w:name="_Toc137213182"/>
      <w:r w:rsidRPr="003A7043">
        <w:t>Network verified UE location</w:t>
      </w:r>
      <w:bookmarkEnd w:id="17"/>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2E04DC27" w14:textId="77777777" w:rsidR="003A7043" w:rsidRPr="003A7043" w:rsidRDefault="003A7043" w:rsidP="003A7043">
      <w:pPr>
        <w:pStyle w:val="Heading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3A7043">
      <w:pPr>
        <w:pStyle w:val="Heading2"/>
      </w:pPr>
      <w:r w:rsidRPr="003A7043">
        <w:lastRenderedPageBreak/>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r>
        <w:t>Preallocated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We follow the LTE baseline for when UE starts the PTAG timeAlignmentTimer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We don’t consider the impact on Rel-17 UEs behavior (or Rel-18 UEs not supporting unchanged PCI) when defining the Rel-18 unchanged PCI solution</w:t>
      </w:r>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For soft satellite switching, the exact time when the UE starts synchronizing with target satellite (between T-start and T-service) is up to UE implementation</w:t>
      </w:r>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lastRenderedPageBreak/>
        <w:t>Common signalling (e.g. using servingCellConfigCommon)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19740383" w14:textId="77777777" w:rsidR="00F43834" w:rsidRPr="00F43834" w:rsidRDefault="00F43834" w:rsidP="00F43834">
      <w:pPr>
        <w:rPr>
          <w:lang w:val="en-GB" w:eastAsia="x-none"/>
        </w:rPr>
      </w:pPr>
    </w:p>
    <w:sectPr w:rsidR="00F43834" w:rsidRPr="00F43834"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535A" w14:textId="77777777" w:rsidR="002D61A8" w:rsidRDefault="002D61A8" w:rsidP="005E4432">
      <w:pPr>
        <w:spacing w:after="0"/>
      </w:pPr>
      <w:r>
        <w:separator/>
      </w:r>
    </w:p>
  </w:endnote>
  <w:endnote w:type="continuationSeparator" w:id="0">
    <w:p w14:paraId="5163E189" w14:textId="77777777" w:rsidR="002D61A8" w:rsidRDefault="002D61A8" w:rsidP="005E4432">
      <w:pPr>
        <w:spacing w:after="0"/>
      </w:pPr>
      <w:r>
        <w:continuationSeparator/>
      </w:r>
    </w:p>
  </w:endnote>
  <w:endnote w:type="continuationNotice" w:id="1">
    <w:p w14:paraId="6F8EE8B1" w14:textId="77777777" w:rsidR="002D61A8" w:rsidRDefault="002D6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1CAD" w14:textId="77777777" w:rsidR="002D61A8" w:rsidRDefault="002D61A8" w:rsidP="005E4432">
      <w:pPr>
        <w:spacing w:after="0"/>
      </w:pPr>
      <w:r>
        <w:separator/>
      </w:r>
    </w:p>
  </w:footnote>
  <w:footnote w:type="continuationSeparator" w:id="0">
    <w:p w14:paraId="05B4F96A" w14:textId="77777777" w:rsidR="002D61A8" w:rsidRDefault="002D61A8" w:rsidP="005E4432">
      <w:pPr>
        <w:spacing w:after="0"/>
      </w:pPr>
      <w:r>
        <w:continuationSeparator/>
      </w:r>
    </w:p>
  </w:footnote>
  <w:footnote w:type="continuationNotice" w:id="1">
    <w:p w14:paraId="118DCC7D" w14:textId="77777777" w:rsidR="002D61A8" w:rsidRDefault="002D61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3250527">
    <w:abstractNumId w:val="8"/>
  </w:num>
  <w:num w:numId="2" w16cid:durableId="1884436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4240620">
    <w:abstractNumId w:val="4"/>
  </w:num>
  <w:num w:numId="4" w16cid:durableId="925069591">
    <w:abstractNumId w:val="11"/>
  </w:num>
  <w:num w:numId="5" w16cid:durableId="38171671">
    <w:abstractNumId w:val="17"/>
  </w:num>
  <w:num w:numId="6" w16cid:durableId="138424452">
    <w:abstractNumId w:val="15"/>
  </w:num>
  <w:num w:numId="7" w16cid:durableId="1732121997">
    <w:abstractNumId w:val="5"/>
  </w:num>
  <w:num w:numId="8" w16cid:durableId="964654045">
    <w:abstractNumId w:val="21"/>
  </w:num>
  <w:num w:numId="9" w16cid:durableId="1795708337">
    <w:abstractNumId w:val="13"/>
  </w:num>
  <w:num w:numId="10" w16cid:durableId="236942240">
    <w:abstractNumId w:val="6"/>
  </w:num>
  <w:num w:numId="11" w16cid:durableId="17196594">
    <w:abstractNumId w:val="14"/>
  </w:num>
  <w:num w:numId="12" w16cid:durableId="256796544">
    <w:abstractNumId w:val="2"/>
  </w:num>
  <w:num w:numId="13" w16cid:durableId="535317620">
    <w:abstractNumId w:val="23"/>
  </w:num>
  <w:num w:numId="14" w16cid:durableId="1846288338">
    <w:abstractNumId w:val="6"/>
  </w:num>
  <w:num w:numId="15" w16cid:durableId="371076356">
    <w:abstractNumId w:val="22"/>
  </w:num>
  <w:num w:numId="16" w16cid:durableId="1015883080">
    <w:abstractNumId w:val="19"/>
  </w:num>
  <w:num w:numId="17" w16cid:durableId="733233517">
    <w:abstractNumId w:val="7"/>
  </w:num>
  <w:num w:numId="18" w16cid:durableId="1158230391">
    <w:abstractNumId w:val="3"/>
  </w:num>
  <w:num w:numId="19" w16cid:durableId="1981496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157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482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9247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341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2909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854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0848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19095">
    <w:abstractNumId w:val="8"/>
  </w:num>
  <w:num w:numId="28" w16cid:durableId="405491423">
    <w:abstractNumId w:val="8"/>
  </w:num>
  <w:num w:numId="29" w16cid:durableId="614141850">
    <w:abstractNumId w:val="8"/>
  </w:num>
  <w:num w:numId="30" w16cid:durableId="1597329564">
    <w:abstractNumId w:val="8"/>
  </w:num>
  <w:num w:numId="31" w16cid:durableId="189164649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BE6"/>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6168D"/>
    <w:rsid w:val="00762512"/>
    <w:rsid w:val="00763DB3"/>
    <w:rsid w:val="007640B7"/>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D5F"/>
    <w:rsid w:val="00F21E66"/>
    <w:rsid w:val="00F22044"/>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71"/>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 w:type="character" w:customStyle="1" w:styleId="CommentsChar">
    <w:name w:val="Comments Char"/>
    <w:basedOn w:val="DefaultParagraphFont"/>
    <w:link w:val="Comments"/>
    <w:locked/>
    <w:rsid w:val="003A7043"/>
    <w:rPr>
      <w:rFonts w:ascii="Arial" w:hAnsi="Arial" w:cs="Arial"/>
      <w:i/>
      <w:iCs/>
      <w:lang w:eastAsia="en-GB"/>
    </w:rPr>
  </w:style>
  <w:style w:type="paragraph" w:customStyle="1" w:styleId="Comments">
    <w:name w:val="Comments"/>
    <w:basedOn w:val="Normal"/>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717</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8922</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Ericsson - Ignacio</cp:lastModifiedBy>
  <cp:revision>509</cp:revision>
  <dcterms:created xsi:type="dcterms:W3CDTF">2023-09-18T04:20:00Z</dcterms:created>
  <dcterms:modified xsi:type="dcterms:W3CDTF">2023-10-24T12:38:00Z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